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Tenax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Christopher Thomas Giordano</w:t>
              <w:br/>
              <w:t>c/o Tenax Therapeutics, Inc., 101 Glen Lennox Drive, Suite 300</w:t>
              <w:br/>
              <w:t>Chapel Hill, NC, 27517</w:t>
              <w:br/>
              <w:t>919-855-2100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Christopher Thomas Giordano</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1,690,606.00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1,690,606.00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1,690,606.00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reported above is based on 37,423,917 shares of Common Stock outstanding as of July 28, 2026, as reported in the Issuer's Form 10-Q filed with the SEC on July 31, 2026 and is calculated on a beneficial ownership basis.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Tenax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Suite 300, Chapel Hill, NORTH CAROLINA , 27517.</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 xml:space="preserve">This Amendment No. 1 to Schedule 13D ("Schedule 13D/A"), which amends the statement on Schedule 13D filed with the SEC on March 10, 2026, is filed by Mr. Giordano (the "Reporting Person"). Except as expressly amended below, the Schedule 13D remains in effect. Capitalized terms used but not defined in this Schedule 13D/A shall have the meanings set forth in the Schedule 13D. </w:t>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This Schedule 13D/A is filed solely as a result of the increase in the number of issued and outstanding shares of the Issuer's Common Stock. As of the date of this filing, the Reporting Person is deemed to own in the aggregate and on a beneficial ownership basis, 11,324 shares of Common Stock and 1,679,282 shares of Common Stock underlying stock options comprised of (i) 1,241,500 shares of Common Stock underlying options with an exercise price of $5.94 per share, (ii) 437,500 shares of Common Stock underlying options with an exercise price of $5.89 per share, (iii) 125 shares of Common Stock underlying options with an exercise price of $992 per share, and (iv) 157 shares of Common Stock underlying options with an exercise price of $3,152 per share. The filing of this Amendment No. 1 represents the final amendment to this Schedule 13D and constitutes an exit filing for the Reporting Person. The Reporting Person reports his beneficial ownership in accordance with the filing requirements of Section 16(a) of the Act.</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0"/>
              <w:jc w:val="left"/>
              <w:rPr/>
            </w:pPr>
            <w:r>
              <w:rPr/>
              <w:t>1,690,606 - 4.32%</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0"/>
              <w:jc w:val="left"/>
              <w:rPr/>
            </w:pPr>
            <w:r>
              <w:rPr/>
              <w:t>1,690,606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Christopher Thomas Giordano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Christopher Thomas Giordano</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President and Chief Executive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713</Words>
  <Characters>3674</Characters>
  <CharactersWithSpaces>4346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