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ind w:left="3220" w:right="1860" w:hanging="3212"/>
        <w:spacing w:after="0" w:line="422" w:lineRule="auto"/>
        <w:tabs>
          <w:tab w:leader="none" w:pos="4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-435610</wp:posOffset>
            </wp:positionV>
            <wp:extent cx="8445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-104775</wp:posOffset>
            </wp:positionV>
            <wp:extent cx="84455"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 cy="85725"/>
                    </a:xfrm>
                    <a:prstGeom prst="rect">
                      <a:avLst/>
                    </a:prstGeom>
                    <a:noFill/>
                  </pic:spPr>
                </pic:pic>
              </a:graphicData>
            </a:graphic>
          </wp:anchor>
        </w:drawing>
      </w:r>
    </w:p>
    <w:p>
      <w:pPr>
        <w:spacing w:after="0" w:line="120"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2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383"/>
        </w:trPr>
        <w:tc>
          <w:tcPr>
            <w:tcW w:w="3820" w:type="dxa"/>
            <w:vAlign w:val="bottom"/>
            <w:gridSpan w:val="2"/>
          </w:tcPr>
          <w:p>
            <w:pPr>
              <w:ind w:left="1000"/>
              <w:spacing w:after="0"/>
              <w:rPr>
                <w:sz w:val="20"/>
                <w:szCs w:val="20"/>
                <w:color w:val="auto"/>
              </w:rPr>
            </w:pPr>
            <w:r>
              <w:rPr>
                <w:rFonts w:ascii="Arial" w:cs="Arial" w:eastAsia="Arial" w:hAnsi="Arial"/>
                <w:sz w:val="18"/>
                <w:szCs w:val="18"/>
                <w:b w:val="1"/>
                <w:bCs w:val="1"/>
                <w:color w:val="auto"/>
                <w:w w:val="90"/>
              </w:rPr>
              <w:t>Commission File Number 001-34600</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4708525</wp:posOffset>
            </wp:positionH>
            <wp:positionV relativeFrom="paragraph">
              <wp:posOffset>-255270</wp:posOffset>
            </wp:positionV>
            <wp:extent cx="361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TENAX THERAPEUTICS, INC</w:t>
      </w:r>
      <w:r>
        <w:rPr>
          <w:rFonts w:ascii="Arial" w:cs="Arial" w:eastAsia="Arial" w:hAnsi="Arial"/>
          <w:sz w:val="43"/>
          <w:szCs w:val="43"/>
          <w:b w:val="1"/>
          <w:bCs w:val="1"/>
          <w:color w:val="auto"/>
        </w:rPr>
        <w: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both"/>
        <w:ind w:left="1840"/>
        <w:spacing w:after="0"/>
        <w:tabs>
          <w:tab w:leader="none" w:pos="86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26-2593535</w:t>
      </w:r>
    </w:p>
    <w:p>
      <w:pPr>
        <w:spacing w:after="0" w:line="21" w:lineRule="exact"/>
        <w:rPr>
          <w:sz w:val="24"/>
          <w:szCs w:val="24"/>
          <w:color w:val="auto"/>
        </w:rPr>
      </w:pPr>
    </w:p>
    <w:p>
      <w:pPr>
        <w:jc w:val="right"/>
        <w:ind w:right="780"/>
        <w:spacing w:after="0"/>
        <w:tabs>
          <w:tab w:leader="none" w:pos="2680" w:val="left"/>
        </w:tabs>
        <w:rPr>
          <w:sz w:val="20"/>
          <w:szCs w:val="20"/>
          <w:color w:val="auto"/>
        </w:rPr>
      </w:pPr>
      <w:r>
        <w:rPr>
          <w:rFonts w:ascii="Arial" w:cs="Arial" w:eastAsia="Arial" w:hAnsi="Arial"/>
          <w:sz w:val="18"/>
          <w:szCs w:val="18"/>
          <w:b w:val="1"/>
          <w:bCs w:val="1"/>
          <w:color w:val="auto"/>
        </w:rPr>
        <w:t>(State of incorporation)</w:t>
      </w:r>
      <w:r>
        <w:rPr>
          <w:sz w:val="20"/>
          <w:szCs w:val="20"/>
          <w:color w:val="auto"/>
        </w:rPr>
        <w:tab/>
      </w:r>
      <w:r>
        <w:rPr>
          <w:rFonts w:ascii="Arial" w:cs="Arial" w:eastAsia="Arial" w:hAnsi="Arial"/>
          <w:sz w:val="16"/>
          <w:szCs w:val="16"/>
          <w:b w:val="1"/>
          <w:bCs w:val="1"/>
          <w:color w:val="auto"/>
        </w:rPr>
        <w:t>(I.R.S. Employer Identification No.)</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Copley Parkway, Suite 490, Morrisville, North Carolina 27560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(919) 855-2100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ectPr>
          <w:pgSz w:w="11900" w:h="16838" w:orient="portrait"/>
          <w:cols w:equalWidth="0" w:num="1">
            <w:col w:w="11240"/>
          </w:cols>
          <w:pgMar w:left="320" w:top="693" w:right="339" w:bottom="1440" w:gutter="0" w:footer="0" w:header="0"/>
        </w:sectPr>
      </w:pPr>
    </w:p>
    <w:p>
      <w:pPr>
        <w:spacing w:after="0" w:line="21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6"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2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r>
      <w:tr>
        <w:trPr>
          <w:trHeight w:val="222"/>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Common Stock, $0.0001 par value per share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TENX</w:t>
            </w:r>
          </w:p>
        </w:tc>
      </w:tr>
      <w:tr>
        <w:trPr>
          <w:trHeight w:val="21"/>
        </w:trPr>
        <w:tc>
          <w:tcPr>
            <w:tcW w:w="4420" w:type="dxa"/>
            <w:vAlign w:val="bottom"/>
            <w:tcBorders>
              <w:left w:val="single" w:sz="8" w:color="auto"/>
              <w:right w:val="single" w:sz="8" w:color="auto"/>
            </w:tcBorders>
          </w:tcPr>
          <w:p>
            <w:pPr>
              <w:spacing w:after="0" w:line="20" w:lineRule="exact"/>
              <w:rPr>
                <w:sz w:val="1"/>
                <w:szCs w:val="1"/>
                <w:color w:val="auto"/>
              </w:rPr>
            </w:pPr>
          </w:p>
        </w:tc>
        <w:tc>
          <w:tcPr>
            <w:tcW w:w="2580" w:type="dxa"/>
            <w:vAlign w:val="bottom"/>
            <w:tcBorders>
              <w:right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580"/>
        <w:spacing w:after="0"/>
        <w:rPr>
          <w:sz w:val="20"/>
          <w:szCs w:val="20"/>
          <w:color w:val="auto"/>
        </w:rPr>
      </w:pPr>
      <w:r>
        <w:rPr>
          <w:rFonts w:ascii="Arial" w:cs="Arial" w:eastAsia="Arial" w:hAnsi="Arial"/>
          <w:sz w:val="15"/>
          <w:szCs w:val="15"/>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-371475</wp:posOffset>
            </wp:positionH>
            <wp:positionV relativeFrom="paragraph">
              <wp:posOffset>-112395</wp:posOffset>
            </wp:positionV>
            <wp:extent cx="270891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8910" cy="162560"/>
                    </a:xfrm>
                    <a:prstGeom prst="rect">
                      <a:avLst/>
                    </a:prstGeom>
                    <a:noFill/>
                  </pic:spPr>
                </pic:pic>
              </a:graphicData>
            </a:graphic>
          </wp:anchor>
        </w:drawing>
      </w:r>
    </w:p>
    <w:p>
      <w:pPr>
        <w:spacing w:after="0" w:line="51"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The Nasdaq Stock Market LLC</w:t>
      </w:r>
    </w:p>
    <w:p>
      <w:pPr>
        <w:spacing w:after="0" w:line="184" w:lineRule="exact"/>
        <w:rPr>
          <w:sz w:val="24"/>
          <w:szCs w:val="24"/>
          <w:color w:val="auto"/>
        </w:rPr>
      </w:pPr>
    </w:p>
    <w:p>
      <w:pPr>
        <w:sectPr>
          <w:pgSz w:w="11900" w:h="16838" w:orient="portrait"/>
          <w:cols w:equalWidth="0" w:num="2">
            <w:col w:w="6980" w:space="580"/>
            <w:col w:w="3680"/>
          </w:cols>
          <w:pgMar w:left="320" w:top="693" w:right="339" w:bottom="1440" w:gutter="0" w:footer="0" w:header="0"/>
          <w:type w:val="continuous"/>
        </w:sectPr>
      </w:pPr>
    </w:p>
    <w:p>
      <w:pPr>
        <w:ind w:right="80" w:firstLine="48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86"/>
        <w:spacing w:after="0" w:line="22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ind w:firstLine="48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190" w:lineRule="exact"/>
        <w:rPr>
          <w:sz w:val="24"/>
          <w:szCs w:val="24"/>
          <w:color w:val="auto"/>
        </w:rPr>
      </w:pPr>
    </w:p>
    <w:p>
      <w:pPr>
        <w:ind w:right="280" w:firstLine="48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ind w:left="500" w:right="1300"/>
        <w:spacing w:after="0" w:line="310"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12, 2020, the registrant had outstanding 12,619,369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60" w:type="dxa"/>
            <w:vAlign w:val="bottom"/>
            <w:gridSpan w:val="2"/>
          </w:tcPr>
          <w:p>
            <w:pPr>
              <w:ind w:left="22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9"/>
                <w:szCs w:val="19"/>
                <w:color w:val="auto"/>
              </w:rPr>
            </w:pPr>
          </w:p>
        </w:tc>
      </w:tr>
      <w:tr>
        <w:trPr>
          <w:trHeight w:val="374"/>
        </w:trPr>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215"/>
        </w:trPr>
        <w:tc>
          <w:tcPr>
            <w:tcW w:w="10460" w:type="dxa"/>
            <w:vAlign w:val="bottom"/>
            <w:gridSpan w:val="4"/>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780" w:type="dxa"/>
            <w:vAlign w:val="bottom"/>
          </w:tcPr>
          <w:p>
            <w:pPr>
              <w:spacing w:after="0"/>
              <w:rPr>
                <w:sz w:val="18"/>
                <w:szCs w:val="18"/>
                <w:color w:val="auto"/>
              </w:rPr>
            </w:pPr>
          </w:p>
        </w:tc>
      </w:tr>
      <w:tr>
        <w:trPr>
          <w:trHeight w:val="217"/>
        </w:trPr>
        <w:tc>
          <w:tcPr>
            <w:tcW w:w="136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10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1360" w:type="dxa"/>
            <w:vAlign w:val="bottom"/>
          </w:tcPr>
          <w:p>
            <w:pPr>
              <w:spacing w:after="0"/>
              <w:rPr>
                <w:sz w:val="18"/>
                <w:szCs w:val="18"/>
                <w:color w:val="auto"/>
              </w:rPr>
            </w:pPr>
          </w:p>
        </w:tc>
        <w:tc>
          <w:tcPr>
            <w:tcW w:w="91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(Unaudited) and December 31, 2019</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176"/>
        </w:trPr>
        <w:tc>
          <w:tcPr>
            <w:tcW w:w="1360" w:type="dxa"/>
            <w:vAlign w:val="bottom"/>
            <w:tcBorders>
              <w:bottom w:val="single" w:sz="8" w:color="CCEEFF"/>
            </w:tcBorders>
            <w:shd w:val="clear" w:color="auto" w:fill="CCEEFF"/>
          </w:tcPr>
          <w:p>
            <w:pPr>
              <w:spacing w:after="0"/>
              <w:rPr>
                <w:sz w:val="15"/>
                <w:szCs w:val="15"/>
                <w:color w:val="auto"/>
              </w:rPr>
            </w:pPr>
          </w:p>
        </w:tc>
        <w:tc>
          <w:tcPr>
            <w:tcW w:w="89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Comprehensive Loss (Unaudited) for the Three and Nine Months Ended September 30,</w:t>
              </w:r>
            </w:hyperlink>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360" w:type="dxa"/>
            <w:vAlign w:val="bottom"/>
            <w:shd w:val="clear" w:color="auto" w:fill="CCEEFF"/>
          </w:tcPr>
          <w:p>
            <w:pPr>
              <w:spacing w:after="0"/>
              <w:rPr>
                <w:sz w:val="17"/>
                <w:szCs w:val="17"/>
                <w:color w:val="auto"/>
              </w:rPr>
            </w:pPr>
          </w:p>
        </w:tc>
        <w:tc>
          <w:tcPr>
            <w:tcW w:w="9100" w:type="dxa"/>
            <w:vAlign w:val="bottom"/>
            <w:gridSpan w:val="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and 2019</w:t>
              </w:r>
            </w:hyperlink>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tcPr>
          <w:p>
            <w:pPr>
              <w:spacing w:after="0"/>
              <w:rPr>
                <w:sz w:val="15"/>
                <w:szCs w:val="15"/>
                <w:color w:val="auto"/>
              </w:rPr>
            </w:pPr>
          </w:p>
        </w:tc>
        <w:tc>
          <w:tcPr>
            <w:tcW w:w="9100" w:type="dxa"/>
            <w:vAlign w:val="bottom"/>
            <w:gridSpan w:val="3"/>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(Unaudited) for the Three and Nine Months Ended September 30,</w:t>
              </w:r>
            </w:hyperlink>
          </w:p>
        </w:tc>
        <w:tc>
          <w:tcPr>
            <w:tcW w:w="78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8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w:t>
              </w:r>
            </w:hyperlink>
          </w:p>
        </w:tc>
        <w:tc>
          <w:tcPr>
            <w:tcW w:w="16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1"/>
        </w:trPr>
        <w:tc>
          <w:tcPr>
            <w:tcW w:w="1360" w:type="dxa"/>
            <w:vAlign w:val="bottom"/>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9100" w:type="dxa"/>
            <w:vAlign w:val="bottom"/>
            <w:gridSpan w:val="3"/>
            <w:shd w:val="clear" w:color="auto" w:fill="CCEEFF"/>
          </w:tcPr>
          <w:p>
            <w:pPr>
              <w:spacing w:after="0"/>
              <w:rPr>
                <w:rFonts w:ascii="Arial" w:cs="Arial" w:eastAsia="Arial" w:hAnsi="Arial"/>
                <w:sz w:val="18"/>
                <w:szCs w:val="18"/>
                <w:u w:val="single" w:color="auto"/>
                <w:color w:val="0000EE"/>
                <w:w w:val="92"/>
              </w:rPr>
            </w:pPr>
            <w:hyperlink w:anchor="page7">
              <w:r>
                <w:rPr>
                  <w:rFonts w:ascii="Arial" w:cs="Arial" w:eastAsia="Arial" w:hAnsi="Arial"/>
                  <w:sz w:val="18"/>
                  <w:szCs w:val="18"/>
                  <w:u w:val="single" w:color="auto"/>
                  <w:color w:val="0000EE"/>
                  <w:w w:val="92"/>
                </w:rPr>
                <w:t>Condensed Consolidated Statements of Cash Flows (Unaudited) for the Nine Months Ended September 30, 2020 and 2019</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1360" w:type="dxa"/>
            <w:vAlign w:val="bottom"/>
          </w:tcPr>
          <w:p>
            <w:pPr>
              <w:spacing w:after="0"/>
              <w:rPr>
                <w:sz w:val="18"/>
                <w:szCs w:val="18"/>
                <w:color w:val="auto"/>
              </w:rPr>
            </w:pPr>
          </w:p>
        </w:tc>
        <w:tc>
          <w:tcPr>
            <w:tcW w:w="910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136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w:t>
              </w:r>
            </w:hyperlink>
          </w:p>
        </w:tc>
        <w:tc>
          <w:tcPr>
            <w:tcW w:w="9100" w:type="dxa"/>
            <w:vAlign w:val="bottom"/>
            <w:gridSpan w:val="3"/>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3.</w:t>
              </w:r>
            </w:hyperlink>
          </w:p>
        </w:tc>
        <w:tc>
          <w:tcPr>
            <w:tcW w:w="910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136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4.</w:t>
              </w:r>
            </w:hyperlink>
          </w:p>
        </w:tc>
        <w:tc>
          <w:tcPr>
            <w:tcW w:w="9100" w:type="dxa"/>
            <w:vAlign w:val="bottom"/>
            <w:gridSpan w:val="3"/>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2400" w:type="dxa"/>
            <w:vAlign w:val="bottom"/>
            <w:gridSpan w:val="2"/>
          </w:tcPr>
          <w:p>
            <w:pPr>
              <w:spacing w:after="0"/>
              <w:rPr>
                <w:sz w:val="18"/>
                <w:szCs w:val="18"/>
                <w:color w:val="auto"/>
              </w:rPr>
            </w:pPr>
          </w:p>
        </w:tc>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4"/>
            <w:shd w:val="clear" w:color="auto" w:fill="CCEEFF"/>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OTHER INFORMATION</w:t>
              </w:r>
            </w:hyperlink>
          </w:p>
        </w:tc>
        <w:tc>
          <w:tcPr>
            <w:tcW w:w="78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w:t>
              </w:r>
            </w:hyperlink>
          </w:p>
        </w:tc>
        <w:tc>
          <w:tcPr>
            <w:tcW w:w="910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36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1A.</w:t>
              </w:r>
            </w:hyperlink>
          </w:p>
        </w:tc>
        <w:tc>
          <w:tcPr>
            <w:tcW w:w="9100" w:type="dxa"/>
            <w:vAlign w:val="bottom"/>
            <w:gridSpan w:val="3"/>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22"/>
        </w:trPr>
        <w:tc>
          <w:tcPr>
            <w:tcW w:w="13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w:t>
              </w:r>
            </w:hyperlink>
          </w:p>
        </w:tc>
        <w:tc>
          <w:tcPr>
            <w:tcW w:w="910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0"/>
        </w:trPr>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55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7580" w:type="dxa"/>
            <w:vAlign w:val="bottom"/>
          </w:tcPr>
          <w:p>
            <w:pPr>
              <w:jc w:val="center"/>
              <w:ind w:left="1372"/>
              <w:spacing w:after="0"/>
              <w:rPr>
                <w:sz w:val="20"/>
                <w:szCs w:val="20"/>
                <w:color w:val="auto"/>
              </w:rPr>
            </w:pPr>
            <w:r>
              <w:rPr>
                <w:rFonts w:ascii="Arial" w:cs="Arial" w:eastAsia="Arial" w:hAnsi="Arial"/>
                <w:sz w:val="18"/>
                <w:szCs w:val="18"/>
                <w:b w:val="1"/>
                <w:bCs w:val="1"/>
                <w:color w:val="auto"/>
                <w:w w:val="99"/>
              </w:rPr>
              <w:t>PART I - FINANCIAL INFORMATION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1100" w:type="dxa"/>
            <w:vAlign w:val="bottom"/>
          </w:tcPr>
          <w:p>
            <w:pPr>
              <w:spacing w:after="0"/>
              <w:rPr>
                <w:sz w:val="24"/>
                <w:szCs w:val="24"/>
                <w:color w:val="auto"/>
              </w:rPr>
            </w:pPr>
          </w:p>
        </w:tc>
        <w:tc>
          <w:tcPr>
            <w:tcW w:w="7580" w:type="dxa"/>
            <w:vAlign w:val="bottom"/>
          </w:tcPr>
          <w:p>
            <w:pPr>
              <w:jc w:val="center"/>
              <w:ind w:left="1392"/>
              <w:spacing w:after="0"/>
              <w:rPr>
                <w:sz w:val="20"/>
                <w:szCs w:val="20"/>
                <w:color w:val="auto"/>
              </w:rPr>
            </w:pPr>
            <w:r>
              <w:rPr>
                <w:rFonts w:ascii="Arial" w:cs="Arial" w:eastAsia="Arial" w:hAnsi="Arial"/>
                <w:sz w:val="18"/>
                <w:szCs w:val="18"/>
                <w:b w:val="1"/>
                <w:bCs w:val="1"/>
                <w:color w:val="auto"/>
                <w:w w:val="99"/>
              </w:rPr>
              <w:t>TENAX THERAPEUTICS, INC.</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7580" w:type="dxa"/>
            <w:vAlign w:val="bottom"/>
          </w:tcPr>
          <w:p>
            <w:pPr>
              <w:jc w:val="center"/>
              <w:ind w:left="139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1"/>
        </w:trPr>
        <w:tc>
          <w:tcPr>
            <w:tcW w:w="11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110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485"/>
        </w:trPr>
        <w:tc>
          <w:tcPr>
            <w:tcW w:w="11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1100" w:type="dxa"/>
            <w:vAlign w:val="bottom"/>
            <w:shd w:val="clear" w:color="auto" w:fill="CCEEFF"/>
          </w:tcPr>
          <w:p>
            <w:pPr>
              <w:spacing w:after="0"/>
              <w:rPr>
                <w:sz w:val="21"/>
                <w:szCs w:val="21"/>
                <w:color w:val="auto"/>
              </w:rPr>
            </w:pPr>
          </w:p>
        </w:tc>
        <w:tc>
          <w:tcPr>
            <w:tcW w:w="7580" w:type="dxa"/>
            <w:vAlign w:val="bottom"/>
            <w:shd w:val="clear" w:color="auto" w:fill="CCEEFF"/>
          </w:tcPr>
          <w:p>
            <w:pPr>
              <w:jc w:val="center"/>
              <w:ind w:right="1132"/>
              <w:spacing w:after="0"/>
              <w:rPr>
                <w:sz w:val="20"/>
                <w:szCs w:val="20"/>
                <w:color w:val="auto"/>
              </w:rPr>
            </w:pPr>
            <w:r>
              <w:rPr>
                <w:rFonts w:ascii="Arial" w:cs="Arial" w:eastAsia="Arial" w:hAnsi="Arial"/>
                <w:sz w:val="18"/>
                <w:szCs w:val="18"/>
                <w:b w:val="1"/>
                <w:bCs w:val="1"/>
                <w:color w:val="auto"/>
                <w:w w:val="88"/>
              </w:rPr>
              <w:t>ASSETS</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1100" w:type="dxa"/>
            <w:vAlign w:val="bottom"/>
          </w:tcPr>
          <w:p>
            <w:pPr>
              <w:spacing w:after="0"/>
              <w:rPr>
                <w:sz w:val="20"/>
                <w:szCs w:val="20"/>
                <w:color w:val="auto"/>
              </w:rPr>
            </w:pPr>
            <w:r>
              <w:rPr>
                <w:rFonts w:ascii="Arial" w:cs="Arial" w:eastAsia="Arial" w:hAnsi="Arial"/>
                <w:sz w:val="18"/>
                <w:szCs w:val="18"/>
                <w:color w:val="auto"/>
                <w:w w:val="92"/>
              </w:rPr>
              <w:t>Current assets</w:t>
            </w:r>
          </w:p>
        </w:tc>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8,235,532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4,905,993</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493,884</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780,952</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8,897,455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6,180,829</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169,448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6,559</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8,435</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Total assets</w:t>
            </w:r>
          </w:p>
        </w:tc>
        <w:tc>
          <w:tcPr>
            <w:tcW w:w="7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8,996,636</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6,365,271</w:t>
            </w:r>
          </w:p>
        </w:tc>
      </w:tr>
      <w:tr>
        <w:trPr>
          <w:trHeight w:val="21"/>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1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7580" w:type="dxa"/>
            <w:vAlign w:val="bottom"/>
          </w:tcPr>
          <w:p>
            <w:pPr>
              <w:jc w:val="center"/>
              <w:ind w:right="113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1,052,824</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1,661,054</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871,341</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Note payable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2,532,395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60,379</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 term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60,379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5"/>
              </w:rPr>
              <w:t>Total liabilities</w:t>
            </w: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1,592,932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2,592,774</w:t>
            </w: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undesignated, authorized 9,999,790 shares; See Note 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00"/>
              <w:spacing w:after="0"/>
              <w:rPr>
                <w:sz w:val="20"/>
                <w:szCs w:val="20"/>
                <w:color w:val="auto"/>
              </w:rPr>
            </w:pPr>
            <w:r>
              <w:rPr>
                <w:rFonts w:ascii="Arial" w:cs="Arial" w:eastAsia="Arial" w:hAnsi="Arial"/>
                <w:sz w:val="18"/>
                <w:szCs w:val="18"/>
                <w:color w:val="auto"/>
              </w:rPr>
              <w:t>Series A Preferred stock, par value $.0001, issued and outstanding 210 and 38,606, respectively</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08"/>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Common stock, par value $.0001 per share; authorized 400,000,000 shares; issued and outstanding 12,619,369 and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6,741,860, respectively</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250,591,604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239,939,797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gain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(243,190,065)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(236,168,436)</w:t>
            </w:r>
          </w:p>
        </w:tc>
      </w:tr>
      <w:tr>
        <w:trPr>
          <w:trHeight w:val="27"/>
        </w:trPr>
        <w:tc>
          <w:tcPr>
            <w:tcW w:w="1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3,772,497</w:t>
            </w:r>
          </w:p>
        </w:tc>
      </w:tr>
      <w:tr>
        <w:trPr>
          <w:trHeight w:val="27"/>
        </w:trPr>
        <w:tc>
          <w:tcPr>
            <w:tcW w:w="110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8,996,636</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6,365,271</w:t>
            </w:r>
          </w:p>
        </w:tc>
      </w:tr>
      <w:tr>
        <w:trPr>
          <w:trHeight w:val="20"/>
        </w:trPr>
        <w:tc>
          <w:tcPr>
            <w:tcW w:w="1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right"/>
              <w:ind w:right="7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5"/>
                <w:szCs w:val="15"/>
                <w:b w:val="1"/>
                <w:bCs w:val="1"/>
                <w:color w:val="auto"/>
              </w:rPr>
              <w:t>Nine months ended</w:t>
            </w:r>
          </w:p>
        </w:tc>
      </w:tr>
      <w:tr>
        <w:trPr>
          <w:trHeight w:val="182"/>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5"/>
                <w:szCs w:val="15"/>
                <w:b w:val="1"/>
                <w:bCs w:val="1"/>
                <w:color w:val="auto"/>
              </w:rPr>
              <w:t>September 30,</w:t>
            </w:r>
          </w:p>
        </w:tc>
      </w:tr>
      <w:tr>
        <w:trPr>
          <w:trHeight w:val="250"/>
        </w:trPr>
        <w:tc>
          <w:tcPr>
            <w:tcW w:w="5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60"/>
        </w:trPr>
        <w:tc>
          <w:tcPr>
            <w:tcW w:w="5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3"/>
              </w:rPr>
              <w:t>(Unaudited)</w:t>
            </w:r>
          </w:p>
        </w:tc>
      </w:tr>
      <w:tr>
        <w:trPr>
          <w:trHeight w:val="226"/>
        </w:trPr>
        <w:tc>
          <w:tcPr>
            <w:tcW w:w="5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56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1,172,725</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1,343,429</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3,364,890</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3,692,843</w:t>
            </w:r>
          </w:p>
        </w:tc>
      </w:tr>
      <w:tr>
        <w:trPr>
          <w:trHeight w:val="216"/>
        </w:trPr>
        <w:tc>
          <w:tcPr>
            <w:tcW w:w="5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2,049,004</w:t>
            </w:r>
          </w:p>
        </w:tc>
      </w:tr>
      <w:tr>
        <w:trPr>
          <w:trHeight w:val="27"/>
        </w:trPr>
        <w:tc>
          <w:tcPr>
            <w:tcW w:w="5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6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2,225,123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2,260,413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7,034,651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5,741,847</w:t>
            </w:r>
          </w:p>
        </w:tc>
      </w:tr>
      <w:tr>
        <w:trPr>
          <w:trHeight w:val="216"/>
        </w:trPr>
        <w:tc>
          <w:tcPr>
            <w:tcW w:w="5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ind w:left="340"/>
              <w:spacing w:after="0"/>
              <w:rPr>
                <w:sz w:val="20"/>
                <w:szCs w:val="20"/>
                <w:color w:val="auto"/>
              </w:rPr>
            </w:pPr>
            <w:r>
              <w:rPr>
                <w:rFonts w:ascii="Arial" w:cs="Arial" w:eastAsia="Arial" w:hAnsi="Arial"/>
                <w:sz w:val="18"/>
                <w:szCs w:val="18"/>
                <w:color w:val="auto"/>
              </w:rPr>
              <w:t>Net operating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2,225,123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2,260,413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7,034,651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5,741,847</w:t>
            </w:r>
          </w:p>
        </w:tc>
      </w:tr>
      <w:tr>
        <w:trPr>
          <w:trHeight w:val="216"/>
        </w:trPr>
        <w:tc>
          <w:tcPr>
            <w:tcW w:w="5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(139,161)</w:t>
            </w:r>
          </w:p>
        </w:tc>
      </w:tr>
      <w:tr>
        <w:trPr>
          <w:trHeight w:val="27"/>
        </w:trPr>
        <w:tc>
          <w:tcPr>
            <w:tcW w:w="5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2,220,435</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2,223,704</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7,021,629</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5,602,686</w:t>
            </w:r>
          </w:p>
        </w:tc>
      </w:tr>
      <w:tr>
        <w:trPr>
          <w:trHeight w:val="20"/>
        </w:trPr>
        <w:tc>
          <w:tcPr>
            <w:tcW w:w="5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Unrealized loss (gain) on marketable securities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2,221,606</w:t>
            </w:r>
          </w:p>
        </w:tc>
        <w:tc>
          <w:tcPr>
            <w:tcW w:w="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2,224,664</w:t>
            </w:r>
          </w:p>
        </w:tc>
        <w:tc>
          <w:tcPr>
            <w:tcW w:w="16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7,021,184</w:t>
            </w:r>
          </w:p>
        </w:tc>
        <w:tc>
          <w:tcPr>
            <w:tcW w:w="1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5,601,883</w:t>
            </w:r>
          </w:p>
        </w:tc>
      </w:tr>
      <w:tr>
        <w:trPr>
          <w:trHeight w:val="209"/>
        </w:trPr>
        <w:tc>
          <w:tcPr>
            <w:tcW w:w="5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w w:val="92"/>
              </w:rPr>
              <w:t>Weighted average number of common shares outstanding, basic and diluted</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12,427,355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6,741,084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9,590,741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6,011,304</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18"/>
                <w:szCs w:val="18"/>
                <w:color w:val="auto"/>
              </w:rPr>
            </w:pPr>
          </w:p>
        </w:tc>
        <w:tc>
          <w:tcPr>
            <w:tcW w:w="2240" w:type="dxa"/>
            <w:vAlign w:val="bottom"/>
            <w:gridSpan w:val="5"/>
          </w:tcPr>
          <w:p>
            <w:pPr>
              <w:jc w:val="center"/>
              <w:ind w:left="6"/>
              <w:spacing w:after="0"/>
              <w:rPr>
                <w:sz w:val="20"/>
                <w:szCs w:val="20"/>
                <w:color w:val="auto"/>
              </w:rPr>
            </w:pPr>
            <w:r>
              <w:rPr>
                <w:rFonts w:ascii="Arial" w:cs="Arial" w:eastAsia="Arial" w:hAnsi="Arial"/>
                <w:sz w:val="15"/>
                <w:szCs w:val="15"/>
                <w:b w:val="1"/>
                <w:bCs w:val="1"/>
                <w:color w:val="auto"/>
                <w:w w:val="89"/>
              </w:rPr>
              <w:t>Preferred Stock</w:t>
            </w:r>
          </w:p>
        </w:tc>
        <w:tc>
          <w:tcPr>
            <w:tcW w:w="2020" w:type="dxa"/>
            <w:vAlign w:val="bottom"/>
            <w:gridSpan w:val="4"/>
          </w:tcPr>
          <w:p>
            <w:pPr>
              <w:jc w:val="center"/>
              <w:ind w:left="246"/>
              <w:spacing w:after="0"/>
              <w:rPr>
                <w:sz w:val="20"/>
                <w:szCs w:val="20"/>
                <w:color w:val="auto"/>
              </w:rPr>
            </w:pPr>
            <w:r>
              <w:rPr>
                <w:rFonts w:ascii="Arial" w:cs="Arial" w:eastAsia="Arial" w:hAnsi="Arial"/>
                <w:sz w:val="15"/>
                <w:szCs w:val="15"/>
                <w:b w:val="1"/>
                <w:bCs w:val="1"/>
                <w:color w:val="auto"/>
                <w:w w:val="89"/>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49"/>
        </w:trPr>
        <w:tc>
          <w:tcPr>
            <w:tcW w:w="23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5"/>
                <w:szCs w:val="15"/>
                <w:b w:val="1"/>
                <w:bCs w:val="1"/>
                <w:color w:val="auto"/>
              </w:rPr>
              <w:t>Accumulated</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auto"/>
                <w:w w:val="92"/>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Total</w:t>
            </w:r>
          </w:p>
        </w:tc>
      </w:tr>
      <w:tr>
        <w:trPr>
          <w:trHeight w:val="189"/>
        </w:trPr>
        <w:tc>
          <w:tcPr>
            <w:tcW w:w="238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66"/>
              <w:spacing w:after="0"/>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comprehensive</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91"/>
              </w:rPr>
              <w:t>Accumulated</w:t>
            </w:r>
          </w:p>
        </w:tc>
        <w:tc>
          <w:tcPr>
            <w:tcW w:w="102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88"/>
              </w:rPr>
              <w:t>stockholders'</w:t>
            </w:r>
          </w:p>
        </w:tc>
      </w:tr>
      <w:tr>
        <w:trPr>
          <w:trHeight w:val="209"/>
        </w:trPr>
        <w:tc>
          <w:tcPr>
            <w:tcW w:w="2380" w:type="dxa"/>
            <w:vAlign w:val="bottom"/>
          </w:tcPr>
          <w:p>
            <w:pPr>
              <w:spacing w:after="0"/>
              <w:rPr>
                <w:sz w:val="18"/>
                <w:szCs w:val="18"/>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capital</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w w:val="85"/>
              </w:rPr>
              <w:t>gain (loss)</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8"/>
                <w:szCs w:val="18"/>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2018</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2,854,593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3,792,249</w:t>
            </w:r>
          </w:p>
        </w:tc>
        <w:tc>
          <w:tcPr>
            <w:tcW w:w="340" w:type="dxa"/>
            <w:vAlign w:val="bottom"/>
            <w:gridSpan w:val="2"/>
            <w:shd w:val="clear" w:color="auto" w:fill="CCEEFF"/>
          </w:tcPr>
          <w:p>
            <w:pPr>
              <w:jc w:val="center"/>
              <w:ind w:left="106"/>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239,572,094</w:t>
            </w:r>
          </w:p>
        </w:tc>
        <w:tc>
          <w:tcPr>
            <w:tcW w:w="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516</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(227,801,743)</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5"/>
              </w:rPr>
              <w:t>11,771,531</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Compensation on options and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12,195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60,294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60,295</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(2,299,990)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(230)</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2,299,990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230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Exercise of warrants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96,495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96,500</w:t>
            </w:r>
          </w:p>
        </w:tc>
        <w:tc>
          <w:tcPr>
            <w:tcW w:w="100" w:type="dxa"/>
            <w:vAlign w:val="bottom"/>
          </w:tcPr>
          <w:p>
            <w:pPr>
              <w:spacing w:after="0"/>
              <w:rPr>
                <w:sz w:val="14"/>
                <w:szCs w:val="14"/>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9"/>
              </w:rPr>
              <w:t>Adoption of ASC Topic 842: Leases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27,670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27,670</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1,289</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1,289</w:t>
            </w:r>
          </w:p>
        </w:tc>
        <w:tc>
          <w:tcPr>
            <w:tcW w:w="100" w:type="dxa"/>
            <w:vAlign w:val="bottom"/>
          </w:tcPr>
          <w:p>
            <w:pPr>
              <w:spacing w:after="0"/>
              <w:rPr>
                <w:sz w:val="14"/>
                <w:szCs w:val="14"/>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(1,617,445)</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(1,617,445)</w:t>
            </w:r>
          </w:p>
        </w:tc>
      </w:tr>
      <w:tr>
        <w:trPr>
          <w:trHeight w:val="27"/>
        </w:trPr>
        <w:tc>
          <w:tcPr>
            <w:tcW w:w="2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March 31, 2019</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554,603</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55</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6,154,434</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615</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239,728,883</w:t>
            </w:r>
          </w:p>
        </w:tc>
        <w:tc>
          <w:tcPr>
            <w:tcW w:w="200" w:type="dxa"/>
            <w:vAlign w:val="bottom"/>
          </w:tcPr>
          <w:p>
            <w:pPr>
              <w:spacing w:after="0"/>
              <w:rPr>
                <w:sz w:val="14"/>
                <w:szCs w:val="14"/>
                <w:color w:val="auto"/>
              </w:rPr>
            </w:pPr>
          </w:p>
        </w:tc>
        <w:tc>
          <w:tcPr>
            <w:tcW w:w="100" w:type="dxa"/>
            <w:vAlign w:val="bottom"/>
          </w:tcPr>
          <w:p>
            <w:pPr>
              <w:ind w:left="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1,805</w:t>
            </w: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(229,391,518)</w:t>
            </w: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5"/>
              </w:rPr>
              <w:t>10,339,840</w:t>
            </w:r>
          </w:p>
        </w:tc>
        <w:tc>
          <w:tcPr>
            <w:tcW w:w="100" w:type="dxa"/>
            <w:vAlign w:val="bottom"/>
          </w:tcPr>
          <w:p>
            <w:pPr>
              <w:spacing w:after="0"/>
              <w:rPr>
                <w:sz w:val="14"/>
                <w:szCs w:val="14"/>
                <w:color w:val="auto"/>
              </w:rPr>
            </w:pPr>
          </w:p>
        </w:tc>
      </w:tr>
      <w:tr>
        <w:trPr>
          <w:trHeight w:val="21"/>
        </w:trPr>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38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Compensation on options and</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restricted stock issued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41,666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41,666</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(515,997)</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(51)</w:t>
            </w: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515,997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474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474</w:t>
            </w:r>
          </w:p>
        </w:tc>
        <w:tc>
          <w:tcPr>
            <w:tcW w:w="100" w:type="dxa"/>
            <w:vAlign w:val="bottom"/>
            <w:shd w:val="clear" w:color="auto" w:fill="CCEEFF"/>
          </w:tcPr>
          <w:p>
            <w:pPr>
              <w:spacing w:after="0"/>
              <w:rPr>
                <w:sz w:val="14"/>
                <w:szCs w:val="14"/>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(1,761,537)</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(1,761,537)</w:t>
            </w: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June 30, 2019</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38,606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6,670,431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239,770,549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2,279</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(231,153,055)</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8,620,444</w:t>
            </w:r>
          </w:p>
        </w:tc>
        <w:tc>
          <w:tcPr>
            <w:tcW w:w="100" w:type="dxa"/>
            <w:vAlign w:val="bottom"/>
            <w:shd w:val="clear" w:color="auto" w:fill="CCEEFF"/>
          </w:tcPr>
          <w:p>
            <w:pPr>
              <w:spacing w:after="0"/>
              <w:rPr>
                <w:sz w:val="17"/>
                <w:szCs w:val="17"/>
                <w:color w:val="auto"/>
              </w:rPr>
            </w:pPr>
          </w:p>
        </w:tc>
      </w:tr>
      <w:tr>
        <w:trPr>
          <w:trHeight w:val="146"/>
        </w:trPr>
        <w:tc>
          <w:tcPr>
            <w:tcW w:w="2380" w:type="dxa"/>
            <w:vAlign w:val="bottom"/>
            <w:tcBorders>
              <w:top w:val="single" w:sz="8" w:color="CCEEFF"/>
            </w:tcBorders>
          </w:tcPr>
          <w:p>
            <w:pPr>
              <w:spacing w:after="0" w:line="146" w:lineRule="exact"/>
              <w:rPr>
                <w:sz w:val="20"/>
                <w:szCs w:val="20"/>
                <w:color w:val="auto"/>
              </w:rPr>
            </w:pPr>
            <w:r>
              <w:rPr>
                <w:rFonts w:ascii="Arial" w:cs="Arial" w:eastAsia="Arial" w:hAnsi="Arial"/>
                <w:sz w:val="15"/>
                <w:szCs w:val="15"/>
                <w:color w:val="auto"/>
              </w:rPr>
              <w:t>Compensation on options and</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40,765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40,765</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rendered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71,429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99,993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(960)</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line="172" w:lineRule="exact"/>
              <w:rPr>
                <w:sz w:val="20"/>
                <w:szCs w:val="20"/>
                <w:color w:val="auto"/>
              </w:rPr>
            </w:pPr>
            <w:r>
              <w:rPr>
                <w:rFonts w:ascii="Arial" w:cs="Arial" w:eastAsia="Arial" w:hAnsi="Arial"/>
                <w:sz w:val="15"/>
                <w:szCs w:val="15"/>
                <w:color w:val="auto"/>
              </w:rPr>
              <w:t>(960)</w:t>
            </w: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(2,223,704)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(2,223,704)</w:t>
            </w:r>
          </w:p>
        </w:tc>
      </w:tr>
      <w:tr>
        <w:trPr>
          <w:trHeight w:val="27"/>
        </w:trPr>
        <w:tc>
          <w:tcPr>
            <w:tcW w:w="2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September 30, 2019</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38,606</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6,741,860</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674</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239,911,307</w:t>
            </w:r>
          </w:p>
        </w:tc>
        <w:tc>
          <w:tcPr>
            <w:tcW w:w="200" w:type="dxa"/>
            <w:vAlign w:val="bottom"/>
          </w:tcPr>
          <w:p>
            <w:pPr>
              <w:spacing w:after="0"/>
              <w:rPr>
                <w:sz w:val="14"/>
                <w:szCs w:val="14"/>
                <w:color w:val="auto"/>
              </w:rPr>
            </w:pPr>
          </w:p>
        </w:tc>
        <w:tc>
          <w:tcPr>
            <w:tcW w:w="100" w:type="dxa"/>
            <w:vAlign w:val="bottom"/>
          </w:tcPr>
          <w:p>
            <w:pPr>
              <w:ind w:left="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1,319</w:t>
            </w: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(233,376,759)</w:t>
            </w: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6,536,545</w:t>
            </w:r>
          </w:p>
        </w:tc>
        <w:tc>
          <w:tcPr>
            <w:tcW w:w="100" w:type="dxa"/>
            <w:vAlign w:val="bottom"/>
          </w:tcPr>
          <w:p>
            <w:pPr>
              <w:spacing w:after="0"/>
              <w:rPr>
                <w:sz w:val="14"/>
                <w:szCs w:val="14"/>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2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December 31, 2019</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38,606</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6,741,860</w:t>
            </w:r>
          </w:p>
        </w:tc>
        <w:tc>
          <w:tcPr>
            <w:tcW w:w="340" w:type="dxa"/>
            <w:vAlign w:val="bottom"/>
            <w:gridSpan w:val="2"/>
          </w:tcPr>
          <w:p>
            <w:pPr>
              <w:jc w:val="center"/>
              <w:ind w:left="106"/>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674</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239,939,797</w:t>
            </w:r>
          </w:p>
        </w:tc>
        <w:tc>
          <w:tcPr>
            <w:tcW w:w="300" w:type="dxa"/>
            <w:vAlign w:val="bottom"/>
            <w:gridSpan w:val="2"/>
          </w:tcPr>
          <w:p>
            <w:pPr>
              <w:ind w:left="220"/>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458</w:t>
            </w: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(236,168,436)</w:t>
            </w: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3,772,497</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and pre-funded</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warrants sold, net of offering costs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750,000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2,129,930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2,130,005</w:t>
            </w:r>
          </w:p>
        </w:tc>
        <w:tc>
          <w:tcPr>
            <w:tcW w:w="100" w:type="dxa"/>
            <w:vAlign w:val="bottom"/>
            <w:shd w:val="clear" w:color="auto" w:fill="CCEEFF"/>
          </w:tcPr>
          <w:p>
            <w:pPr>
              <w:spacing w:after="0"/>
              <w:rPr>
                <w:sz w:val="14"/>
                <w:szCs w:val="14"/>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Compensation on options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72,376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72,376</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rendered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77,987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99,992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(38,396)</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(4)</w:t>
            </w: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38,396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pre-funded warrants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(1,622)</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0"/>
              <w:spacing w:after="0" w:line="172" w:lineRule="exact"/>
              <w:rPr>
                <w:sz w:val="20"/>
                <w:szCs w:val="20"/>
                <w:color w:val="auto"/>
              </w:rPr>
            </w:pPr>
            <w:r>
              <w:rPr>
                <w:rFonts w:ascii="Arial" w:cs="Arial" w:eastAsia="Arial" w:hAnsi="Arial"/>
                <w:sz w:val="15"/>
                <w:szCs w:val="15"/>
                <w:color w:val="auto"/>
              </w:rPr>
              <w:t>(1,622)</w:t>
            </w: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(2,654,644)</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(2,654,644)</w:t>
            </w:r>
          </w:p>
        </w:tc>
      </w:tr>
      <w:tr>
        <w:trPr>
          <w:trHeight w:val="27"/>
        </w:trPr>
        <w:tc>
          <w:tcPr>
            <w:tcW w:w="2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March 31, 2020</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210</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8,008,243</w:t>
            </w:r>
          </w:p>
        </w:tc>
        <w:tc>
          <w:tcPr>
            <w:tcW w:w="220" w:type="dxa"/>
            <w:vAlign w:val="bottom"/>
          </w:tcPr>
          <w:p>
            <w:pPr>
              <w:spacing w:after="0"/>
              <w:rPr>
                <w:sz w:val="14"/>
                <w:szCs w:val="14"/>
                <w:color w:val="auto"/>
              </w:rPr>
            </w:pPr>
          </w:p>
        </w:tc>
        <w:tc>
          <w:tcPr>
            <w:tcW w:w="1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801</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242,242,095</w:t>
            </w:r>
          </w:p>
        </w:tc>
        <w:tc>
          <w:tcPr>
            <w:tcW w:w="200" w:type="dxa"/>
            <w:vAlign w:val="bottom"/>
          </w:tcPr>
          <w:p>
            <w:pPr>
              <w:spacing w:after="0"/>
              <w:rPr>
                <w:sz w:val="14"/>
                <w:szCs w:val="14"/>
                <w:color w:val="auto"/>
              </w:rPr>
            </w:pPr>
          </w:p>
        </w:tc>
        <w:tc>
          <w:tcPr>
            <w:tcW w:w="100" w:type="dxa"/>
            <w:vAlign w:val="bottom"/>
          </w:tcPr>
          <w:p>
            <w:pPr>
              <w:ind w:left="20"/>
              <w:spacing w:after="0" w:line="162" w:lineRule="exact"/>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rPr>
              <w:t>(1,164)</w:t>
            </w: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(238,823,080)</w:t>
            </w: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3,418,652</w:t>
            </w:r>
          </w:p>
        </w:tc>
        <w:tc>
          <w:tcPr>
            <w:tcW w:w="100" w:type="dxa"/>
            <w:vAlign w:val="bottom"/>
          </w:tcPr>
          <w:p>
            <w:pPr>
              <w:spacing w:after="0"/>
              <w:rPr>
                <w:sz w:val="14"/>
                <w:szCs w:val="14"/>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2"/>
        </w:trPr>
        <w:tc>
          <w:tcPr>
            <w:tcW w:w="23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5"/>
                <w:szCs w:val="15"/>
                <w:b w:val="1"/>
                <w:bCs w:val="1"/>
                <w:color w:val="auto"/>
              </w:rPr>
              <w:t>Preferred Stock</w:t>
            </w: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5"/>
                <w:szCs w:val="15"/>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89"/>
              </w:rPr>
              <w:t>Accumulated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2"/>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0"/>
              </w:rPr>
              <w:t>other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00" w:type="dxa"/>
            <w:vAlign w:val="bottom"/>
          </w:tcPr>
          <w:p>
            <w:pPr>
              <w:jc w:val="right"/>
              <w:ind w:right="26"/>
              <w:spacing w:after="0" w:line="162" w:lineRule="exact"/>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paid-in</w:t>
            </w:r>
          </w:p>
        </w:tc>
        <w:tc>
          <w:tcPr>
            <w:tcW w:w="200" w:type="dxa"/>
            <w:vAlign w:val="bottom"/>
          </w:tcPr>
          <w:p>
            <w:pPr>
              <w:spacing w:after="0"/>
              <w:rPr>
                <w:sz w:val="14"/>
                <w:szCs w:val="14"/>
                <w:color w:val="auto"/>
              </w:rPr>
            </w:pPr>
          </w:p>
        </w:tc>
        <w:tc>
          <w:tcPr>
            <w:tcW w:w="112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85"/>
              </w:rPr>
              <w:t>comprehensive</w:t>
            </w:r>
          </w:p>
        </w:tc>
        <w:tc>
          <w:tcPr>
            <w:tcW w:w="1120" w:type="dxa"/>
            <w:vAlign w:val="bottom"/>
            <w:gridSpan w:val="2"/>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Accumulated</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900" w:type="dxa"/>
            <w:vAlign w:val="bottom"/>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4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66"/>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66"/>
              <w:spacing w:after="0"/>
              <w:rPr>
                <w:sz w:val="20"/>
                <w:szCs w:val="20"/>
                <w:color w:val="auto"/>
              </w:rPr>
            </w:pPr>
            <w:r>
              <w:rPr>
                <w:rFonts w:ascii="Arial" w:cs="Arial" w:eastAsia="Arial" w:hAnsi="Arial"/>
                <w:sz w:val="15"/>
                <w:szCs w:val="15"/>
                <w:b w:val="1"/>
                <w:bCs w:val="1"/>
                <w:color w:val="auto"/>
                <w:w w:val="92"/>
              </w:rPr>
              <w:t>capital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5"/>
              </w:rPr>
              <w:t>gain (loss)</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deficit</w:t>
            </w:r>
          </w:p>
        </w:tc>
        <w:tc>
          <w:tcPr>
            <w:tcW w:w="16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0"/>
                <w:szCs w:val="20"/>
                <w:color w:val="auto"/>
              </w:rPr>
            </w:pPr>
            <w:r>
              <w:rPr>
                <w:rFonts w:ascii="Arial" w:cs="Arial" w:eastAsia="Arial" w:hAnsi="Arial"/>
                <w:sz w:val="15"/>
                <w:szCs w:val="15"/>
                <w:color w:val="auto"/>
              </w:rPr>
              <w:t>Compensation on options issued</w:t>
            </w: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63,166</w:t>
            </w:r>
          </w:p>
        </w:tc>
        <w:tc>
          <w:tcPr>
            <w:tcW w:w="20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0"/>
                <w:szCs w:val="20"/>
                <w:color w:val="auto"/>
              </w:rPr>
            </w:pPr>
            <w:r>
              <w:rPr>
                <w:rFonts w:ascii="Arial" w:cs="Arial" w:eastAsia="Arial" w:hAnsi="Arial"/>
                <w:sz w:val="15"/>
                <w:szCs w:val="15"/>
                <w:color w:val="auto"/>
              </w:rPr>
              <w:t>Exercise of pre-funded warrants</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1,210,313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0"/>
                <w:szCs w:val="20"/>
                <w:color w:val="auto"/>
              </w:rPr>
            </w:pPr>
            <w:r>
              <w:rPr>
                <w:rFonts w:ascii="Arial" w:cs="Arial" w:eastAsia="Arial" w:hAnsi="Arial"/>
                <w:sz w:val="15"/>
                <w:szCs w:val="15"/>
                <w:color w:val="auto"/>
              </w:rPr>
              <w:t>Exercise of warrants</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877,202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1,690,455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1,690,543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3,238</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3,238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(2,146,550)</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(2,146,550)</w:t>
            </w:r>
          </w:p>
        </w:tc>
        <w:tc>
          <w:tcPr>
            <w:tcW w:w="0" w:type="dxa"/>
            <w:vAlign w:val="bottom"/>
          </w:tcPr>
          <w:p>
            <w:pPr>
              <w:spacing w:after="0"/>
              <w:rPr>
                <w:sz w:val="1"/>
                <w:szCs w:val="1"/>
                <w:color w:val="auto"/>
              </w:rPr>
            </w:pPr>
          </w:p>
        </w:tc>
      </w:tr>
      <w:tr>
        <w:trPr>
          <w:trHeight w:val="27"/>
        </w:trPr>
        <w:tc>
          <w:tcPr>
            <w:tcW w:w="2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June 30, 2020</w:t>
            </w: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210</w:t>
            </w:r>
          </w:p>
        </w:tc>
        <w:tc>
          <w:tcPr>
            <w:tcW w:w="220" w:type="dxa"/>
            <w:vAlign w:val="bottom"/>
          </w:tcPr>
          <w:p>
            <w:pPr>
              <w:spacing w:after="0"/>
              <w:rPr>
                <w:sz w:val="14"/>
                <w:szCs w:val="14"/>
                <w:color w:val="auto"/>
              </w:rPr>
            </w:pPr>
          </w:p>
        </w:tc>
        <w:tc>
          <w:tcPr>
            <w:tcW w:w="800" w:type="dxa"/>
            <w:vAlign w:val="bottom"/>
          </w:tcPr>
          <w:p>
            <w:pPr>
              <w:jc w:val="right"/>
              <w:ind w:right="646"/>
              <w:spacing w:after="0" w:line="162" w:lineRule="exact"/>
              <w:rPr>
                <w:sz w:val="20"/>
                <w:szCs w:val="20"/>
                <w:color w:val="auto"/>
              </w:rPr>
            </w:pPr>
            <w:r>
              <w:rPr>
                <w:rFonts w:ascii="Arial" w:cs="Arial" w:eastAsia="Arial" w:hAnsi="Arial"/>
                <w:sz w:val="15"/>
                <w:szCs w:val="15"/>
                <w:b w:val="1"/>
                <w:bCs w:val="1"/>
                <w:color w:val="auto"/>
                <w:w w:val="71"/>
              </w:rPr>
              <w:t>$</w:t>
            </w:r>
          </w:p>
        </w:tc>
        <w:tc>
          <w:tcPr>
            <w:tcW w:w="1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10,095,758</w:t>
            </w:r>
          </w:p>
        </w:tc>
        <w:tc>
          <w:tcPr>
            <w:tcW w:w="220" w:type="dxa"/>
            <w:vAlign w:val="bottom"/>
          </w:tcPr>
          <w:p>
            <w:pPr>
              <w:spacing w:after="0"/>
              <w:rPr>
                <w:sz w:val="14"/>
                <w:szCs w:val="14"/>
                <w:color w:val="auto"/>
              </w:rPr>
            </w:pP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1,010</w:t>
            </w:r>
          </w:p>
        </w:tc>
        <w:tc>
          <w:tcPr>
            <w:tcW w:w="220" w:type="dxa"/>
            <w:vAlign w:val="bottom"/>
          </w:tcPr>
          <w:p>
            <w:pPr>
              <w:spacing w:after="0"/>
              <w:rPr>
                <w:sz w:val="14"/>
                <w:szCs w:val="14"/>
                <w:color w:val="auto"/>
              </w:rPr>
            </w:pPr>
          </w:p>
        </w:tc>
        <w:tc>
          <w:tcPr>
            <w:tcW w:w="1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93"/>
              </w:rPr>
              <w:t>243,995,716</w:t>
            </w:r>
          </w:p>
        </w:tc>
        <w:tc>
          <w:tcPr>
            <w:tcW w:w="2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2,074</w:t>
            </w: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(240,969,630)</w:t>
            </w:r>
          </w:p>
        </w:tc>
        <w:tc>
          <w:tcPr>
            <w:tcW w:w="160" w:type="dxa"/>
            <w:vAlign w:val="bottom"/>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3,029,170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80"/>
              <w:spacing w:after="0" w:line="146" w:lineRule="exact"/>
              <w:rPr>
                <w:sz w:val="20"/>
                <w:szCs w:val="20"/>
                <w:color w:val="auto"/>
              </w:rPr>
            </w:pPr>
            <w:r>
              <w:rPr>
                <w:rFonts w:ascii="Arial" w:cs="Arial" w:eastAsia="Arial" w:hAnsi="Arial"/>
                <w:sz w:val="15"/>
                <w:szCs w:val="15"/>
                <w:color w:val="auto"/>
              </w:rPr>
              <w:t>Common stock and pre-funded</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warrants sold, net of offering costs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2,523,611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252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6,532,727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6,532,979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Compensation on options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63,161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63,161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(1,171)</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(1,171)</w:t>
            </w:r>
          </w:p>
        </w:tc>
        <w:tc>
          <w:tcPr>
            <w:tcW w:w="0" w:type="dxa"/>
            <w:vAlign w:val="bottom"/>
          </w:tcPr>
          <w:p>
            <w:pPr>
              <w:spacing w:after="0"/>
              <w:rPr>
                <w:sz w:val="1"/>
                <w:szCs w:val="1"/>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(2,220,435)</w:t>
            </w:r>
          </w:p>
        </w:tc>
        <w:tc>
          <w:tcPr>
            <w:tcW w:w="160" w:type="dxa"/>
            <w:vAlign w:val="bottom"/>
          </w:tcPr>
          <w:p>
            <w:pPr>
              <w:spacing w:after="0"/>
              <w:rPr>
                <w:sz w:val="14"/>
                <w:szCs w:val="14"/>
                <w:color w:val="auto"/>
              </w:rPr>
            </w:pPr>
          </w:p>
        </w:tc>
        <w:tc>
          <w:tcPr>
            <w:tcW w:w="8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(2,220,435)</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September 30, 2020</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210</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6"/>
              <w:spacing w:after="0" w:line="162" w:lineRule="exact"/>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12,619,369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1,262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250,591,604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903</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(243,190,065)</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7,403,704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6"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Nine Months ended</w:t>
      </w:r>
    </w:p>
    <w:p>
      <w:pPr>
        <w:spacing w:after="0" w:line="6"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-7620</wp:posOffset>
            </wp:positionV>
            <wp:extent cx="1534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60"/>
        </w:trPr>
        <w:tc>
          <w:tcPr>
            <w:tcW w:w="7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(Unaudited)</w:t>
            </w:r>
          </w:p>
        </w:tc>
      </w:tr>
      <w:tr>
        <w:trPr>
          <w:trHeight w:val="226"/>
        </w:trPr>
        <w:tc>
          <w:tcPr>
            <w:tcW w:w="7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(7,021,629)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(5,602,686)</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3,709</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debt instrument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Amortization of right of use asset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75,942</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Issuance and vesting of compensatory stock options and warrants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198,703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142,726</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services rendered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66,667</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Amortization of premium on marketable securities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(1,778)</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Accounts receivable, prepaid expenses and other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616,676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57,230</w:t>
            </w:r>
          </w:p>
        </w:tc>
      </w:tr>
      <w:tr>
        <w:trPr>
          <w:trHeight w:val="216"/>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(1,185,136)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(498,145)</w:t>
            </w:r>
          </w:p>
        </w:tc>
      </w:tr>
      <w:tr>
        <w:trPr>
          <w:trHeight w:val="216"/>
        </w:trPr>
        <w:tc>
          <w:tcPr>
            <w:tcW w:w="7460" w:type="dxa"/>
            <w:vAlign w:val="bottom"/>
          </w:tcPr>
          <w:p>
            <w:pPr>
              <w:ind w:left="340"/>
              <w:spacing w:after="0"/>
              <w:rPr>
                <w:sz w:val="20"/>
                <w:szCs w:val="20"/>
                <w:color w:val="auto"/>
              </w:rPr>
            </w:pPr>
            <w:r>
              <w:rPr>
                <w:rFonts w:ascii="Arial" w:cs="Arial" w:eastAsia="Arial" w:hAnsi="Arial"/>
                <w:sz w:val="18"/>
                <w:szCs w:val="18"/>
                <w:color w:val="auto"/>
              </w:rPr>
              <w:t>Long term portion of lease liability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(74,107)</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(7,285,410)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(5,829,920)</w:t>
            </w:r>
          </w:p>
        </w:tc>
      </w:tr>
      <w:tr>
        <w:trPr>
          <w:trHeight w:val="216"/>
        </w:trPr>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(458,438)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(436,356)</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455,026</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(3,574)</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15,096</w:t>
            </w:r>
          </w:p>
        </w:tc>
      </w:tr>
      <w:tr>
        <w:trPr>
          <w:trHeight w:val="216"/>
        </w:trPr>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Proceeds from issuance of common stock and pre-funded warrants, net of issuance costs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8,662,985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96,500</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Proceeds from the issuance of notes payable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244,657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96,500</w:t>
            </w:r>
          </w:p>
        </w:tc>
      </w:tr>
      <w:tr>
        <w:trPr>
          <w:trHeight w:val="216"/>
        </w:trPr>
        <w:tc>
          <w:tcPr>
            <w:tcW w:w="7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(5,718,324)</w:t>
            </w:r>
          </w:p>
        </w:tc>
      </w:tr>
      <w:tr>
        <w:trPr>
          <w:trHeight w:val="27"/>
        </w:trPr>
        <w:tc>
          <w:tcPr>
            <w:tcW w:w="7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4,905,993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12,367,321</w:t>
            </w:r>
          </w:p>
        </w:tc>
      </w:tr>
      <w:tr>
        <w:trPr>
          <w:trHeight w:val="27"/>
        </w:trPr>
        <w:tc>
          <w:tcPr>
            <w:tcW w:w="7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8,235,532</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6,648,997</w:t>
            </w: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6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As further discussed in Note 7 below,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accompanying unaudited condensed consolidated financial statements include all adjustments (consisting of normal and recurring adjustments) necessary for a fair presentation of these financial statements. The condensed consolidated balance sheet on December 31, 2019 has been derived from the Company’s audited consolidated financial statements included in its Annual Report on Form 10-K for the year ended December 31, 2019. Certain footnote disclosures normally included in financial statements prepared in accordance with accounting principles generally accepted in the United States (“GAAP”) have been condensed or omitted pursuant to Article 8 of Regulation S-X of the Securities and Exchange Commission (“SEC”) rules and regulations. Operating results for the three- and nine-month period ended September 30, 2020 are not necessarily indicative of results for the full year or any other future periods. As such, it is suggested that these condensed consolidated financial statements be read in conjunction with the consolidated financial statements and notes thereto included in the Company’s Annual Report on Form 10-K for the year ended December 31,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Management believes the accompanying condensed consolidated financial statements have been prepared in conformity with GAAP, which contemplate continuation of the Company as a going concern. The Company has an accumulated deficit of $243 million on September 30, 2020 and $236 million on December 31, 2019 and used cash in operations of $7.3 million and $5.8 million during the nine months ended September 30, 2020 and 2019,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September 30, 2020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preparing the unaudited condensed consolidated financial statements, management is required to make estimates and assumptions that affect the reported amounts of assets and liabilities, the disclosure of contingent assets and liabilities at the dates of the unaudited condensed consolidated financial statements and the reported amounts of revenue and expenses during the reporting periods. Actual results could differ from these estimates and the operating results for the interim periods presented are not necessarily indicative of the results expected for the full year.</w:t>
      </w:r>
    </w:p>
    <w:p>
      <w:pPr>
        <w:spacing w:after="0" w:line="9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and transactions of the Company and Life Newco. All material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Management’s Plan</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September 30, 2020, the Company had cash and cash equivalents, including the fair value of its marketable securities, of approximately $8.7 million. The Company used $7.3 million of cash for operating activities during the nine months ended September 30, 2020 and had stockholders’ equity of $7.4 million, versus $3.8 million on December 31, 2019.</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expects to continue to incur expenses related to development of levosimendan for pulmonary hypertension and other potential indications, as well as identifying and developing other potential product candidates. Based on its resources at September 30, 2020, the Company believes that it has sufficient capital to fund its planned operations through the third quarter of calendar year 2021.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0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 and Related Risks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continued spread of COVID-19 globally could adversely affect the Company’s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the Company’s ability to initiate and/or complete planned clinical and preclinical studies in the future.</w:t>
      </w:r>
    </w:p>
    <w:p>
      <w:pPr>
        <w:spacing w:after="0" w:line="99"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color w:val="auto"/>
        </w:rPr>
        <w:t>The full extent to which the COVID-19 pandemic and the various responses to it might impact the Company’s business, operations and financial results will depend on numerous evolving factors that are not subject to accurate prediction and that are beyond the Company’s control.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Basic net loss per share, which excludes antidilutive securities, is computed by dividing net loss by the weighted-average number of common shares outstanding for that particular period. In contrast, diluted net loss per share considers the potential dilution that could occur from other equity instruments that would increase the total number of outstanding shares of common stock. Such amounts include shares potentially issuable under outstanding options, convertible preferred shares and warrants.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t>The following outstanding options, convertible preferred shares and warrants were excluded from the computation of basic and diluted net loss per share for the periods presented because including them would have had an anti-dilutive effect.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560" w:type="dxa"/>
            <w:vAlign w:val="bottom"/>
            <w:gridSpan w:val="4"/>
          </w:tcPr>
          <w:p>
            <w:pPr>
              <w:jc w:val="right"/>
              <w:ind w:right="260"/>
              <w:spacing w:after="0"/>
              <w:rPr>
                <w:sz w:val="20"/>
                <w:szCs w:val="20"/>
                <w:color w:val="auto"/>
              </w:rPr>
            </w:pPr>
            <w:r>
              <w:rPr>
                <w:rFonts w:ascii="Arial" w:cs="Arial" w:eastAsia="Arial" w:hAnsi="Arial"/>
                <w:sz w:val="15"/>
                <w:szCs w:val="15"/>
                <w:b w:val="1"/>
                <w:bCs w:val="1"/>
                <w:color w:val="auto"/>
                <w:w w:val="92"/>
              </w:rPr>
              <w:t>Nine months ended September 30,</w:t>
            </w:r>
          </w:p>
        </w:tc>
      </w:tr>
      <w:tr>
        <w:trPr>
          <w:trHeight w:val="233"/>
        </w:trPr>
        <w:tc>
          <w:tcPr>
            <w:tcW w:w="8680" w:type="dxa"/>
            <w:vAlign w:val="bottom"/>
          </w:tcPr>
          <w:p>
            <w:pPr>
              <w:spacing w:after="0"/>
              <w:rPr>
                <w:sz w:val="20"/>
                <w:szCs w:val="20"/>
                <w:color w:val="auto"/>
              </w:rPr>
            </w:pPr>
          </w:p>
        </w:tc>
        <w:tc>
          <w:tcPr>
            <w:tcW w:w="1080" w:type="dxa"/>
            <w:vAlign w:val="bottom"/>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134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0"/>
                <w:szCs w:val="20"/>
                <w:color w:val="auto"/>
              </w:rPr>
            </w:pPr>
          </w:p>
        </w:tc>
      </w:tr>
      <w:tr>
        <w:trPr>
          <w:trHeight w:val="243"/>
        </w:trPr>
        <w:tc>
          <w:tcPr>
            <w:tcW w:w="86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26,213,228</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10,521,195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451,186</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244,214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38,606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condensed consolidated balance sheets.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 is currently evaluating this standard, but it does not believe the adoption of the new guidance will have a material impact on its consolidated financial statements.</w:t>
      </w:r>
    </w:p>
    <w:p>
      <w:pPr>
        <w:spacing w:after="0" w:line="133"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Accounting Standards Codification (“ASC”) 820 Fair Value Measurements. The Company’s balance sheet includes the following financial instruments: cash and cash equivalents, investments in marketable securities, and warrant liabilities. The Company considers the carrying amount of its cash and cash equivalents to approximate fair value due to the short-term nature of these instruments.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ind w:right="220"/>
        <w:spacing w:after="0" w:line="259"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85725</wp:posOffset>
            </wp:positionV>
            <wp:extent cx="563181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31815" cy="162560"/>
                    </a:xfrm>
                    <a:prstGeom prst="rect">
                      <a:avLst/>
                    </a:prstGeom>
                    <a:noFill/>
                  </pic:spPr>
                </pic:pic>
              </a:graphicData>
            </a:graphic>
          </wp:anchor>
        </w:drawing>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400" w:type="dxa"/>
            <w:vAlign w:val="bottom"/>
            <w:tcBorders>
              <w:top w:val="single" w:sz="8" w:color="BFBFBF"/>
              <w:left w:val="single" w:sz="8" w:color="BFBFB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Level one</w:t>
            </w:r>
          </w:p>
        </w:tc>
        <w:tc>
          <w:tcPr>
            <w:tcW w:w="8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Quoted market prices in active markets for identical assets or liabilities;</w:t>
            </w:r>
          </w:p>
        </w:tc>
      </w:tr>
      <w:tr>
        <w:trPr>
          <w:trHeight w:val="223"/>
        </w:trPr>
        <w:tc>
          <w:tcPr>
            <w:tcW w:w="2400" w:type="dxa"/>
            <w:vAlign w:val="bottom"/>
            <w:tcBorders>
              <w:top w:val="single" w:sz="8" w:color="BFBFBF"/>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Level two</w:t>
            </w:r>
          </w:p>
        </w:tc>
        <w:tc>
          <w:tcPr>
            <w:tcW w:w="8840" w:type="dxa"/>
            <w:vAlign w:val="bottom"/>
            <w:tcBorders>
              <w:top w:val="single" w:sz="8" w:color="CCEEFF"/>
              <w:bottom w:val="single" w:sz="8" w:color="BFBFBF"/>
              <w:right w:val="single" w:sz="8" w:color="BFBFBF"/>
            </w:tcBorders>
          </w:tcPr>
          <w:p>
            <w:pPr>
              <w:spacing w:after="0"/>
              <w:rPr>
                <w:sz w:val="20"/>
                <w:szCs w:val="20"/>
                <w:color w:val="auto"/>
              </w:rPr>
            </w:pPr>
            <w:r>
              <w:rPr>
                <w:rFonts w:ascii="Arial" w:cs="Arial" w:eastAsia="Arial" w:hAnsi="Arial"/>
                <w:sz w:val="18"/>
                <w:szCs w:val="18"/>
                <w:color w:val="auto"/>
              </w:rPr>
              <w:t>Inputs other than level one inputs that are either directly or indirectly observable; and</w:t>
            </w:r>
          </w:p>
        </w:tc>
      </w:tr>
      <w:tr>
        <w:trPr>
          <w:trHeight w:val="208"/>
        </w:trPr>
        <w:tc>
          <w:tcPr>
            <w:tcW w:w="2400" w:type="dxa"/>
            <w:vAlign w:val="bottom"/>
            <w:tcBorders>
              <w:left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Level three</w:t>
            </w:r>
          </w:p>
        </w:tc>
        <w:tc>
          <w:tcPr>
            <w:tcW w:w="8840" w:type="dxa"/>
            <w:vAlign w:val="bottom"/>
            <w:tcBorders>
              <w:right w:val="single" w:sz="8" w:color="BFBFBF"/>
            </w:tcBorders>
            <w:shd w:val="clear" w:color="auto" w:fill="CCEEFF"/>
          </w:tcPr>
          <w:p>
            <w:pPr>
              <w:spacing w:after="0"/>
              <w:rPr>
                <w:sz w:val="20"/>
                <w:szCs w:val="20"/>
                <w:color w:val="auto"/>
              </w:rPr>
            </w:pPr>
            <w:r>
              <w:rPr>
                <w:rFonts w:ascii="Arial" w:cs="Arial" w:eastAsia="Arial" w:hAnsi="Arial"/>
                <w:sz w:val="18"/>
                <w:szCs w:val="18"/>
                <w:color w:val="auto"/>
                <w:w w:val="91"/>
              </w:rPr>
              <w:t>Unobservable inputs developed using estimates and assumptions, which are developed by the reporting entity and reflect</w:t>
            </w:r>
          </w:p>
        </w:tc>
      </w:tr>
      <w:tr>
        <w:trPr>
          <w:trHeight w:val="231"/>
        </w:trPr>
        <w:tc>
          <w:tcPr>
            <w:tcW w:w="2400" w:type="dxa"/>
            <w:vAlign w:val="bottom"/>
            <w:tcBorders>
              <w:left w:val="single" w:sz="8" w:color="BFBFBF"/>
              <w:bottom w:val="single" w:sz="8" w:color="BFBFBF"/>
              <w:right w:val="single" w:sz="8" w:color="BFBFBF"/>
            </w:tcBorders>
            <w:shd w:val="clear" w:color="auto" w:fill="CCEEFF"/>
          </w:tcPr>
          <w:p>
            <w:pPr>
              <w:spacing w:after="0"/>
              <w:rPr>
                <w:sz w:val="20"/>
                <w:szCs w:val="20"/>
                <w:color w:val="auto"/>
              </w:rPr>
            </w:pPr>
          </w:p>
        </w:tc>
        <w:tc>
          <w:tcPr>
            <w:tcW w:w="8840" w:type="dxa"/>
            <w:vAlign w:val="bottom"/>
            <w:tcBorders>
              <w:bottom w:val="single" w:sz="8" w:color="BFBFBF"/>
              <w:right w:val="single" w:sz="8" w:color="BFBFBF"/>
            </w:tcBorders>
            <w:shd w:val="clear" w:color="auto" w:fill="CCEEFF"/>
          </w:tcPr>
          <w:p>
            <w:pPr>
              <w:spacing w:after="0"/>
              <w:rPr>
                <w:sz w:val="20"/>
                <w:szCs w:val="20"/>
                <w:color w:val="auto"/>
              </w:rPr>
            </w:pPr>
            <w:r>
              <w:rPr>
                <w:rFonts w:ascii="Arial" w:cs="Arial" w:eastAsia="Arial" w:hAnsi="Arial"/>
                <w:sz w:val="18"/>
                <w:szCs w:val="18"/>
                <w:color w:val="auto"/>
              </w:rPr>
              <w:t>those assumptions that a market participant would use.</w:t>
            </w:r>
          </w:p>
        </w:tc>
      </w:tr>
    </w:tbl>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As of September 30, 2020, the Company believes that the costs of its investments are recoverable in all material respects.</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 summarizes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8"/>
              </w:rPr>
              <w:t>September 30, 2020</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line="162"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9"/>
              <w:spacing w:after="0" w:line="162" w:lineRule="exact"/>
              <w:rPr>
                <w:sz w:val="20"/>
                <w:szCs w:val="20"/>
                <w:color w:val="auto"/>
              </w:rPr>
            </w:pPr>
            <w:r>
              <w:rPr>
                <w:rFonts w:ascii="Arial" w:cs="Arial" w:eastAsia="Arial" w:hAnsi="Arial"/>
                <w:sz w:val="15"/>
                <w:szCs w:val="15"/>
                <w:b w:val="1"/>
                <w:bCs w:val="1"/>
                <w:color w:val="auto"/>
                <w:w w:val="93"/>
              </w:rPr>
              <w:t>Accrued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20" w:type="dxa"/>
            <w:vAlign w:val="bottom"/>
          </w:tcPr>
          <w:p>
            <w:pPr>
              <w:spacing w:after="0"/>
              <w:rPr>
                <w:sz w:val="14"/>
                <w:szCs w:val="14"/>
                <w:color w:val="auto"/>
              </w:rPr>
            </w:pPr>
          </w:p>
        </w:tc>
        <w:tc>
          <w:tcPr>
            <w:tcW w:w="9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9"/>
              </w:rPr>
              <w:t>Interest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86"/>
              </w:rPr>
              <w:t>Gains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76"/>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b w:val="1"/>
                <w:bCs w:val="1"/>
                <w:color w:val="auto"/>
                <w:w w:val="91"/>
              </w:rPr>
              <w:t>Fair Value</w:t>
            </w:r>
          </w:p>
        </w:tc>
        <w:tc>
          <w:tcPr>
            <w:tcW w:w="100" w:type="dxa"/>
            <w:vAlign w:val="bottom"/>
          </w:tcPr>
          <w:p>
            <w:pPr>
              <w:spacing w:after="0"/>
              <w:rPr>
                <w:sz w:val="15"/>
                <w:szCs w:val="15"/>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473,547</w:t>
            </w:r>
          </w:p>
        </w:tc>
        <w:tc>
          <w:tcPr>
            <w:tcW w:w="100" w:type="dxa"/>
            <w:vAlign w:val="bottom"/>
            <w:shd w:val="clear" w:color="auto" w:fill="CCEEFF"/>
          </w:tcPr>
          <w:p>
            <w:pPr>
              <w:spacing w:after="0"/>
              <w:rPr>
                <w:sz w:val="18"/>
                <w:szCs w:val="18"/>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469,409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473,547</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investments have scheduled maturities of less than one year as of September 30, 2020 and December 31, 2019.</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September 30, 2020 and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5"/>
                <w:szCs w:val="15"/>
                <w:b w:val="1"/>
                <w:bCs w:val="1"/>
                <w:color w:val="auto"/>
                <w:w w:val="89"/>
              </w:rPr>
              <w:t>Fair Value Measurements at Reporting Date Using</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9"/>
        </w:trPr>
        <w:tc>
          <w:tcPr>
            <w:tcW w:w="39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4"/>
              </w:rPr>
              <w:t>Other</w:t>
            </w:r>
          </w:p>
        </w:tc>
        <w:tc>
          <w:tcPr>
            <w:tcW w:w="140" w:type="dxa"/>
            <w:vAlign w:val="bottom"/>
          </w:tcPr>
          <w:p>
            <w:pPr>
              <w:spacing w:after="0"/>
              <w:rPr>
                <w:sz w:val="14"/>
                <w:szCs w:val="14"/>
                <w:color w:val="auto"/>
              </w:rPr>
            </w:pPr>
          </w:p>
        </w:tc>
        <w:tc>
          <w:tcPr>
            <w:tcW w:w="980" w:type="dxa"/>
            <w:vAlign w:val="bottom"/>
          </w:tcPr>
          <w:p>
            <w:pPr>
              <w:jc w:val="center"/>
              <w:ind w:left="46"/>
              <w:spacing w:after="0" w:line="162" w:lineRule="exact"/>
              <w:rPr>
                <w:sz w:val="20"/>
                <w:szCs w:val="20"/>
                <w:color w:val="auto"/>
              </w:rPr>
            </w:pPr>
            <w:r>
              <w:rPr>
                <w:rFonts w:ascii="Arial" w:cs="Arial" w:eastAsia="Arial" w:hAnsi="Arial"/>
                <w:sz w:val="15"/>
                <w:szCs w:val="15"/>
                <w:b w:val="1"/>
                <w:bCs w:val="1"/>
                <w:color w:val="auto"/>
                <w:w w:val="91"/>
              </w:rPr>
              <w:t>Significant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7"/>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40" w:type="dxa"/>
            <w:vAlign w:val="bottom"/>
          </w:tcPr>
          <w:p>
            <w:pPr>
              <w:spacing w:after="0"/>
              <w:rPr>
                <w:sz w:val="14"/>
                <w:szCs w:val="14"/>
                <w:color w:val="auto"/>
              </w:rPr>
            </w:pPr>
          </w:p>
        </w:tc>
        <w:tc>
          <w:tcPr>
            <w:tcW w:w="980" w:type="dxa"/>
            <w:vAlign w:val="bottom"/>
          </w:tcPr>
          <w:p>
            <w:pPr>
              <w:jc w:val="center"/>
              <w:ind w:left="6"/>
              <w:spacing w:after="0" w:line="162" w:lineRule="exact"/>
              <w:rPr>
                <w:sz w:val="20"/>
                <w:szCs w:val="20"/>
                <w:color w:val="auto"/>
              </w:rPr>
            </w:pPr>
            <w:r>
              <w:rPr>
                <w:rFonts w:ascii="Arial" w:cs="Arial" w:eastAsia="Arial" w:hAnsi="Arial"/>
                <w:sz w:val="15"/>
                <w:szCs w:val="15"/>
                <w:b w:val="1"/>
                <w:bCs w:val="1"/>
                <w:color w:val="auto"/>
                <w:w w:val="86"/>
              </w:rPr>
              <w:t>Unobservable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2020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Inputs (Level 2)</w:t>
            </w:r>
          </w:p>
        </w:tc>
        <w:tc>
          <w:tcPr>
            <w:tcW w:w="140" w:type="dxa"/>
            <w:vAlign w:val="bottom"/>
          </w:tcPr>
          <w:p>
            <w:pPr>
              <w:spacing w:after="0"/>
              <w:rPr>
                <w:sz w:val="15"/>
                <w:szCs w:val="15"/>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2"/>
        </w:trPr>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7"/>
        </w:trPr>
        <w:tc>
          <w:tcPr>
            <w:tcW w:w="3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8,235,532</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8,235,532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6"/>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22"/>
        </w:trPr>
        <w:tc>
          <w:tcPr>
            <w:tcW w:w="394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472,648</w:t>
            </w:r>
          </w:p>
        </w:tc>
        <w:tc>
          <w:tcPr>
            <w:tcW w:w="2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472,648</w:t>
            </w:r>
          </w:p>
        </w:tc>
        <w:tc>
          <w:tcPr>
            <w:tcW w:w="140" w:type="dxa"/>
            <w:vAlign w:val="bottom"/>
          </w:tcPr>
          <w:p>
            <w:pPr>
              <w:spacing w:after="0"/>
              <w:rPr>
                <w:sz w:val="19"/>
                <w:szCs w:val="19"/>
                <w:color w:val="auto"/>
              </w:rPr>
            </w:pPr>
          </w:p>
        </w:tc>
        <w:tc>
          <w:tcPr>
            <w:tcW w:w="1120" w:type="dxa"/>
            <w:vAlign w:val="bottom"/>
            <w:gridSpan w:val="2"/>
          </w:tcPr>
          <w:p>
            <w:pPr>
              <w:jc w:val="right"/>
              <w:ind w:right="826"/>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587"/>
        </w:trPr>
        <w:tc>
          <w:tcPr>
            <w:tcW w:w="3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5"/>
                <w:szCs w:val="15"/>
                <w:b w:val="1"/>
                <w:bCs w:val="1"/>
                <w:color w:val="auto"/>
                <w:w w:val="89"/>
              </w:rPr>
              <w:t>Fair Value Measurements at Reporting Date Using</w:t>
            </w:r>
          </w:p>
        </w:tc>
      </w:tr>
      <w:tr>
        <w:trPr>
          <w:trHeight w:val="149"/>
        </w:trPr>
        <w:tc>
          <w:tcPr>
            <w:tcW w:w="4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1"/>
              </w:rPr>
              <w:t>Significant</w:t>
            </w:r>
          </w:p>
        </w:tc>
      </w:tr>
      <w:tr>
        <w:trPr>
          <w:trHeight w:val="162"/>
        </w:trPr>
        <w:tc>
          <w:tcPr>
            <w:tcW w:w="4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Unobservable</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2"/>
              </w:rPr>
              <w:t>Inputs (Level 2)</w:t>
            </w: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2"/>
        </w:trPr>
        <w:tc>
          <w:tcPr>
            <w:tcW w:w="476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4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4,905,993</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4,905,993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r>
      <w:tr>
        <w:trPr>
          <w:trHeight w:val="222"/>
        </w:trPr>
        <w:tc>
          <w:tcPr>
            <w:tcW w:w="476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493,884</w:t>
            </w:r>
          </w:p>
        </w:tc>
        <w:tc>
          <w:tcPr>
            <w:tcW w:w="2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493,884</w:t>
            </w:r>
          </w:p>
        </w:tc>
        <w:tc>
          <w:tcPr>
            <w:tcW w:w="1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424"/>
        </w:trPr>
        <w:tc>
          <w:tcPr>
            <w:tcW w:w="7320" w:type="dxa"/>
            <w:vAlign w:val="bottom"/>
            <w:gridSpan w:val="5"/>
          </w:tcPr>
          <w:p>
            <w:pPr>
              <w:spacing w:after="0"/>
              <w:rPr>
                <w:sz w:val="20"/>
                <w:szCs w:val="20"/>
                <w:color w:val="auto"/>
              </w:rPr>
            </w:pPr>
            <w:r>
              <w:rPr>
                <w:rFonts w:ascii="Arial" w:cs="Arial" w:eastAsia="Arial" w:hAnsi="Arial"/>
                <w:sz w:val="18"/>
                <w:szCs w:val="18"/>
                <w:color w:val="auto"/>
                <w:w w:val="93"/>
              </w:rPr>
              <w:t>There were no significant transfers between levels in the nine months ended September 30,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476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4"/>
        </w:trPr>
        <w:tc>
          <w:tcPr>
            <w:tcW w:w="7320" w:type="dxa"/>
            <w:vAlign w:val="bottom"/>
            <w:gridSpan w:val="5"/>
          </w:tcPr>
          <w:p>
            <w:pPr>
              <w:spacing w:after="0"/>
              <w:rPr>
                <w:sz w:val="20"/>
                <w:szCs w:val="20"/>
                <w:color w:val="auto"/>
              </w:rPr>
            </w:pPr>
            <w:r>
              <w:rPr>
                <w:rFonts w:ascii="Arial" w:cs="Arial" w:eastAsia="Arial" w:hAnsi="Arial"/>
                <w:sz w:val="18"/>
                <w:szCs w:val="18"/>
                <w:color w:val="auto"/>
                <w:w w:val="92"/>
              </w:rPr>
              <w:t>Property and equipment consist of the following as of September 30, 2020 and December 31,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9"/>
        </w:trPr>
        <w:tc>
          <w:tcPr>
            <w:tcW w:w="4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September 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4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2019</w:t>
            </w:r>
          </w:p>
        </w:tc>
        <w:tc>
          <w:tcPr>
            <w:tcW w:w="140" w:type="dxa"/>
            <w:vAlign w:val="bottom"/>
          </w:tcPr>
          <w:p>
            <w:pPr>
              <w:spacing w:after="0"/>
              <w:rPr>
                <w:sz w:val="15"/>
                <w:szCs w:val="15"/>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80,669</w:t>
            </w:r>
          </w:p>
        </w:tc>
        <w:tc>
          <w:tcPr>
            <w:tcW w:w="140" w:type="dxa"/>
            <w:vAlign w:val="bottom"/>
          </w:tcPr>
          <w:p>
            <w:pPr>
              <w:spacing w:after="0"/>
              <w:rPr>
                <w:sz w:val="18"/>
                <w:szCs w:val="18"/>
                <w:color w:val="auto"/>
              </w:rPr>
            </w:pP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210,861</w:t>
            </w:r>
          </w:p>
        </w:tc>
        <w:tc>
          <w:tcPr>
            <w:tcW w:w="140" w:type="dxa"/>
            <w:vAlign w:val="bottom"/>
            <w:tcBorders>
              <w:left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(59,389)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(204,302)</w:t>
            </w:r>
          </w:p>
        </w:tc>
      </w:tr>
      <w:tr>
        <w:trPr>
          <w:trHeight w:val="27"/>
        </w:trPr>
        <w:tc>
          <w:tcPr>
            <w:tcW w:w="4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40" w:type="dxa"/>
            <w:vAlign w:val="bottom"/>
            <w:tcBorders>
              <w:left w:val="single" w:sz="8" w:color="CCEEFF"/>
            </w:tcBorders>
            <w:shd w:val="clear" w:color="auto" w:fill="CCEEFF"/>
          </w:tcPr>
          <w:p>
            <w:pPr>
              <w:spacing w:after="0"/>
              <w:rPr>
                <w:sz w:val="20"/>
                <w:szCs w:val="20"/>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Depreciation expense was approximately $900 and $1,300 for the three months ended September 30, 2020 and 2019, and approximately $3,100 and $3,700 for the nine months ended September 30, 2020 and 2019,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as of September 30, 2020 and December 31,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w w:val="85"/>
              </w:rPr>
              <w:t>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333,873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Operating costs</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426,115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5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111,353</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295,451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871,341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5300" w:type="dxa"/>
            <w:vAlign w:val="bottom"/>
            <w:vMerge w:val="restart"/>
          </w:tcPr>
          <w:p>
            <w:pPr>
              <w:jc w:val="right"/>
              <w:ind w:right="287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3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LEASE</w:t>
      </w:r>
    </w:p>
    <w:p>
      <w:pPr>
        <w:spacing w:after="0" w:line="16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(“Expansion Space”) became available; none of these optional periods have been considered in the determination of the right-of-use asset or the lease liability for the Lease as the Company did not consider it reasonably certain that it would exercise any such options. The Lease further provides that the Company is obligated to pay to the landlord certain variable costs, including taxes and operating expenses. The Company also has a right of first offer to lease the Expansion Space, of no less than 1,000 square feet, as that additional space becomes available adjacent to the premises over the remainder of the initial term of the Lease, at the same rate per square foot as the current premises, with an extension of the term of sixty additional months starting at the commencement date of acquiring the Expansion Space.</w:t>
      </w:r>
    </w:p>
    <w:p>
      <w:pPr>
        <w:spacing w:after="0" w:line="10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and determined that, except for the Lease described above, none of the Company’s contracts contain a 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of our lease liabilities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7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111,353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Long term lease liability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60,379</w:t>
            </w:r>
          </w:p>
        </w:tc>
      </w:tr>
      <w:tr>
        <w:trPr>
          <w:trHeight w:val="27"/>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7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89,182</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171,732</w:t>
            </w:r>
          </w:p>
        </w:tc>
      </w:tr>
      <w:tr>
        <w:trPr>
          <w:trHeight w:val="423"/>
        </w:trPr>
        <w:tc>
          <w:tcPr>
            <w:tcW w:w="7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September 30, 2020, the maturities of our operating lease liabilities were as follows:</w:t>
            </w:r>
          </w:p>
        </w:tc>
        <w:tc>
          <w:tcPr>
            <w:tcW w:w="1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92"/>
        </w:trPr>
        <w:tc>
          <w:tcPr>
            <w:tcW w:w="75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2020</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30,395</w:t>
            </w:r>
          </w:p>
        </w:tc>
      </w:tr>
      <w:tr>
        <w:trPr>
          <w:trHeight w:val="216"/>
        </w:trPr>
        <w:tc>
          <w:tcPr>
            <w:tcW w:w="7520" w:type="dxa"/>
            <w:vAlign w:val="bottom"/>
          </w:tcPr>
          <w:p>
            <w:pPr>
              <w:ind w:left="340"/>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61,803</w:t>
            </w:r>
          </w:p>
        </w:tc>
      </w:tr>
      <w:tr>
        <w:trPr>
          <w:trHeight w:val="27"/>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92,198</w:t>
            </w:r>
          </w:p>
        </w:tc>
      </w:tr>
      <w:tr>
        <w:trPr>
          <w:trHeight w:val="27"/>
        </w:trPr>
        <w:tc>
          <w:tcPr>
            <w:tcW w:w="7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(3,016)</w:t>
            </w:r>
          </w:p>
        </w:tc>
      </w:tr>
      <w:tr>
        <w:trPr>
          <w:trHeight w:val="27"/>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liability</w:t>
            </w: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89,182</w:t>
            </w:r>
          </w:p>
        </w:tc>
      </w:tr>
      <w:tr>
        <w:trPr>
          <w:trHeight w:val="20"/>
        </w:trPr>
        <w:tc>
          <w:tcPr>
            <w:tcW w:w="75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the Lease commencement date. As of September 30, 2020, the remaining Lease term is 1 year and the discount rate used to determine the operating lease liability was 8.0%. For the nine months ending September 30, 2020, the Company paid $95,854 in total lease expenses, including $5,553 for common area maintenance charges.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 PAYABLE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Protection Program Loan</w:t>
      </w:r>
    </w:p>
    <w:p>
      <w:pPr>
        <w:spacing w:after="0" w:line="15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On April 30, 2020, the Company received a loan pursuant to the Paycheck Protection Program (the “PPP Loan”) under the Coronavirus Aid, Relief, and Economic Security Act (the “CARES Act”), as administered by the U.S. Small Business Administration. The PPP Loan in the principal amount of $244,657 was disbursed by First Horizon Bank (the “Lender”) pursuant to a promissory note issued by us (the “Note”).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 w:name="page14"/>
    <w:bookmarkEnd w:id="13"/>
    <w:p>
      <w:pPr>
        <w:ind w:right="200"/>
        <w:spacing w:after="0" w:line="294" w:lineRule="auto"/>
        <w:rPr>
          <w:sz w:val="20"/>
          <w:szCs w:val="20"/>
          <w:color w:val="auto"/>
        </w:rPr>
      </w:pPr>
      <w:r>
        <w:rPr>
          <w:rFonts w:ascii="Arial" w:cs="Arial" w:eastAsia="Arial" w:hAnsi="Arial"/>
          <w:sz w:val="16"/>
          <w:szCs w:val="16"/>
          <w:color w:val="auto"/>
        </w:rPr>
        <w:t>The PPP Loan has a two-year term and bears interest at a rate of 1.00% per annum. Monthly principal and interest payments are deferred for sixteen months. Beginning September 30, 2021, the Company is required to make monthly payments of principal and interest of approximately $31,100 to the Lender. The Company did not provide any collateral or guarantees for the PPP Loan, nor did the Company pay any facility charge to obtain the PPP Loan. The Note provides for customary events of default, including, among others, those relating to failure to make payment, bankruptcy, breaches of representations, and material adverse effects. The Company may prepay the principal of the PPP Loan at any time, subject to certain notice requirements.</w:t>
      </w:r>
    </w:p>
    <w:p>
      <w:pPr>
        <w:spacing w:after="0" w:line="16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Under the terms of the CARES Act, Paycheck Protection Program loan recipients can apply for and be granted forgiveness for all or a portion of a loan granted under the program. Such forgiveness will be determined, subject to limitations, based on the use of loan proceeds for payment of payroll costs and any payments of mortgage interest, rent, and utilities. The Company is using the proceeds from the PPP Loan to fund payroll costs in accordance with the relevant terms and conditions of the CARES Act. However, no assurance is provided that forgiveness for any portion of the PPP Loan will be obtained.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current and long-term portions of the PPP Loan were $30,900 and $213,757,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13, 2013, the Company acquired, through its wholly owned subsidiary, Life Newco, that certain License Agreement (the “License”), dated September 20, 2013 by and between Phyxius and Orion Corporation, a global healthcare company incorporated under the laws of Finland (“Orion”), and that certain Side Letter, dated October 15, 2013 by and between Phyxius and Orion. The License grants the Company an exclusive, sublicenseable right to develop and commercialize pharmaceutical products containing levosimendan (the “Product”) in the United States and Canada (the “Territory”) from Orion.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 (15) year term, provided, however, that the License will continue after the end of the fifteen-year term in each country in the Territory until the expiration of Orion’s patent rights in the Product in such country.</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terms of the License, the Company paid to Orion a non-refundable up-front payment in the amount of $1.0 million. The License also includes the following development milestones for which the Company shall make non-refundable payments to Orion no later than twenty-eight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of the License, the Company must pay Orion a royalty based on net sales of the Product in the Territory for as long as the Company sells the Product in the Territory.</w:t>
      </w:r>
    </w:p>
    <w:p>
      <w:pPr>
        <w:spacing w:after="0" w:line="1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September 30, 2020, the Company has not met any of the developmental milestones and, accordingly, has not recorded any liability for the contingent payments due to Orion.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July 3, 2019, Orion filed a request for arbitration against the Company under the Arbitration Rules of the Arbitration Institute of the Stockholm Chamber of Commerce seeking a declaration regarding the correct interpretation of the line extension provisions of the License and whether or not such provisions apply to the oral form of levosimendan recently developed by Orion. Additionally, Orion requested the Company reimburse Orion for all legal fees associated with the arbitration. The Company submitted its response to the request for arbitration on July 31, 2019 and rejected Orion’s position that the oral formation was not a line extension product under the License and requested Orion reimburse the Company for all legal fees associated with the arbitration. The hearing on this matter was held before the arbitral tribunal on April 7 and April 8, 2020. The Final Award was issued May 21, 2020 and held in favor of the Company. The tribunal determined that oral levosimendan was a line extension product under the License and ordered Orion to reimburse the Company approximately $358,000 for its direct arbitration costs, including legal fees incurred.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Series A Stock</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 million. Each unit consists of (1) one share of the Company’s Series A convertible preferred stock, par value $0.0001 per share (the “Series A Stock”), (2) a two-year warrant to purchase one share of common stock at an exercise price of $1.93 (the “Series 1 Warrants”), and (3) a five-year warrant to purchase one share of common stock at an exercise price of $1.93 (the “Series 2 Warrants”). In accordance with ASC 480, the estimated fair value of $1,800,016 for the beneficial conversion feature was recognized as a deemed dividend on the Series A Stock during the year ended December 31,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ectPr>
          <w:pgSz w:w="11900" w:h="16838" w:orient="portrait"/>
          <w:cols w:equalWidth="0" w:num="1">
            <w:col w:w="11240"/>
          </w:cols>
          <w:pgMar w:left="320" w:top="436" w:right="339" w:bottom="1440" w:gutter="0" w:footer="0" w:header="0"/>
        </w:sectPr>
      </w:pPr>
    </w:p>
    <w:p>
      <w:pPr>
        <w:spacing w:after="0" w:line="1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Liquidation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ownership limitations described below, the Series A Stock is convertible at any time at the option of the holder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into shares of the Company’s common stock at a conversion ratio determined by dividing the stated value of the Series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Stock by a conversion price of $1.93 per share. The conversion price is subject to adjustment in the case of stock splits,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dividends, combinations of shares and similar recapitalization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not effect any conversion of the Series A Stock, nor shall a holder convert its shares of Series A Stock,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that such conversion would cause the holder to have acquired, through conversion of the Series A Stock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beneficial ownership of a number shares of common stock in excess of 4.99% (or, at the election of the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the issuance of any shares of Series A Stock, 9.99%) of the common stock outstanding after giving effect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the Company pays dividends on its shares of common stock, the holders of the Series A Stock will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dividends on shares of Series A Stock equal, on an as-if-converted basis, to and in the same form as paid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No other dividends will be paid on the shares of Series A Stock.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Upon any liquidation, dissolution or winding up of the Company after payment or provision for payment of debts and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liabilities of the Company, the holders of Series A Stock shall be entitled to be paid out of the assets of the Company available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distribution to its stockholders an amount equal to the amount that a holder of common stock would receive if the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were fully converted to common stock, which amounts will be paid pari passu with all holders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of Series A Stock will generally have no voting rights, except as required by law and except that the consent of holders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 majority of the then outstanding Series A Stock will be required to amend the terms of the Series A Stock or to take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that adversely affects the rights of the holders of Series A Stock.</w:t>
      </w:r>
    </w:p>
    <w:p>
      <w:pPr>
        <w:spacing w:after="0" w:line="200" w:lineRule="exact"/>
        <w:rPr>
          <w:sz w:val="20"/>
          <w:szCs w:val="20"/>
          <w:color w:val="auto"/>
        </w:rPr>
      </w:pPr>
    </w:p>
    <w:p>
      <w:pPr>
        <w:sectPr>
          <w:pgSz w:w="11900" w:h="16838" w:orient="portrait"/>
          <w:cols w:equalWidth="0" w:num="2">
            <w:col w:w="1660" w:space="720"/>
            <w:col w:w="8860"/>
          </w:cols>
          <w:pgMar w:left="320" w:top="436" w:right="339" w:bottom="1440" w:gutter="0" w:footer="0" w:header="0"/>
          <w:type w:val="continuous"/>
        </w:sectPr>
      </w:pPr>
    </w:p>
    <w:p>
      <w:pPr>
        <w:spacing w:after="0" w:line="19" w:lineRule="exact"/>
        <w:rPr>
          <w:sz w:val="20"/>
          <w:szCs w:val="20"/>
          <w:color w:val="auto"/>
        </w:rPr>
      </w:pPr>
    </w:p>
    <w:p>
      <w:pPr>
        <w:ind w:right="80" w:firstLine="34"/>
        <w:spacing w:after="0" w:line="369" w:lineRule="auto"/>
        <w:rPr>
          <w:sz w:val="20"/>
          <w:szCs w:val="20"/>
          <w:color w:val="auto"/>
        </w:rPr>
      </w:pPr>
      <w:r>
        <w:rPr>
          <w:rFonts w:ascii="Arial" w:cs="Arial" w:eastAsia="Arial" w:hAnsi="Arial"/>
          <w:sz w:val="15"/>
          <w:szCs w:val="15"/>
          <w:color w:val="auto"/>
        </w:rPr>
        <w:t>As of December 31, 2019, there were 38,606 shares of Series A Stock outstanding. During the nine months ended September 30, 2020; an additional 38,396 shares of Series A Stock were converted into 38,396 shares of common stock. As of September 30, 2020, there were 210 shares of Series A Stock outstanding.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400"/>
        <w:spacing w:after="0" w:line="331" w:lineRule="auto"/>
        <w:rPr>
          <w:sz w:val="20"/>
          <w:szCs w:val="20"/>
          <w:color w:val="auto"/>
        </w:rPr>
      </w:pPr>
      <w:r>
        <w:rPr>
          <w:rFonts w:ascii="Arial" w:cs="Arial" w:eastAsia="Arial" w:hAnsi="Arial"/>
          <w:sz w:val="16"/>
          <w:szCs w:val="16"/>
          <w:color w:val="auto"/>
        </w:rPr>
        <w:t>The Company’s Certificate of Incorporation authorizes it to issue 400,000,000 shares of $0.0001 par value common stock. As of September 30, 2020, and December 31, 2019, there were 12,619,369 and 6,741,860 shares of common stock issued and outstanding, respectively.</w:t>
      </w:r>
    </w:p>
    <w:p>
      <w:pPr>
        <w:spacing w:after="0" w:line="73"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On March 13, 2020, the Company completed a registered direct offering to a single healthcare-focused institutional investor (the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$2.125 million. The fair value allocated to the common stock, pre-funded warrants and warrants was $0.5 million, $1.1 million and $1.1 million, respectively.</w:t>
      </w:r>
    </w:p>
    <w:p>
      <w:pPr>
        <w:spacing w:after="0" w:line="1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8, 2020, the Company completed a registered direct offering with the Investor for the issuance and sale of 2,523,611 shares of its common stock at a purchase price of $1.0278 per share and pre-funded warrants to purchase up to 652,313 shares of its common stock, at a purchase price of $1.0277 per pre-funded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 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spacing w:after="0" w:line="1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the nine months ended September 30, 2020, the Company issued 1,610,313 shares of common stock upon the exercise of pre-funded warrants. As of September 30, 2020, there were 5,260,005 pre-funded warrants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Warrants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part of the March 2020 registered direct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of 1933, as amended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Warrants</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part of the July 2020 offering, the Company issued unregistered warrants to purchase 7,783,616 shares of its common stock at an exercise price of $0.903 per share and contractual term of five and one-half years. The unregistered warrants were offered in a private placement under Section 4(a)(2) of the Securities Act, and Regulation D promulgated thereunder and, along with the shares of common stock underlying the warrants, have not been registered under the Securities Act, or applicable state securities laws. In accordance with ASC 480,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Warrants Issued for Services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Additionally, the Company issued to its previous underwriter a warrant to purchase 94,413 shares of common stock at an exercise price of $1.4564 per share and contractual term of five years. In accordance with ASC 815, this warrant is classified as equity and its estimated fair-value of $35,308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the July 2020 offering described above, the Company issued designees of the placement agent warrants to purchase 583,771 shares of common stock at an exercise price of $1.2848 and a contractual term of five years. In accordance with ASC 815, these warrants are classified as equity and its estimated fair value of $399,445 was recognized as additional paid in capital. Additionally, the Company issued to its previous underwriter a warrant to purchase 311,345 shares of common stock at an exercise price of $1.2848 per share and contractual term of five years. In accordance with ASC 815, this warrant is classified as equity and its estimated fair-value of $213,038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 2020, the Company received approximately $1.7 million and issued 877,202 shares of common stock upon the exercise of previously outstanding warrants issued in connection with the Company’s December 2018 offering.</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September 30, 2020, the Company has 20,953,223 warrants outstanding. The following table summarizes the Company’s warrant activity for the nine months ended September 30,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Warrants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10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w w:val="84"/>
              </w:rPr>
              <w:t>10,519,945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Issued</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11,310,480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0.98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(877,202)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r>
      <w:tr>
        <w:trPr>
          <w:trHeight w:val="27"/>
        </w:trPr>
        <w:tc>
          <w:tcPr>
            <w:tcW w:w="86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8"/>
        </w:trPr>
        <w:tc>
          <w:tcPr>
            <w:tcW w:w="8680" w:type="dxa"/>
            <w:vAlign w:val="bottom"/>
          </w:tcPr>
          <w:p>
            <w:pPr>
              <w:spacing w:after="0"/>
              <w:rPr>
                <w:sz w:val="20"/>
                <w:szCs w:val="20"/>
                <w:color w:val="auto"/>
              </w:rPr>
            </w:pPr>
            <w:r>
              <w:rPr>
                <w:rFonts w:ascii="Arial" w:cs="Arial" w:eastAsia="Arial" w:hAnsi="Arial"/>
                <w:sz w:val="18"/>
                <w:szCs w:val="18"/>
                <w:b w:val="1"/>
                <w:bCs w:val="1"/>
                <w:color w:val="auto"/>
              </w:rPr>
              <w:t>Outstanding at September 30, 2020</w:t>
            </w:r>
          </w:p>
        </w:tc>
        <w:tc>
          <w:tcPr>
            <w:tcW w:w="1080" w:type="dxa"/>
            <w:vAlign w:val="bottom"/>
          </w:tcPr>
          <w:p>
            <w:pPr>
              <w:ind w:left="300"/>
              <w:spacing w:after="0"/>
              <w:rPr>
                <w:sz w:val="20"/>
                <w:szCs w:val="20"/>
                <w:color w:val="auto"/>
              </w:rPr>
            </w:pPr>
            <w:r>
              <w:rPr>
                <w:rFonts w:ascii="Arial" w:cs="Arial" w:eastAsia="Arial" w:hAnsi="Arial"/>
                <w:sz w:val="18"/>
                <w:szCs w:val="18"/>
                <w:b w:val="1"/>
                <w:bCs w:val="1"/>
                <w:color w:val="auto"/>
                <w:w w:val="84"/>
              </w:rPr>
              <w:t>20,953,223</w:t>
            </w:r>
          </w:p>
        </w:tc>
        <w:tc>
          <w:tcPr>
            <w:tcW w:w="180" w:type="dxa"/>
            <w:vAlign w:val="bottom"/>
          </w:tcPr>
          <w:p>
            <w:pPr>
              <w:spacing w:after="0"/>
              <w:rPr>
                <w:sz w:val="19"/>
                <w:szCs w:val="19"/>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shares available for grant under the 2016 Plan for the nine months ended September 30,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Shares Available</w:t>
            </w:r>
          </w:p>
        </w:tc>
      </w:tr>
      <w:tr>
        <w:trPr>
          <w:trHeight w:val="182"/>
        </w:trPr>
        <w:tc>
          <w:tcPr>
            <w:tcW w:w="41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for Grant</w:t>
            </w:r>
          </w:p>
        </w:tc>
        <w:tc>
          <w:tcPr>
            <w:tcW w:w="140" w:type="dxa"/>
            <w:vAlign w:val="bottom"/>
          </w:tcPr>
          <w:p>
            <w:pPr>
              <w:spacing w:after="0"/>
              <w:rPr>
                <w:sz w:val="15"/>
                <w:szCs w:val="15"/>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7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697,500</w:t>
            </w:r>
          </w:p>
        </w:tc>
      </w:tr>
      <w:tr>
        <w:trPr>
          <w:trHeight w:val="216"/>
        </w:trPr>
        <w:tc>
          <w:tcPr>
            <w:tcW w:w="41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59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(341,000)</w:t>
            </w:r>
          </w:p>
        </w:tc>
      </w:tr>
      <w:tr>
        <w:trPr>
          <w:trHeight w:val="27"/>
        </w:trPr>
        <w:tc>
          <w:tcPr>
            <w:tcW w:w="41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September 30, 2020</w:t>
            </w:r>
          </w:p>
        </w:tc>
        <w:tc>
          <w:tcPr>
            <w:tcW w:w="59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356,500</w:t>
            </w:r>
          </w:p>
        </w:tc>
      </w:tr>
      <w:tr>
        <w:trPr>
          <w:trHeight w:val="593"/>
        </w:trPr>
        <w:tc>
          <w:tcPr>
            <w:tcW w:w="41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jc w:val="right"/>
              <w:ind w:right="4232"/>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2016 Plan Stock Options</w:t>
      </w:r>
    </w:p>
    <w:p>
      <w:pPr>
        <w:spacing w:after="0" w:line="15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nine months ended September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r>
      <w:tr>
        <w:trPr>
          <w:trHeight w:val="149"/>
        </w:trPr>
        <w:tc>
          <w:tcPr>
            <w:tcW w:w="8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868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341,000</w:t>
            </w:r>
          </w:p>
        </w:tc>
        <w:tc>
          <w:tcPr>
            <w:tcW w:w="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September 30,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r>
    </w:tbl>
    <w:p>
      <w:pPr>
        <w:spacing w:after="0" w:line="20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recorded compensation expense for these stock option grants of $52,659 and $16,279 for the three months ended September 30, 2020 and 2019, and $165,492 and $62,018 for the nine months ended September 30, 2020 and 2019, respectively.</w:t>
      </w:r>
    </w:p>
    <w:p>
      <w:pPr>
        <w:spacing w:after="0" w:line="118"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color w:val="auto"/>
        </w:rPr>
        <w:t>As of September 30, 2020, there were unrecognized compensation costs of approximately $211,257 related to non-vested stock option awards under the 2016 Plan that will be recognized on a straight-line basis over the weighted average remaining vesting period of 1.39 years.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Company used the following assumptions to estimate the fair value of options granted under the 2016 Plan for the nine months ended September 30, 2020:</w:t>
      </w:r>
    </w:p>
    <w:p>
      <w:pPr>
        <w:spacing w:after="0" w:line="187"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For the nine months ended</w:t>
      </w:r>
    </w:p>
    <w:p>
      <w:pPr>
        <w:spacing w:after="0" w:line="6"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-7620</wp:posOffset>
            </wp:positionV>
            <wp:extent cx="1534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97.63%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106.74%</w:t>
            </w:r>
          </w:p>
        </w:tc>
        <w:tc>
          <w:tcPr>
            <w:tcW w:w="2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5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r>
      <w:tr>
        <w:trPr>
          <w:trHeight w:val="417"/>
        </w:trPr>
        <w:tc>
          <w:tcPr>
            <w:tcW w:w="2120" w:type="dxa"/>
            <w:vAlign w:val="bottom"/>
          </w:tcPr>
          <w:p>
            <w:pPr>
              <w:spacing w:after="0"/>
              <w:rPr>
                <w:sz w:val="20"/>
                <w:szCs w:val="20"/>
                <w:color w:val="auto"/>
              </w:rPr>
            </w:pPr>
            <w:r>
              <w:rPr>
                <w:rFonts w:ascii="Arial" w:cs="Arial" w:eastAsia="Arial" w:hAnsi="Arial"/>
                <w:sz w:val="18"/>
                <w:szCs w:val="18"/>
                <w:i w:val="1"/>
                <w:iCs w:val="1"/>
                <w:color w:val="auto"/>
              </w:rPr>
              <w:t>Risk-Free Interest Rate</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4"/>
              </w:rPr>
              <w:t>The risk-free interest rate assumption was based on U.S. Treasury instruments with a term that is consistent with the</w:t>
            </w:r>
          </w:p>
        </w:tc>
      </w:tr>
      <w:tr>
        <w:trPr>
          <w:trHeight w:val="216"/>
        </w:trPr>
        <w:tc>
          <w:tcPr>
            <w:tcW w:w="2120" w:type="dxa"/>
            <w:vAlign w:val="bottom"/>
          </w:tcPr>
          <w:p>
            <w:pPr>
              <w:spacing w:after="0"/>
              <w:rPr>
                <w:sz w:val="18"/>
                <w:szCs w:val="18"/>
                <w:color w:val="auto"/>
              </w:rPr>
            </w:pPr>
          </w:p>
        </w:tc>
        <w:tc>
          <w:tcPr>
            <w:tcW w:w="6560" w:type="dxa"/>
            <w:vAlign w:val="bottom"/>
          </w:tcPr>
          <w:p>
            <w:pPr>
              <w:ind w:left="380"/>
              <w:spacing w:after="0"/>
              <w:rPr>
                <w:sz w:val="20"/>
                <w:szCs w:val="20"/>
                <w:color w:val="auto"/>
              </w:rPr>
            </w:pPr>
            <w:r>
              <w:rPr>
                <w:rFonts w:ascii="Arial" w:cs="Arial" w:eastAsia="Arial" w:hAnsi="Arial"/>
                <w:sz w:val="18"/>
                <w:szCs w:val="18"/>
                <w:color w:val="auto"/>
              </w:rPr>
              <w:t>expected term of the Company’s stock options.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1"/>
              </w:rPr>
              <w:t>The expected stock price volatility for the Company’s common stock was determined by examining the historical volatility</w:t>
            </w:r>
          </w:p>
        </w:tc>
      </w:tr>
      <w:tr>
        <w:trPr>
          <w:trHeight w:val="216"/>
        </w:trPr>
        <w:tc>
          <w:tcPr>
            <w:tcW w:w="2120" w:type="dxa"/>
            <w:vAlign w:val="bottom"/>
          </w:tcPr>
          <w:p>
            <w:pPr>
              <w:spacing w:after="0"/>
              <w:rPr>
                <w:sz w:val="18"/>
                <w:szCs w:val="18"/>
                <w:color w:val="auto"/>
              </w:rPr>
            </w:pPr>
          </w:p>
        </w:tc>
        <w:tc>
          <w:tcPr>
            <w:tcW w:w="7920" w:type="dxa"/>
            <w:vAlign w:val="bottom"/>
            <w:gridSpan w:val="3"/>
          </w:tcPr>
          <w:p>
            <w:pPr>
              <w:ind w:left="380"/>
              <w:spacing w:after="0"/>
              <w:rPr>
                <w:sz w:val="20"/>
                <w:szCs w:val="20"/>
                <w:color w:val="auto"/>
              </w:rPr>
            </w:pPr>
            <w:r>
              <w:rPr>
                <w:rFonts w:ascii="Arial" w:cs="Arial" w:eastAsia="Arial" w:hAnsi="Arial"/>
                <w:sz w:val="18"/>
                <w:szCs w:val="18"/>
                <w:color w:val="auto"/>
                <w:w w:val="94"/>
              </w:rPr>
              <w:t>and trading history for its common stock over a term consistent with the expected term of its options.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3"/>
              </w:rPr>
              <w:t>The expected term of stock options represents the weighted average period the stock options are expected to remain</w:t>
            </w:r>
          </w:p>
        </w:tc>
      </w:tr>
      <w:tr>
        <w:trPr>
          <w:trHeight w:val="216"/>
        </w:trPr>
        <w:tc>
          <w:tcPr>
            <w:tcW w:w="2120" w:type="dxa"/>
            <w:vAlign w:val="bottom"/>
          </w:tcPr>
          <w:p>
            <w:pPr>
              <w:spacing w:after="0"/>
              <w:rPr>
                <w:sz w:val="18"/>
                <w:szCs w:val="18"/>
                <w:color w:val="auto"/>
              </w:rPr>
            </w:pPr>
          </w:p>
        </w:tc>
        <w:tc>
          <w:tcPr>
            <w:tcW w:w="7920" w:type="dxa"/>
            <w:vAlign w:val="bottom"/>
            <w:gridSpan w:val="3"/>
          </w:tcPr>
          <w:p>
            <w:pPr>
              <w:ind w:left="380"/>
              <w:spacing w:after="0"/>
              <w:rPr>
                <w:sz w:val="20"/>
                <w:szCs w:val="20"/>
                <w:color w:val="auto"/>
              </w:rPr>
            </w:pPr>
            <w:r>
              <w:rPr>
                <w:rFonts w:ascii="Arial" w:cs="Arial" w:eastAsia="Arial" w:hAnsi="Arial"/>
                <w:sz w:val="18"/>
                <w:szCs w:val="18"/>
                <w:color w:val="auto"/>
                <w:w w:val="90"/>
              </w:rPr>
              <w:t>outstanding. It was calculated based on the Company’s historical experience with its stock option grants.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Dividend Yield</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0"/>
              </w:rPr>
              <w:t>The expected dividend yield of 0% is based on the Company’s history and expectation of dividend payouts. The Company</w:t>
            </w:r>
          </w:p>
        </w:tc>
      </w:tr>
      <w:tr>
        <w:trPr>
          <w:trHeight w:val="216"/>
        </w:trPr>
        <w:tc>
          <w:tcPr>
            <w:tcW w:w="2120" w:type="dxa"/>
            <w:vAlign w:val="bottom"/>
          </w:tcPr>
          <w:p>
            <w:pPr>
              <w:spacing w:after="0"/>
              <w:rPr>
                <w:sz w:val="18"/>
                <w:szCs w:val="18"/>
                <w:color w:val="auto"/>
              </w:rPr>
            </w:pPr>
          </w:p>
        </w:tc>
        <w:tc>
          <w:tcPr>
            <w:tcW w:w="6560" w:type="dxa"/>
            <w:vAlign w:val="bottom"/>
          </w:tcPr>
          <w:p>
            <w:pPr>
              <w:ind w:left="380"/>
              <w:spacing w:after="0"/>
              <w:rPr>
                <w:sz w:val="20"/>
                <w:szCs w:val="20"/>
                <w:color w:val="auto"/>
              </w:rPr>
            </w:pPr>
            <w:r>
              <w:rPr>
                <w:rFonts w:ascii="Arial" w:cs="Arial" w:eastAsia="Arial" w:hAnsi="Arial"/>
                <w:sz w:val="18"/>
                <w:szCs w:val="18"/>
                <w:color w:val="auto"/>
              </w:rPr>
              <w:t>has not paid and does not anticipate paying any dividends in the near future.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89"/>
              </w:rPr>
              <w:t>Stock compensation expense recognized in the statements of operations for the nine months ended September 30, 2020 is</w:t>
            </w:r>
          </w:p>
        </w:tc>
      </w:tr>
      <w:tr>
        <w:trPr>
          <w:trHeight w:val="216"/>
        </w:trPr>
        <w:tc>
          <w:tcPr>
            <w:tcW w:w="2120" w:type="dxa"/>
            <w:vAlign w:val="bottom"/>
          </w:tcPr>
          <w:p>
            <w:pPr>
              <w:spacing w:after="0"/>
              <w:rPr>
                <w:sz w:val="18"/>
                <w:szCs w:val="18"/>
                <w:color w:val="auto"/>
              </w:rPr>
            </w:pP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88"/>
              </w:rPr>
              <w:t>based on awards ultimately expected to vest, and it has been reduced for estimated forfeitures. ASC 718 requires forfeitures</w:t>
            </w:r>
          </w:p>
        </w:tc>
      </w:tr>
      <w:tr>
        <w:trPr>
          <w:trHeight w:val="216"/>
        </w:trPr>
        <w:tc>
          <w:tcPr>
            <w:tcW w:w="2120" w:type="dxa"/>
            <w:vAlign w:val="bottom"/>
          </w:tcPr>
          <w:p>
            <w:pPr>
              <w:spacing w:after="0"/>
              <w:rPr>
                <w:sz w:val="18"/>
                <w:szCs w:val="18"/>
                <w:color w:val="auto"/>
              </w:rPr>
            </w:pP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1"/>
              </w:rPr>
              <w:t>to be estimated at the time of grant and revised, if necessary, in subsequent periods if actual forfeitures differ from those</w:t>
            </w:r>
          </w:p>
        </w:tc>
      </w:tr>
      <w:tr>
        <w:trPr>
          <w:trHeight w:val="222"/>
        </w:trPr>
        <w:tc>
          <w:tcPr>
            <w:tcW w:w="2120" w:type="dxa"/>
            <w:vAlign w:val="bottom"/>
          </w:tcPr>
          <w:p>
            <w:pPr>
              <w:spacing w:after="0"/>
              <w:rPr>
                <w:sz w:val="19"/>
                <w:szCs w:val="19"/>
                <w:color w:val="auto"/>
              </w:rPr>
            </w:pPr>
          </w:p>
        </w:tc>
        <w:tc>
          <w:tcPr>
            <w:tcW w:w="6560" w:type="dxa"/>
            <w:vAlign w:val="bottom"/>
          </w:tcPr>
          <w:p>
            <w:pPr>
              <w:ind w:left="380"/>
              <w:spacing w:after="0"/>
              <w:rPr>
                <w:sz w:val="20"/>
                <w:szCs w:val="20"/>
                <w:color w:val="auto"/>
              </w:rPr>
            </w:pPr>
            <w:r>
              <w:rPr>
                <w:rFonts w:ascii="Arial" w:cs="Arial" w:eastAsia="Arial" w:hAnsi="Arial"/>
                <w:sz w:val="18"/>
                <w:szCs w:val="18"/>
                <w:color w:val="auto"/>
                <w:w w:val="90"/>
              </w:rPr>
              <w:t>estimates. Forfeitures were estimated based on the Company’s historical experience.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95"/>
        </w:trPr>
        <w:tc>
          <w:tcPr>
            <w:tcW w:w="2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3420"/>
              <w:spacing w:after="0"/>
              <w:rPr>
                <w:sz w:val="20"/>
                <w:szCs w:val="20"/>
                <w:color w:val="auto"/>
              </w:rPr>
            </w:pPr>
            <w:r>
              <w:rPr>
                <w:rFonts w:ascii="Arial" w:cs="Arial" w:eastAsia="Arial" w:hAnsi="Arial"/>
                <w:sz w:val="18"/>
                <w:szCs w:val="18"/>
                <w:color w:val="auto"/>
              </w:rPr>
              <w:t>18</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509"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1999 Amended Stock Plan</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Plan Stock Options</w:t>
      </w:r>
    </w:p>
    <w:p>
      <w:pPr>
        <w:spacing w:after="0" w:line="15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Stock options granted under the 1999 Plan may be either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six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nine months ended September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r>
      <w:tr>
        <w:trPr>
          <w:trHeight w:val="149"/>
        </w:trPr>
        <w:tc>
          <w:tcPr>
            <w:tcW w:w="8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8"/>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8680" w:type="dxa"/>
            <w:vAlign w:val="bottom"/>
          </w:tcPr>
          <w:p>
            <w:pPr>
              <w:spacing w:after="0"/>
              <w:rPr>
                <w:sz w:val="14"/>
                <w:szCs w:val="14"/>
                <w:color w:val="auto"/>
              </w:rPr>
            </w:pPr>
          </w:p>
        </w:tc>
        <w:tc>
          <w:tcPr>
            <w:tcW w:w="12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Options cancelled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(134,020)</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113.42</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September 30,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46.89</w:t>
            </w:r>
          </w:p>
        </w:tc>
      </w:tr>
    </w:tbl>
    <w:p>
      <w:pPr>
        <w:spacing w:after="0" w:line="2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compensation expense for these stock option grants of $10,502 and $24,486 for the three months ended September 30, 2020 and 2019, and $33,211 and $80,708 for the nine months ended September 30, 2020 and 2019, respectively.</w:t>
      </w:r>
    </w:p>
    <w:p>
      <w:pPr>
        <w:spacing w:after="0" w:line="118" w:lineRule="exact"/>
        <w:rPr>
          <w:sz w:val="20"/>
          <w:szCs w:val="20"/>
          <w:color w:val="auto"/>
        </w:rPr>
      </w:pPr>
    </w:p>
    <w:p>
      <w:pPr>
        <w:ind w:right="340"/>
        <w:spacing w:after="0" w:line="331" w:lineRule="auto"/>
        <w:rPr>
          <w:sz w:val="20"/>
          <w:szCs w:val="20"/>
          <w:color w:val="auto"/>
        </w:rPr>
      </w:pPr>
      <w:r>
        <w:rPr>
          <w:rFonts w:ascii="Arial" w:cs="Arial" w:eastAsia="Arial" w:hAnsi="Arial"/>
          <w:sz w:val="16"/>
          <w:szCs w:val="16"/>
          <w:color w:val="auto"/>
        </w:rPr>
        <w:t>As of September 30, 2020, there were unrecognized compensation costs of approximately $2,896 related to non-vested stock option awards under the 1999 Plan that will be recognized on a straight-line basis over the weighted average remaining vesting period of 0.31 years.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64"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On October 9, 2020, the Company entered into an Amendment (the “Amendment”) to the License between the Company and Orion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9" w:name="page20"/>
    <w:bookmarkEnd w:id="19"/>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“may,” “will,” “should,” “could,” “would,” “expects,” “plans,” “anticipates,” “believes,” “estimates,” “projects,” “predicts,” “potential” and similar expressions intended to identify forward-looking statements. Examples of these statements include, but are not limited to, statements regarding: the implications of interim or final results of our clinical trials, the progress of our research programs, including clinical testing, the extent to which our issued and pending patents may protect our products and technology, our ability to identify new product candidates, the potential of such product candidates to lead to the development of commercial products, our anticipated timing for initiation or completion of our clinical trials for any of our product candidates, our future operating expenses, our future losses, our future expenditures for research and development, our relationship with Orion Corporation (“Orion”), our ability to raise capital, the sufficiency of our cash resources, the impacts of the current COVID-19 pandemic and the eligibility for forgiveness of our loan (the “PPP Loan“) received pursuant to the Paycheck Protection Program under the Coronavirus Aid, Relief, and Economic Security Act (“CARES Act”), as administered by the U.S. Small Business Administration (the “SBA”). Our actual results could differ materially from those anticipated in these forward-looking statements for many reasons, including the risks faced by us and described in Part II, Item 1A of this Quarterly Report on Form 10-Q, Part I, Item 1A of our Annual Report on Form 10-K, and our other filings with the Securities and Exchange Commission (“SEC”). You should not place undue reliance on these forward-looking statements, which apply only as of the date of this Quarterly Report on Form 10-Q. You should read this Quarterly Report on Form 10-Q completely and with the understanding that our actual future results may be materially different from those we expect. Except as required by law, we assume no obligation to update these forward-looking statements, whether as a result of new information, future events or otherwise.</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consolidated financial statements and related notes thereto included as part of our Annual Report on Form 10-K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in this Quarterly Report to “Tenax Therapeutics”, “we”, “our” and “us” means Tenax Therapeutics, Inc.</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The description or discussion, in this Quarterly Report on Form 10-Q, of any contract or agreement is a summary only and is qualified in all respects by reference to the full text of the applicable contract or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5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We are a specialty pharmaceutical company focused on identifying, developing and commercializing products </w:t>
      </w:r>
      <w:r>
        <w:rPr>
          <w:rFonts w:ascii="Arial" w:cs="Arial" w:eastAsia="Arial" w:hAnsi="Arial"/>
          <w:sz w:val="16"/>
          <w:szCs w:val="16"/>
          <w:color w:val="080808"/>
          <w:highlight w:val="white"/>
        </w:rPr>
        <w:t>that address cardiovascular and pulmonary</w:t>
      </w:r>
      <w:r>
        <w:rPr>
          <w:rFonts w:ascii="Arial" w:cs="Arial" w:eastAsia="Arial" w:hAnsi="Arial"/>
          <w:sz w:val="16"/>
          <w:szCs w:val="16"/>
          <w:color w:val="auto"/>
        </w:rPr>
        <w:t xml:space="preserve"> </w:t>
      </w:r>
      <w:r>
        <w:rPr>
          <w:rFonts w:ascii="Arial" w:cs="Arial" w:eastAsia="Arial" w:hAnsi="Arial"/>
          <w:sz w:val="16"/>
          <w:szCs w:val="16"/>
          <w:color w:val="080808"/>
          <w:highlight w:val="white"/>
        </w:rPr>
        <w:t>diseases of high unmet medical need</w:t>
      </w:r>
      <w:r>
        <w:rPr>
          <w:rFonts w:ascii="Arial" w:cs="Arial" w:eastAsia="Arial" w:hAnsi="Arial"/>
          <w:sz w:val="16"/>
          <w:szCs w:val="16"/>
          <w:color w:val="000000"/>
        </w:rPr>
        <w:t>. Our principal business objective is to identify, develop and commercialize novel therapeutic products for disease</w:t>
      </w:r>
      <w:r>
        <w:rPr>
          <w:rFonts w:ascii="Arial" w:cs="Arial" w:eastAsia="Arial" w:hAnsi="Arial"/>
          <w:sz w:val="16"/>
          <w:szCs w:val="16"/>
          <w:color w:val="080808"/>
          <w:highlight w:val="white"/>
        </w:rPr>
        <w:t xml:space="preserve"> </w:t>
      </w:r>
      <w:r>
        <w:rPr>
          <w:rFonts w:ascii="Arial" w:cs="Arial" w:eastAsia="Arial" w:hAnsi="Arial"/>
          <w:sz w:val="16"/>
          <w:szCs w:val="16"/>
          <w:color w:val="000000"/>
        </w:rPr>
        <w:t>indications that represent significant areas of clinical need and commercial opportunity. Our lead product is levosimendan, which was acquired in an asset purchase agreement with Phyxius Pharma, Inc. (“Phyxius”). Levosimendan is a calcium sensitizer developed for intravenous use in hospitalized patients with acutely decompensated heart failure. The treatment is currently approved in more than 60 countries for this indication.</w:t>
      </w:r>
    </w:p>
    <w:p>
      <w:pPr>
        <w:spacing w:after="0" w:line="1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European Society of Cardiology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 acting metabolite, lack of impairment of diastolic function, and evidence of better compatibility with beta blockers than dobutamine.</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currently conducting a Phase 2 clinical trial of levosimendan in North America for the treatment of patients with pulmonary hypertension associated with heart failure with preserved ejection fraction (PH-HFpEF). PH-HFpEF is defined hemodynamically by a pulmonary artery pressure (mPAP) ≥25 mmHg, a pulmonary capillary wedge pressure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(RV) afterload, and RV failure.</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0" w:name="page21"/>
    <w:bookmarkEnd w:id="20"/>
    <w:p>
      <w:pPr>
        <w:ind w:right="44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In addition, several published studies provide evidence that levosimendan may improve RV dysfunction which is a common comorbidity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106"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In March 2018, we met with the United States Food and Drug Administration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In October 2020, we met with the FDA for an End-of-Phase 2 Meeting to discuss the phase 2 clinical data and further development of levosimendan in PH-HFpEF patients. The FDA agreed that one or two Phase 3 clinical studies with a primary endpoint of change in six minute walk distance over 12 weeks or clinical worsening (death, hospitalization for heart failure, or decline in exercise capacity) over 24 weeks will be sufficient to demonstrate the effectiveness of levosimendan in PH-HFpEF. The FDA also agreed to a plan to replace weekly intravenous levosimendan dosing with daily oral levosimendan doses in a Phase 3 clinical study. The FDA has requested that we submit a Risk Evaluation and Mitigation Strategy (REMS) with the Phase 3 study outline to determine if a post approval REMS can be used in lieu of a larger safety database in PH-HFpEF patients. We anticipate submission of the REMS and Phase 3 study outline in the first quarter of 2021.</w:t>
      </w:r>
    </w:p>
    <w:p>
      <w:pPr>
        <w:spacing w:after="0" w:line="9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initiated the first of our expected 10-12 HELP Study clinical sites in November 2018 and the first of 36 patients was enrolled in the HELP Study in March 2019. Enrollment in the HELP Study was completed in March 2020. The primary endpoint of the HELP Study is based on change in PCWP vs baseline compared to placebo. The HELP Study utilized a double-blind randomized design following five weekly infusions of levosimendan.</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HELP Study design was novel in several respects. To date, no other multi-center levosimendan study has evaluated levosimendan in heart failure patients with preserved ejection fraction (HFpEF) or PH-HFpEF patients. Instead, all previous levosimendan heart failure studies have enrolled heart failure patients with reduced ejection fraction (HFrEF), which specifically excluded HFpEF patients. Also, the HELP Study utilizes a unique 24-hour weekly infusion regimen of 0.075- 0.1µm/kg/min. Finally, the HELP Study employs a unique home-based IV infusion administration via an ambulatory infusion pump. This home-based weekly IV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w:t>
      </w:r>
    </w:p>
    <w:p>
      <w:pPr>
        <w:spacing w:after="0" w:line="10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June 2, 2020, we announced preliminary, top-line data from the study. The primary efficacy analysis, pulmonary capillary wedge pressure (PCWP) during exercise did not demonstrate a statistically significant reduction from baseline. Levosimendan did demonstrate a statistically significant reduction in PCWP compared to baseline (p=&lt;0.0017) and placebo (p=&lt;0.0475) when the measurements at rest, with legs up and on exercise were combined. Levosimendan also demonstrated a statistically significant improvement in 6-minute walk distance (6MWD) as compared to placebo (p=0.0329).</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Hemodynamic Results</w:t>
      </w:r>
    </w:p>
    <w:p>
      <w:pPr>
        <w:spacing w:after="0" w:line="15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Hemodynamic measurements were made at rest (supine), after leg raise on a supine bicycle (a test of rapid increase in ventricular filling) and during exercise (25 watts for 3 minutes or until the patient tired). Levosimendan demonstrated a statistically significant reduction in PCWP compared to baseline (p=&lt;0.0017) and placebo (p=&lt;0.0475) when the measurements at rest, with legs up and on exercise were combined. While there was no significant change in PCWP during exercise, patients receiving levosimendan had reductions from baseline at Week 6 in PCWP, pulmonary artery pressure (PAP), and right atrial pressure (RAP) that were significant when patients were “at rest” and/or with their “legs raised” (p&lt;0.05).</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Clinical Results (6-Minute Walk Distance)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clinical efficacy was confirmed by a statistically significant improvement in 6-minute walk distance of 29 meters. (p=0.0329). The 6-minute walk distance was a secondary endpoint in the trial and is a validated and accepted endpoint used in many pulmonary hypertension registration trials. Levosimendan was given in once-weekly home infusions for six weeks.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w:t>
      </w:r>
    </w:p>
    <w:p>
      <w:pPr>
        <w:spacing w:after="0" w:line="158" w:lineRule="exact"/>
        <w:rPr>
          <w:sz w:val="20"/>
          <w:szCs w:val="20"/>
          <w:color w:val="auto"/>
        </w:rPr>
      </w:pPr>
    </w:p>
    <w:p>
      <w:pPr>
        <w:ind w:right="200"/>
        <w:spacing w:after="0" w:line="331" w:lineRule="auto"/>
        <w:rPr>
          <w:sz w:val="20"/>
          <w:szCs w:val="20"/>
          <w:color w:val="auto"/>
        </w:rPr>
      </w:pPr>
      <w:r>
        <w:rPr>
          <w:rFonts w:ascii="Arial" w:cs="Arial" w:eastAsia="Arial" w:hAnsi="Arial"/>
          <w:sz w:val="16"/>
          <w:szCs w:val="16"/>
          <w:color w:val="auto"/>
        </w:rPr>
        <w:t>The incidence of adverse events (AEs) or serious adverse events (SAEs) between the control and treated groups were similar. In addition, there were no arrhythmias observed, atrial or ventricular, when comparing baseline electrocardiographic monitoring with 72-hour monitoring after five weeks of treatment.</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detailed results from the Phase 2 HELP Study of levosimendan in PH-HFpEF were presented at the Heart Failure Society of America (HFSA) Virtual Annual Scientific Meeting on October 3, 2020 and at the American Heart Association (AHA) Scientific Sessions 2020 on November 13, 2020. Additionally, we have submitted a full manuscript for publication in a peer-reviewed journal.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2020 Highlights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key financial measures for the three months ended September 30, 2020:</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including the fair-value of our marketable securities, were $8.7 million on September 30, 2020.</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 loss from operations was $2.2 million for the third quarter of fiscal 2020 compared to $2.3 million for the three months ended September 30, 2019.</w:t>
      </w:r>
    </w:p>
    <w:p>
      <w:pPr>
        <w:ind w:left="660" w:hanging="328"/>
        <w:spacing w:after="0"/>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color w:val="auto"/>
        </w:rPr>
        <w:t>Net cash used in operating activities was $2.4 million and $1.8 million for the three months ended September 30, 2020 and 2019,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9, 2020, we entered into an Amendment (the “Amendment”) to the License between the Company and Orion to include two new oral products containing levosimendan, in capsule and solid dosage form, and a subcutaneously administered product containing levosimendan to the scope of the License, subject to specified limitations. The Amendment also amends the tiered royalty payments based on net sales of the Product in the Territory (each as defined in the License, as amended by the Amendment) made by the Company and its sublicensees. Pursuant to the Amendment,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2028, however, either party will have the right to terminate the License with immediate effect. We believe we will be able to conduct an upcoming phase 3 study in PH-HFpEF patients utilizing one of these oral formulations.</w:t>
      </w:r>
    </w:p>
    <w:p>
      <w:pPr>
        <w:spacing w:after="0" w:line="1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continued spread of COVID-19 globally could adversely affect our ability to retain principal investigators and site staff who, as healthcare providers, may have heightened exposure to COVID-19 if an outbreak occurs in their geography. Further, some of these investigators and site staff may be unable to comply with clinical trial protocols if quarantines or travel restrictions impede movement or interrupt healthcare services, or if they become infected with COVID-19 themselves, which would delay our ability to initiate and/or complete planned clinical and preclinical studies in the future. The full extent to which the COVID-19 pandemic and the various responses to it might impact the Company’s business, operations and financial results will depend on numerous evolving factors that are not subject to accurate prediction and that are beyond the Company’s control.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both"/>
        <w:ind w:right="520"/>
        <w:spacing w:after="0" w:line="259" w:lineRule="auto"/>
        <w:rPr>
          <w:sz w:val="20"/>
          <w:szCs w:val="20"/>
          <w:color w:val="auto"/>
        </w:rPr>
      </w:pPr>
      <w:r>
        <w:rPr>
          <w:rFonts w:ascii="Arial" w:cs="Arial" w:eastAsia="Arial" w:hAnsi="Arial"/>
          <w:sz w:val="18"/>
          <w:szCs w:val="18"/>
          <w:color w:val="auto"/>
        </w:rPr>
        <w:t>As we focus on the development of our existing product candidate,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are focused on the following initiatives:</w:t>
      </w:r>
    </w:p>
    <w:p>
      <w:pPr>
        <w:spacing w:after="0" w:line="225" w:lineRule="exact"/>
        <w:rPr>
          <w:sz w:val="20"/>
          <w:szCs w:val="20"/>
          <w:color w:val="auto"/>
        </w:rPr>
      </w:pPr>
    </w:p>
    <w:p>
      <w:pPr>
        <w:ind w:left="660" w:right="2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commercialization capabilities;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Three Months Ended September 30, 2020 and 2019</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three months ended September 30, 2020 and 2019, respectively,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 Increase/</w:t>
            </w:r>
          </w:p>
        </w:tc>
      </w:tr>
      <w:tr>
        <w:trPr>
          <w:trHeight w:val="182"/>
        </w:trPr>
        <w:tc>
          <w:tcPr>
            <w:tcW w:w="3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4"/>
          </w:tcPr>
          <w:p>
            <w:pPr>
              <w:jc w:val="right"/>
              <w:ind w:right="15"/>
              <w:spacing w:after="0"/>
              <w:rPr>
                <w:sz w:val="20"/>
                <w:szCs w:val="20"/>
                <w:color w:val="auto"/>
              </w:rPr>
            </w:pPr>
            <w:r>
              <w:rPr>
                <w:rFonts w:ascii="Arial" w:cs="Arial" w:eastAsia="Arial" w:hAnsi="Arial"/>
                <w:sz w:val="15"/>
                <w:szCs w:val="15"/>
                <w:b w:val="1"/>
                <w:bCs w:val="1"/>
                <w:color w:val="auto"/>
                <w:w w:val="87"/>
              </w:rPr>
              <w:t>Three months ended September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1"/>
              </w:rPr>
              <w:t>(Decrease)</w:t>
            </w: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(Decrease)</w:t>
            </w:r>
          </w:p>
        </w:tc>
      </w:tr>
      <w:tr>
        <w:trPr>
          <w:trHeight w:val="250"/>
        </w:trPr>
        <w:tc>
          <w:tcPr>
            <w:tcW w:w="39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682,907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610,640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292,625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(253,982)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Facilities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38,693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Personnel costs increased approximately $72,000 for the three months ended September 30, 2020 compared to the same period in the prior year. This increase was due primarily to an increase of approximately $23,000 for the recognized expense for vested employee stock options, an increase of approximately $50,000 in bonuses paid as compared to the same period in the prior year.</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Legal and professional fees consist of the costs incurred for legal fees, accounting fees, capital market expenses, consulting fees and investor relations services, as well as fees paid to our Board of Directors. Legal and professional fees decreased approximately $254,000 for the three months ended September 30, 2020 compared to the same period in the prior year. This decrease was due primarily to a reduction of legal fees incurred for arbitration proceedings related to our license agreement for levosimendan and a decrease in costs incurred for investor relations services.</w:t>
      </w:r>
    </w:p>
    <w:p>
      <w:pPr>
        <w:spacing w:after="0" w:line="193" w:lineRule="exact"/>
        <w:rPr>
          <w:sz w:val="20"/>
          <w:szCs w:val="20"/>
          <w:color w:val="auto"/>
        </w:rPr>
      </w:pPr>
    </w:p>
    <w:p>
      <w:pPr>
        <w:ind w:left="660" w:right="20" w:hanging="216"/>
        <w:spacing w:after="0" w:line="256" w:lineRule="auto"/>
        <w:rPr>
          <w:sz w:val="20"/>
          <w:szCs w:val="20"/>
          <w:color w:val="auto"/>
        </w:rPr>
      </w:pPr>
      <w:r>
        <w:rPr>
          <w:rFonts w:ascii="Arial" w:cs="Arial" w:eastAsia="Arial" w:hAnsi="Arial"/>
          <w:sz w:val="18"/>
          <w:szCs w:val="18"/>
          <w:color w:val="auto"/>
        </w:rPr>
        <w:t>– Legal fees decreased approximately $216,000 in the current period. This decrease was due primarily to a decrease of approximately $205,000 in costs incurred for arbitration and a decrease of approximately $24,000 in cost associated with our intellectual property portfolio, partially offset by an increase of approximately $13,000 in legal fees associated with registration statements and other filings in the current period as compared to the same period in the prior year.</w:t>
      </w:r>
    </w:p>
    <w:p>
      <w:pPr>
        <w:spacing w:after="0" w:line="7" w:lineRule="exact"/>
        <w:rPr>
          <w:sz w:val="20"/>
          <w:szCs w:val="20"/>
          <w:color w:val="auto"/>
        </w:rPr>
      </w:pPr>
    </w:p>
    <w:p>
      <w:pPr>
        <w:ind w:left="660" w:right="20" w:hanging="216"/>
        <w:spacing w:after="0" w:line="306" w:lineRule="auto"/>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Investor relations costs decreased approximately $49,000 in the current period. This decrease was primarily due to fees paid to a third-party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firm for direct outreach and communications in the prior year that were not incurred in the current period as well as a decrease in fees paid for conferences and presentations in the current period as compared to the same period in the prior year.</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Other costs include costs incurred for franchise and other taxes, travel, supplies, insurance, depreciation and other miscellaneous charges. Other costs increased approximately $12,000 in the current period due primarily to an increase of approximately $43,000 in insurance premiums paid, partially offset by decreases of approximately $17,000 in travel costs and approximately $11,000 in taxes paid in the current period as compared to the same period of the prior year.</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three months ended September 30, 2020 and 2019.</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Research and development expenses include, but are not limited to, (1) expenses incurred under agreements with clinical research organizations (CROs) and investigative sites, which conduct our clinical trials and a substantial portion of our pre-clinical studies; (2) the cost of supplying clinical trial materials;</w:t>
      </w:r>
    </w:p>
    <w:p>
      <w:pPr>
        <w:spacing w:after="0" w:line="1" w:lineRule="exact"/>
        <w:rPr>
          <w:sz w:val="20"/>
          <w:szCs w:val="20"/>
          <w:color w:val="auto"/>
        </w:rPr>
      </w:pPr>
    </w:p>
    <w:p>
      <w:pPr>
        <w:jc w:val="both"/>
        <w:ind w:right="300" w:firstLine="8"/>
        <w:spacing w:after="0" w:line="295"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payments to contract service organizations, as well as consultants; (4) employee-related expenses, which include salaries and benefits; and (5)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three months ended September 30, 2020 and 2019, respectively,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 Increase/</w:t>
            </w:r>
          </w:p>
        </w:tc>
      </w:tr>
      <w:tr>
        <w:trPr>
          <w:trHeight w:val="182"/>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4"/>
          </w:tcPr>
          <w:p>
            <w:pPr>
              <w:jc w:val="right"/>
              <w:ind w:right="16"/>
              <w:spacing w:after="0"/>
              <w:rPr>
                <w:sz w:val="20"/>
                <w:szCs w:val="20"/>
                <w:color w:val="auto"/>
              </w:rPr>
            </w:pPr>
            <w:r>
              <w:rPr>
                <w:rFonts w:ascii="Arial" w:cs="Arial" w:eastAsia="Arial" w:hAnsi="Arial"/>
                <w:sz w:val="15"/>
                <w:szCs w:val="15"/>
                <w:b w:val="1"/>
                <w:bCs w:val="1"/>
                <w:color w:val="auto"/>
                <w:w w:val="87"/>
              </w:rPr>
              <w:t>Three months ended September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(Decrease)</w:t>
            </w:r>
          </w:p>
        </w:tc>
      </w:tr>
      <w:tr>
        <w:trPr>
          <w:trHeight w:val="250"/>
        </w:trPr>
        <w:tc>
          <w:tcPr>
            <w:tcW w:w="4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989,159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846,895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142,264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Personnel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6,167</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bl>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Clinical and preclinical development costs include, primarily, the costs associated with our Phase 2 HELP Study for levosimendan, which was initiated during fiscal year 2018. The last patient was enrolled into the trial during the first quarter of the current fiscal year. The increase of approximately $142,000 in clinical and preclinical development costs for the three months ended September 30, 2020 compared to the same period in the prior year was primarily due to an increase of approximately $587,000 in expenditures for CRO costs, partially offset by a reduction of approximately $403,000 in enrolled patient costs and a decrease of approximately $37,000 in fees paid for clinical research associates to manage the Phase 2 HELP Study and other direct trial costs in the current period as compared to the same period in the prior year.</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Personnel costs increased approximately $6,000 for the three months ended September 30, 2020 due primarily to an overall increase in salaries paid in the current period as compared to the same period in the prior year.</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Other costs decreased approximately $13,000 for the three months ended September 30, 2020 due primarily to reductions in costs incurred for travel and consulting fees paid in the current period as compared to the same period in the prior year.</w:t>
      </w:r>
    </w:p>
    <w:p>
      <w:pPr>
        <w:spacing w:after="0" w:line="11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most advanced product candidate, levosimendan; however, we will need substantial additional capital in the future in order to complete the development and potential commercialization of levosimendan, and to continue with the development of other potential product candidates.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income includes non-operating income not otherwise recorded in our condensed consolidated statement of comprehensive loss. These include, but are not limited to, changes in the fair value of financial assets and derivative liabilities, interest income earned and fixed asset disposals. Other income for the three months ended September 30, 2020 and 2019, respectively,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(Increase)/</w:t>
            </w:r>
          </w:p>
        </w:tc>
      </w:tr>
      <w:tr>
        <w:trPr>
          <w:trHeight w:val="182"/>
        </w:trPr>
        <w:tc>
          <w:tcPr>
            <w:tcW w:w="4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5"/>
                <w:szCs w:val="15"/>
                <w:b w:val="1"/>
                <w:bCs w:val="1"/>
                <w:color w:val="auto"/>
                <w:w w:val="88"/>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Decrease</w:t>
            </w:r>
          </w:p>
        </w:tc>
      </w:tr>
      <w:tr>
        <w:trPr>
          <w:trHeight w:val="250"/>
        </w:trPr>
        <w:tc>
          <w:tcPr>
            <w:tcW w:w="43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(36,709)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31,411</w:t>
            </w:r>
          </w:p>
        </w:tc>
      </w:tr>
    </w:tbl>
    <w:p>
      <w:pPr>
        <w:spacing w:after="0" w:line="20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Other income decreased approximately $31,000 for the three months ended September 30, 2020 compared to the same period in the prior year. This decrease is due primarily to a decrease in the interest earned on our investment in marketable securities.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September 30, 2020, we recorded interest income of approximately $2,000 from our investments in marketable securities. This income is derived from approximately $4,000 in bond interest paid partially offset by fair-value adjustments measured for the period, which compares to approximately $33,000 in bond interest paid during the same period in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Comparison of the Nine Months Ended September 30, 2020 and 2019</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nine months ended September 30, 2020 and 2019, respectively,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 Increase/</w:t>
            </w:r>
          </w:p>
        </w:tc>
      </w:tr>
      <w:tr>
        <w:trPr>
          <w:trHeight w:val="182"/>
        </w:trPr>
        <w:tc>
          <w:tcPr>
            <w:tcW w:w="3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ind w:left="20"/>
              <w:spacing w:after="0"/>
              <w:rPr>
                <w:sz w:val="20"/>
                <w:szCs w:val="20"/>
                <w:color w:val="auto"/>
              </w:rPr>
            </w:pPr>
            <w:r>
              <w:rPr>
                <w:rFonts w:ascii="Arial" w:cs="Arial" w:eastAsia="Arial" w:hAnsi="Arial"/>
                <w:sz w:val="15"/>
                <w:szCs w:val="15"/>
                <w:b w:val="1"/>
                <w:bCs w:val="1"/>
                <w:color w:val="auto"/>
                <w:w w:val="98"/>
              </w:rPr>
              <w:t>Nine months ended 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5"/>
              </w:rPr>
              <w:t>(Decrease)</w:t>
            </w:r>
          </w:p>
        </w:tc>
      </w:tr>
      <w:tr>
        <w:trPr>
          <w:trHeight w:val="250"/>
        </w:trPr>
        <w:tc>
          <w:tcPr>
            <w:tcW w:w="39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2,120,914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1,956,465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1,192,499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(574,923)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Facilities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117,071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115,981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Personnel costs increased approximately $164,000 for the nine months ended September 30, 2020 compared to the same period in the prior year. This increase was due primarily to an increase of approximately $60,000 for the recognized expense for vested employee stock options, an increase of approximately $50,000 in bonuses paid and an overall increase of approximately $54,000 in salaries paid as compared to the same period in the prior year.</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Legal and professional fees consist of the costs incurred for legal fees, accounting fees, capital market expenses, consulting fees and investor relations services, as well as fees paid to our Board of Directors. Legal and professional fees decreased approximately $575,000 for the nine months ended September 30, 2020 compared to the same period in the prior year. This decrease was due primarily to reimbursement of direct costs and legal fees incurred for arbitration proceedings related to our license agreement for levosimendan, and a decrease in costs incurred for investor relations services in the current period.</w:t>
      </w:r>
    </w:p>
    <w:p>
      <w:pPr>
        <w:spacing w:after="0" w:line="84" w:lineRule="exact"/>
        <w:rPr>
          <w:sz w:val="20"/>
          <w:szCs w:val="20"/>
          <w:color w:val="auto"/>
        </w:rPr>
      </w:pPr>
    </w:p>
    <w:p>
      <w:pPr>
        <w:ind w:left="660" w:right="20" w:hanging="324"/>
        <w:spacing w:after="0" w:line="254" w:lineRule="auto"/>
        <w:rPr>
          <w:sz w:val="20"/>
          <w:szCs w:val="20"/>
          <w:color w:val="auto"/>
        </w:rPr>
      </w:pPr>
      <w:r>
        <w:rPr>
          <w:rFonts w:ascii="Arial" w:cs="Arial" w:eastAsia="Arial" w:hAnsi="Arial"/>
          <w:sz w:val="18"/>
          <w:szCs w:val="18"/>
          <w:color w:val="auto"/>
        </w:rPr>
        <w:t>– Legal fees decreased approximately $481,000 in the current period. This decrease was due primarily to the reimbursement of approximately $358,000 in costs incurred for arbitration in the current period, as well as a decrease of approximately $120,000 in fees incurred for arbitration proceedings related to our license agreement for levosimendan and a decrease of approximately $24,000 in costs associated with our intellectual property portfolio, partially offset by an increase of approximately $28,000 in legal fees associated with our financial and proxy filings in the current period as compared to the same period in the prior year.</w:t>
      </w:r>
    </w:p>
    <w:p>
      <w:pPr>
        <w:spacing w:after="0" w:line="11" w:lineRule="exact"/>
        <w:rPr>
          <w:sz w:val="20"/>
          <w:szCs w:val="20"/>
          <w:color w:val="auto"/>
        </w:rPr>
      </w:pPr>
    </w:p>
    <w:p>
      <w:pPr>
        <w:ind w:left="660" w:right="20" w:hanging="216"/>
        <w:spacing w:after="0" w:line="306" w:lineRule="auto"/>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Investor relations costs decreased approximately $94,000 in the current period. This decrease was primarily due to fees paid to a third-party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firm for direct outreach and communications in the prior year that were not incurred in the current period as well as a decrease in fees paid for conferences and presentations in the current period as compared to the same period in the prior year.</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Other costs include costs incurred for franchise and other taxes, travel, supplies, insurance, depreciation and other miscellaneous charges. Other costs increased approximately $81,000 for the nine months ended September 30, 2020 compared to the same period in the prior year. This increase was due primarily to an increase of approximately $128,000 for the cost of annual insurance premiums, partially offset by a reduction of approximately $40,000 in travel costs incurred and approximately $9,000 in taxes paid in the current period as compared to the same period in the prior year.</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nine months ended September 30, 2020 and 2019.</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Research and development expenses include, but are not limited to, (1) expenses incurred under agreements with CROs and investigative sites, which conduct our clinical trials and a substantial portion of our pre-clinical studies; (2) the cost of manufacturing and supplying clinical trial materials; (3) payments to contract service organizations, as well as consultants; (4) employee-related expenses, which include salaries and benefits; and (5) facilities, depreciation and other allocated expenses, which include direct and allocated expenses for rent and maintenance of facilities and equipment, depreciation of leasehold improvements, equipment, laboratory and other supplies. All research and development expenses are expensed as incurred. Research and development expenses and percentage changes for the nine months ended September 30, 2020 and 2019, respectively,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9"/>
              </w:rPr>
              <w:t>Increase/</w:t>
            </w:r>
          </w:p>
        </w:tc>
        <w:tc>
          <w:tcPr>
            <w:tcW w:w="128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 Increase/</w:t>
            </w:r>
          </w:p>
        </w:tc>
      </w:tr>
      <w:tr>
        <w:trPr>
          <w:trHeight w:val="182"/>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56"/>
              <w:spacing w:after="0"/>
              <w:rPr>
                <w:sz w:val="20"/>
                <w:szCs w:val="20"/>
                <w:color w:val="auto"/>
              </w:rPr>
            </w:pPr>
            <w:r>
              <w:rPr>
                <w:rFonts w:ascii="Arial" w:cs="Arial" w:eastAsia="Arial" w:hAnsi="Arial"/>
                <w:sz w:val="15"/>
                <w:szCs w:val="15"/>
                <w:b w:val="1"/>
                <w:bCs w:val="1"/>
                <w:color w:val="auto"/>
                <w:w w:val="87"/>
              </w:rPr>
              <w:t>Nine months ended September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5"/>
              </w:rPr>
              <w:t>(Decrease)</w:t>
            </w:r>
          </w:p>
        </w:tc>
        <w:tc>
          <w:tcPr>
            <w:tcW w:w="128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(Decrease)</w:t>
            </w:r>
          </w:p>
        </w:tc>
      </w:tr>
      <w:tr>
        <w:trPr>
          <w:trHeight w:val="250"/>
        </w:trPr>
        <w:tc>
          <w:tcPr>
            <w:tcW w:w="4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3,489,977</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1,858,034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1,631,943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Personnel costs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167,738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162,723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5,015</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costs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(16,201)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Clinical and preclinical development costs include, primarily, the costs associated with our Phase 2 HELP Study for levosimendan, which was initiated during fiscal year 2018. The last patient was enrolled into the trial during the first quarter of the current fiscal year. The increase of approximately $1.6 million in clinical and preclinical development costs for the nine months ended September 30, 2020 compared to the same period in the prior year was primarily due to an increase of approximately $1.6 million in expenditures for CRO costs and an increase of approximately $307,000 in enrolled patient costs, partially offset by a reduction of approximately $147,000 in fees paid to clinical research associates to manage the Phase 2 HELP Study, as well as a reduction of approximately $82,000 in other direct costs, as well as a decrease of approximately $26,000 in nonclinical development costs for levosimendan in the current period as compared to the same period in the prior year.</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Personnel costs remained relatively consistent for the nine months ended September 30, 2020 and 2019.</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Other costs decreased approximately $16,000 for the nine months ended September 30, 2020 due primarily to reductions in costs incurred for travel and consulting fees paid in the current period as compared to the same period in the prior year.</w:t>
      </w:r>
    </w:p>
    <w:p>
      <w:pPr>
        <w:spacing w:after="0" w:line="118"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most advanced product candidate, levosimendan; however, we will need substantial additional capital in the future in order to complete the development and potential commercialization of levosimendan, and to continue with the development of other potential product candidates.</w:t>
      </w: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509" w:right="25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income includes non-operating income not otherwise recorded in our condensed consolidated statement of comprehensive loss. These include, but are not limited to, changes in the fair value of financial assets and derivative liabilities, interest income earned and fixed asset disposals. Other income for the nine months ended September 30, 2020 and 2019, respectively,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(Increase)/</w:t>
            </w:r>
          </w:p>
        </w:tc>
      </w:tr>
      <w:tr>
        <w:trPr>
          <w:trHeight w:val="182"/>
        </w:trPr>
        <w:tc>
          <w:tcPr>
            <w:tcW w:w="4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300"/>
              <w:spacing w:after="0"/>
              <w:rPr>
                <w:sz w:val="20"/>
                <w:szCs w:val="20"/>
                <w:color w:val="auto"/>
              </w:rPr>
            </w:pPr>
            <w:r>
              <w:rPr>
                <w:rFonts w:ascii="Arial" w:cs="Arial" w:eastAsia="Arial" w:hAnsi="Arial"/>
                <w:sz w:val="15"/>
                <w:szCs w:val="15"/>
                <w:b w:val="1"/>
                <w:bCs w:val="1"/>
                <w:color w:val="auto"/>
                <w:w w:val="88"/>
              </w:rPr>
              <w:t>Nine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Decrease</w:t>
            </w:r>
          </w:p>
        </w:tc>
      </w:tr>
      <w:tr>
        <w:trPr>
          <w:trHeight w:val="250"/>
        </w:trPr>
        <w:tc>
          <w:tcPr>
            <w:tcW w:w="43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(139,161)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125,123</w:t>
            </w: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income decreased approximately $125,000 for the nine months ended September 30, 2020 compared to the same period in the prior year. This decrease is due primarily to a decrease in the interest earned on our investment in marketable securities.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nine months ended September 30, 2020, we recorded interest income of approximately $15,000 from our investments in marketable securities. This income is derived from approximately $19,000 in bond interest paid partially offset by fair-value adjustments measured for the period, which compares to approximately $118,000 in bond interest paid during the same period in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Plan of Operation</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have incurred losses since our inception, and as of September 30, 2020 we had an accumulated deficit of approximately $243 million. We will continue to incur losses until we generate sufficient revenue to offset our expenses, and we anticipate that we will continue to incur net losses for at least the next several years. We expect to incur increased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financed our operations since September 1990 through the issuance of debt and equity securities and loans from stockholders. We had total current assets of $8,897,455 and $6,180,829 and working capital of $7,518,280 and $3,648,434 as of September 30, 2020 and December 31, 2019, respectively. Based on our working capital and the value of our investments in marketable securities on September 30, 2020, we believe we have sufficient capital to fund our operations through the third quarter of calendar year 2021.</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11, 2020, we entered into a definitive agreement with a single healthcare-focused institutional investor (the “Investor“) for the issuance and sale of 750,000 shares of our common stock at a purchase price of $1.1651 per share and pre-funded warrants to purchase up to 1,610,313 shares of common stock, at a purchase price of $1.1650 per pre-funded warrant (which represents the per share offering price for the common stock less $0.0001, the exercise price of each pre-funded warrant), for gross proceeds of approximately $2.75 million, in a registered direct offering priced at-the-market under Nasdaq rules. Additionally, in a concurrent private placement, we also agreed to issue to the Investor unregistered warrants to purchase up to 2,360,313 shares of common stock. The unregistered warrants have an exercise price of $1.04 per share and exercise period commencing immediately upon the issuance date and a term of five and one-half years. The offering closed on March 13, 2020.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ind w:right="20"/>
        <w:spacing w:after="0" w:line="314" w:lineRule="auto"/>
        <w:rPr>
          <w:sz w:val="20"/>
          <w:szCs w:val="20"/>
          <w:color w:val="auto"/>
        </w:rPr>
      </w:pPr>
      <w:r>
        <w:rPr>
          <w:rFonts w:ascii="Arial" w:cs="Arial" w:eastAsia="Arial" w:hAnsi="Arial"/>
          <w:sz w:val="15"/>
          <w:szCs w:val="15"/>
          <w:color w:val="auto"/>
        </w:rPr>
        <w:t>We agreed to pay H.C. Wainwright &amp; Co., LLC (the “Placement Agent”), a cash fee equal to 7.5% of the gross proceeds of the March 2020 offering, totaling approximately $206,250. We also agreed to pay the Placement Agent $75,000 for non-accountable expenses, a management fee equal to 1.0% of the gross proceeds and up to $12,900 for clearing fees. In addition, we issued designees of the Placement Agent warrants to purchase 177,023 shares of common stock (representing 7.5% of the aggregate number of shares of common stock (or common stock equivalents) sold in the March 2020 offering). The Placement Agent warrants have substantially the same terms as the unregistered warrants, except that the Placement Agent warrants have an exercise price equal to $1.4564, or 125% of the offering price per share of common stock, and will be exercisable for five years from the effective date of the March 2020 offering.</w:t>
      </w:r>
    </w:p>
    <w:p>
      <w:pPr>
        <w:spacing w:after="0" w:line="9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shares of common stock and pre-funded warrants offered in the registered direct offering (including the shares of common stock underlying the pre-funded warrants) were offered and sold pursuant to a “shelf” registration statement on Form S-3, which was declared effective by the SEC on May 23, 2018. The unregistered warrants described above were offered in a private placement under Section 4(a)(2) of the Securities Act, and Regulation D promulgated thereunder and, along with the shares of common stock underlying the warrants, have not been registered under the Securities Act, or applicable state securities laws. The net proceeds from the March 2020 offering, after deducting placement agent fees and other direct offering expenses, were approximately $2.125 million. We are using the net proceeds to further our clinical trials of levosimendan, for research and development and general corporate purposes, including working capital and potential acquisitions.</w:t>
      </w:r>
    </w:p>
    <w:p>
      <w:pPr>
        <w:spacing w:after="0" w:line="10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July 6, 2020 entered into a definitive agreement with the Investor for the issuance and sale of 2,523,611 shares of our common stock at a purchase price of $1.0278 per share and pre-funded warrants to purchase up to 652,313 shares of common stock, at a purchase price of $1.0277 per pre-funded warrant (which represents the per share offering price for the common stock less $0.0001, the exercise price of each pre-funded warrant), in a registered direct offering priced at-the-market under Nasdaq rules. Additionally, in a concurrent private placement, we agreed to issue to the Investor unregistered pre-funded warrants to purchase up to 4,607,692 shares of common stock, at the same purchase price as the registered pre-funded warrants, as well as unregistered warrants to purchase up to an aggregate of 7,783,616 shares of common stock. The unregistered warrants have an exercise price of $0.903 per share, were immediately exercisable upon issuance, and expire five and one-half years from the date of issuance. The aggregate gross proceeds to the Company of both offerings was approximately $8.0 million. As part of the offerings and subject to Nasdaq rules, the Investor will have the right to designate two directors to the Company’s Board of Directors. The offerings closed on July 8, 2020.</w:t>
      </w:r>
    </w:p>
    <w:p>
      <w:pPr>
        <w:spacing w:after="0" w:line="1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agreed to pay the Placement Agent a cash fee equal to 7.5% of the gross proceeds of the July 2020 offering, totaling approximately $600,000. We also agreed to pay the Placement Agent $75,000 for non-accountable expenses, a management fee equal to 1.0% of the gross proceeds and up to $12,900 for clearing fees. In addition, we issued designees of the Placement Agent warrants to purchase 583,771 shares of common stock (representing 7.5% of the aggregate number of shares of common stock (or common stock equivalents) sold in the July 2020 offering). The Placement Agent warrants have substantially the same terms as the unregistered warrants, except that the Placement Agent warrants have an exercise price equal to $1.2848, or 125% of the offering price per share of common stock, and will be exercisable for five years from the effective date of the July 2020 offering.</w:t>
      </w:r>
    </w:p>
    <w:p>
      <w:pPr>
        <w:spacing w:after="0" w:line="10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shares of common stock and pre-funded warrants offered in the registered direct offering (including the shares of common stock underlying the pre-funded warrants) were offered and sold pursuant to a “shelf” registration statement on Form S-3 which was declared effective by the SEC on May 23, 2018. The unregistered pre-funded warrants and unregistered warrants described above were offered in a private placement under Section 4(a)(2) of the Securities Act and Regulation D promulgated thereunder and, along with the shares of common stock underlying the pre-funded warrants and the warrants, have not been registered under the Securities Act, or applicable state securities laws. The net proceeds from the July 2020 offering, after deducting placement agent fees and other direct offering expenses, were approximately $6.5 million. We are using the net proceeds to further our clinical trials of levosimendan, for research and development and general corporate purposes, including working capital and potential acquisitions.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Paycheck Protection Program Loan</w:t>
      </w:r>
    </w:p>
    <w:p>
      <w:pPr>
        <w:spacing w:after="0" w:line="1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April 30, 2020, we received the PPP Loan under the CARES Act, as administered by the SBA. The PPP Loan in the principal amount of $244,657 was disbursed by First Horizon Bank (the “Lender”), pursuant to a promissory note issued by us (the “Note”).</w:t>
      </w:r>
    </w:p>
    <w:p>
      <w:pPr>
        <w:spacing w:after="0" w:line="18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PPP Loan has a two-year term and bears interest at a rate of 1.00% per annum. Monthly principal and interest payments are deferred for sixteen months. Beginning September 30, 2021, we are required to make monthly payments of principal and interest of approximately $31,100 to the Lender. We did not provide any collateral or guarantees for the PPP Loan, nor did we pay any facility charge to obtain the PPP Loan. The Note provides for customary events of default, including, among others, those relating to failure to make payment, bankruptcy, breaches of representations, and material adverse effects. We may prepay the principal of the PPP Loan at any time, subject to certain notice requirements.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8" w:name="page29"/>
    <w:bookmarkEnd w:id="28"/>
    <w:p>
      <w:pPr>
        <w:ind w:right="40"/>
        <w:spacing w:after="0" w:line="298" w:lineRule="auto"/>
        <w:rPr>
          <w:sz w:val="20"/>
          <w:szCs w:val="20"/>
          <w:color w:val="auto"/>
        </w:rPr>
      </w:pPr>
      <w:r>
        <w:rPr>
          <w:rFonts w:ascii="Arial" w:cs="Arial" w:eastAsia="Arial" w:hAnsi="Arial"/>
          <w:sz w:val="16"/>
          <w:szCs w:val="16"/>
          <w:color w:val="auto"/>
        </w:rPr>
        <w:t>Under the terms of the CARES Act, Paycheck Protection Program loan recipients can apply for and be granted forgiveness for all or a portion of a loan granted under the program. Such forgiveness will be determined, subject to limitations, based on the use of loan proceeds for payment of payroll costs and any payments of mortgage interest, rent, and utilities. We are using the proceeds from the PPP Loan to fund payroll costs in accordance with the relevant terms and conditions of the CARES Act. However, no assurance is provided that forgiveness for any portion of the PPP Loan will be obtained.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current and long-term portions of the PPP Loan were $30,900 and $213,757,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2020 and 2019:</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5"/>
                <w:szCs w:val="15"/>
                <w:b w:val="1"/>
                <w:bCs w:val="1"/>
                <w:color w:val="auto"/>
                <w:w w:val="92"/>
              </w:rPr>
              <w:t>Nine months ended September 30,</w:t>
            </w:r>
          </w:p>
        </w:tc>
        <w:tc>
          <w:tcPr>
            <w:tcW w:w="140" w:type="dxa"/>
            <w:vAlign w:val="bottom"/>
          </w:tcPr>
          <w:p>
            <w:pPr>
              <w:spacing w:after="0"/>
              <w:rPr>
                <w:sz w:val="15"/>
                <w:szCs w:val="15"/>
                <w:color w:val="auto"/>
              </w:rPr>
            </w:pPr>
          </w:p>
        </w:tc>
      </w:tr>
      <w:tr>
        <w:trPr>
          <w:trHeight w:val="250"/>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21"/>
                <w:szCs w:val="21"/>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(7,285,410)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(5,829,920)</w:t>
            </w:r>
          </w:p>
        </w:tc>
      </w:tr>
      <w:tr>
        <w:trPr>
          <w:trHeight w:val="216"/>
        </w:trPr>
        <w:tc>
          <w:tcPr>
            <w:tcW w:w="5960" w:type="dxa"/>
            <w:vAlign w:val="bottom"/>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16,603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15,096</w:t>
            </w:r>
          </w:p>
        </w:tc>
      </w:tr>
      <w:tr>
        <w:trPr>
          <w:trHeight w:val="21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10,598,346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96,500</w:t>
            </w:r>
          </w:p>
        </w:tc>
      </w:tr>
    </w:tbl>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approximately $7.3 million for the nine months ended September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cash used in operating activities of approximately $5.8 million for the nine months ended September 30, 2019. The increase in cash used for operating activities was due primarily to an increase in our costs related to the Phase 2 Help Study in the current period.</w:t>
      </w:r>
    </w:p>
    <w:p>
      <w:pPr>
        <w:spacing w:after="0" w:line="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Net cash provided by investing activities</w:t>
      </w:r>
      <w:r>
        <w:rPr>
          <w:rFonts w:ascii="Arial" w:cs="Arial" w:eastAsia="Arial" w:hAnsi="Arial"/>
          <w:sz w:val="18"/>
          <w:szCs w:val="18"/>
          <w:color w:val="auto"/>
        </w:rPr>
        <w:t>. Net cash provided by investing activities was approximately $17,000 for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$15,000 used in the nine months ended September 30, 2019. The increase in cash in investing activities was primarily due to the sale of marketable securities in the current period.</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approximately $10.6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approximately $97,000 for the nine months ended September 30, 2019. The increase in cash provided by financing activities was due primarily to net proceeds of approximately $6.5 million from the July 2020 offering, net proceeds of approximately $2.1 million from the March 2020 offering, the issuance of 877,203 shares of common stock upon the exercise of approximately $1.7 million of outstanding warrants and the receipt of approximately $245,000 under the PPP Loan in the current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158" w:lineRule="exact"/>
        <w:rPr>
          <w:sz w:val="20"/>
          <w:szCs w:val="20"/>
          <w:color w:val="auto"/>
        </w:rPr>
      </w:pPr>
    </w:p>
    <w:p>
      <w:pPr>
        <w:ind w:left="20" w:right="2580"/>
        <w:spacing w:after="0" w:line="285" w:lineRule="auto"/>
        <w:rPr>
          <w:sz w:val="20"/>
          <w:szCs w:val="20"/>
          <w:color w:val="auto"/>
        </w:rPr>
      </w:pPr>
      <w:r>
        <w:rPr>
          <w:rFonts w:ascii="Arial" w:cs="Arial" w:eastAsia="Arial" w:hAnsi="Arial"/>
          <w:sz w:val="16"/>
          <w:szCs w:val="16"/>
          <w:color w:val="auto"/>
        </w:rPr>
        <w:t>-the initiation, progress, timing and completion of clinical trials for our product candidate and potential product candidates; -the outcome, timing and cost of regulatory approvals and the regulatory approval process;</w:t>
      </w:r>
    </w:p>
    <w:p>
      <w:pPr>
        <w:spacing w:after="0" w:line="1" w:lineRule="exact"/>
        <w:rPr>
          <w:sz w:val="20"/>
          <w:szCs w:val="20"/>
          <w:color w:val="auto"/>
        </w:rPr>
      </w:pPr>
    </w:p>
    <w:p>
      <w:pPr>
        <w:ind w:left="20" w:right="5600"/>
        <w:spacing w:after="0" w:line="250" w:lineRule="auto"/>
        <w:rPr>
          <w:sz w:val="20"/>
          <w:szCs w:val="20"/>
          <w:color w:val="auto"/>
        </w:rPr>
      </w:pPr>
      <w:r>
        <w:rPr>
          <w:rFonts w:ascii="Arial" w:cs="Arial" w:eastAsia="Arial" w:hAnsi="Arial"/>
          <w:sz w:val="18"/>
          <w:szCs w:val="18"/>
          <w:color w:val="auto"/>
        </w:rPr>
        <w:t>-the impacts of COVID-19, including delays that may be caused by COVID-19; -delays that may be caused by changing regulatory requirements; -the number of product candidates that we pursue;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 w:lineRule="exact"/>
        <w:rPr>
          <w:sz w:val="20"/>
          <w:szCs w:val="20"/>
          <w:color w:val="auto"/>
        </w:rPr>
      </w:pPr>
    </w:p>
    <w:p>
      <w:pPr>
        <w:ind w:right="3300"/>
        <w:spacing w:after="0" w:line="281" w:lineRule="auto"/>
        <w:rPr>
          <w:sz w:val="20"/>
          <w:szCs w:val="20"/>
          <w:color w:val="auto"/>
        </w:rPr>
      </w:pPr>
      <w:r>
        <w:rPr>
          <w:rFonts w:ascii="Arial" w:cs="Arial" w:eastAsia="Arial" w:hAnsi="Arial"/>
          <w:sz w:val="16"/>
          <w:szCs w:val="16"/>
          <w:color w:val="auto"/>
        </w:rPr>
        <w:t>-the timing and terms of future collaboration, licensing, consulting or other arrangements that we may enter into; -the cost and timing of establishing sales, marketing, manufacturing and distribution capabilities;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cost of procuring clinical and commercial supplies of our product candidates;</w:t>
      </w:r>
    </w:p>
    <w:p>
      <w:pPr>
        <w:spacing w:after="0" w:line="9" w:lineRule="exact"/>
        <w:rPr>
          <w:sz w:val="20"/>
          <w:szCs w:val="20"/>
          <w:color w:val="auto"/>
        </w:rPr>
      </w:pPr>
    </w:p>
    <w:p>
      <w:pPr>
        <w:ind w:right="5240"/>
        <w:spacing w:after="0" w:line="260" w:lineRule="auto"/>
        <w:rPr>
          <w:sz w:val="20"/>
          <w:szCs w:val="20"/>
          <w:color w:val="auto"/>
        </w:rPr>
      </w:pPr>
      <w:r>
        <w:rPr>
          <w:rFonts w:ascii="Arial" w:cs="Arial" w:eastAsia="Arial" w:hAnsi="Arial"/>
          <w:sz w:val="18"/>
          <w:szCs w:val="18"/>
          <w:color w:val="auto"/>
        </w:rPr>
        <w:t>-the extent to which we acquire or invest in businesses, products or technologies; and -the possible costs of litigation.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spacing w:after="0" w:line="291" w:lineRule="auto"/>
        <w:rPr>
          <w:sz w:val="20"/>
          <w:szCs w:val="20"/>
          <w:color w:val="auto"/>
        </w:rPr>
      </w:pPr>
      <w:r>
        <w:rPr>
          <w:rFonts w:ascii="Arial" w:cs="Arial" w:eastAsia="Arial" w:hAnsi="Arial"/>
          <w:sz w:val="16"/>
          <w:szCs w:val="16"/>
          <w:color w:val="auto"/>
        </w:rPr>
        <w:t>We believe that our existing cash and cash equivalents, along with our investment in marketable securities, will be sufficient to fund our projected operating requirements through the third quarter of calendar year 2021. We will need substantial additional capital in the future in order to complete the development and commercialization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may not be available on favorable terms, if at all. In the event we are unable to obtain additional capital, we may delay or reduce the scope of our current research and development programs and other expenses.</w:t>
      </w:r>
    </w:p>
    <w:p>
      <w:pPr>
        <w:spacing w:after="0" w:line="10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2019, and Note 2 to our unaudited condensed consolidated financial statements included in Part I, Item 1 of this Quarterly Report on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December 2019,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We are currently evaluating this standard, but we do not believe the adoption of the new guidance will have a material impact on our consolidated financial statements.</w:t>
      </w:r>
    </w:p>
    <w:p>
      <w:pPr>
        <w:spacing w:after="0" w:line="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required by paragraph (b) of Rules 13a-15 and 15d-15 promulgated under the Exchange Act, our management, including our Chief Executive Officer and Chief Financial Officer, conducted an evaluation as of the end of the period covered by this report, of the effectiveness of our disclosure controls and procedures as defined in Exchange Act Rules 13a-15(e) and 15d-15(e). Based on that evaluation, our Chief Executive Officer and Chief Financial Officer concluded that our disclosure controls and procedures were effective as of September 30, 2020, the end of the period covered by this report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Chief Executive Officer and Chief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There were no changes in our internal control over financial reporting during our most recently completed fiscal quarter that have materially affected, or is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to which we are a party or to which any of our property is subject.</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risks we face have not materially changed from those disclosed in our Annual Report on Form 10-K for the year ended December 31, 2019, except as set forth below:</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coronavirus, may materially and adversely affect our business and our financial results.</w:t>
      </w:r>
    </w:p>
    <w:p>
      <w:pPr>
        <w:spacing w:after="0" w:line="18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spread of COVID-19 has affected segments of the global economy and may affect our operations, including the potential interruption of our clinical trial activities and our supply chain. The continued spread of COVID-19 may result in a period of business disruption, including delays in our clinical trials or delays or disruptions in our supply chain. In addition, there could be a potential effect of COVID-19 to the business at FDA or other health authorities, which could result in delays of reviews and approvals, including with respect to our product candidates.</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continued spread of COVID-19 globally could adversely affect our clinical trial operations in the United States and elsewhere, including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initiate and/or complete planned clinical and preclinical studies in the future. COVID-19 may also affect employees of third-party CROs located in affected geographies that we rely upon to carry out our clinical trials, which could result in inefficiencies due to reductions in staff and disruptions to work environments.</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spread of COVID-19, or another infectious disease, could also negatively affect the operations at our third-party manufacturers, which could result in delays or disruptions in the supply of our product candidates. In addition, we have taken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6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PPP Loan may not be forgiven or may subject us to challenges and investigations regarding qualification for the loan.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April 30, 2020, we received the PPP Loan in the principal amount of $244,657 pursuant to the Paycheck Protection Program under the CARES Act, as administered by the SBA. The PPP Loan matures in April 2022 and has an annual interest rate of 1.00%. Monthly principal and interest payments are deferred for sixteen months. Beginning September 30, 2021, the Company is required to make monthly payments of principal and interest of approximately $31,100 to the Lender. Pursuant to the terms of the CARES Act, we may apply for and be granted forgiveness for all or a portion of the PPP Loan. Such forgiveness will be determined, subject to limitations, based on the use of the loan proceeds for qualifying expenses, which include payroll costs, rent, and utility costs. We cannot provide any assurance that we will be eligible for loan forgiveness, that we will ultimately apply for forgiveness, or that any amount of the PPP Loan will ultimately be forgiven by the SBA.</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31" w:name="page32"/>
    <w:bookmarkEnd w:id="31"/>
    <w:p>
      <w:pPr>
        <w:spacing w:after="0" w:line="285" w:lineRule="auto"/>
        <w:rPr>
          <w:sz w:val="20"/>
          <w:szCs w:val="20"/>
          <w:color w:val="auto"/>
        </w:rPr>
      </w:pPr>
      <w:r>
        <w:rPr>
          <w:rFonts w:ascii="Arial" w:cs="Arial" w:eastAsia="Arial" w:hAnsi="Arial"/>
          <w:sz w:val="16"/>
          <w:szCs w:val="16"/>
          <w:color w:val="auto"/>
        </w:rPr>
        <w:t>Additionally, the PPP Loan application required us to certify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In addition, the SBA has stated that it is unlikely that a public company with substantial market value and access to capital markets will be able to make the required certification in good faith. The lack of clarity regarding loan eligibility under the program has resulted in significant media coverage and controversy with respect to public companies applying for and receiving loans. If, despite our good faith belief that we satisfied all eligibility requirements for the PPP Loan, we are found to have been ineligible to receive the PPP Loan or in violation of any of the laws or regulations that apply to us in connection with the PPP Loan, including the False Claims Act, we may be subject to penalties, including significant civil, criminal and administrative penalties and could be required to repay the PPP Loan. In the event that we seek forgiveness of all or a portion of the PPP Loan, we will also be required to make certain certifications which will be subject to audit and review by governmental entities and could subject us to significant penalties and liabilities if found to be inaccurate. In addition, our receipt of the PPP Loan may result in adverse publicity and damage to our reputation, and a review or audit by the SBA or other government entity or claims under the False Claims Act could consume significant financial and management resources. Any of these events could harm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compliance with Nasdaq’s continued listing requirements could result in the delisting of our common stock.</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common stock is currently listed on The Nasdaq Capital Market. In order to maintain this listing, we must satisfy minimum financial and other requirements. On April 24, 2020, we received a notification letter from Nasdaq’s Listing Qualifications Department indicating that we were not in compliance with Nasdaq Listing Rule 5550(a)(2), because the minimum bid price of our common stock on the Nasdaq Capital Market closed below $1.00 per share for 30 consecutive business days. In accordance with Nasdaq Listing Rule 5810(c)(3)(A), we would have had 180 calendar days to regain compliance with the minimum bid requirement; however, due to the market disruption caused by the ongoing COVID-19 pandemic, Nasdaq tolled the requirement for meeting the minimum bid price until June 30, 2020. As such, we would have had 180 days from July 1, 2020, or until December 28, 2020, to achieve compliance with the minimum bid price requirement. To regain compliance, the closing bid price of our common stock had to meet or exceed $1.00 per share for at least ten consecutive business days before December 28, 2020.</w:t>
      </w:r>
    </w:p>
    <w:p>
      <w:pPr>
        <w:spacing w:after="0" w:line="110" w:lineRule="exact"/>
        <w:rPr>
          <w:sz w:val="20"/>
          <w:szCs w:val="20"/>
          <w:color w:val="auto"/>
        </w:rPr>
      </w:pPr>
    </w:p>
    <w:p>
      <w:pPr>
        <w:ind w:right="760"/>
        <w:spacing w:after="0" w:line="331" w:lineRule="auto"/>
        <w:rPr>
          <w:sz w:val="20"/>
          <w:szCs w:val="20"/>
          <w:color w:val="auto"/>
        </w:rPr>
      </w:pPr>
      <w:r>
        <w:rPr>
          <w:rFonts w:ascii="Arial" w:cs="Arial" w:eastAsia="Arial" w:hAnsi="Arial"/>
          <w:sz w:val="16"/>
          <w:szCs w:val="16"/>
          <w:color w:val="auto"/>
        </w:rPr>
        <w:t>On June 2, 2020, we received a letter from Nasdaq notifying us that Nasdaq determined that our stock price traded above at least $1.00 for at least 10 consecutive business days since the April 24, 2020 notice, and therefore, we have regained compliance with Nasdaq listing rule 5550(a)(2).</w:t>
      </w:r>
    </w:p>
    <w:p>
      <w:pPr>
        <w:spacing w:after="0" w:line="7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While we intend to engage in efforts to maintain compliance, and thus maintain our listing, there can be no assurance that we will continue to meet all applicable Nasdaq Capital Market requirements in the future. In the event of future noncompliance, and if Nasdaq determines to delist our common stock, the delisting could substantially decrease trading in our common stock; adversely affect the market liquidity of our common stock as a result of the loss of market efficiencies associated with Nasdaq and the loss of federal preemption of state securities laws;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and shareholders may lose some or all of their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significant securityholder, which could exert substantial influence over our business.</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of November 12, 2020, to our knowledge, Armistice Capital, LLC (“Armistice“) held 2,019,995 shares of our common stock, warrants to purchase up to 4,145,076 shares of our common stock at an exercise price of $1.93 per share, warrants to purchase up to 2,360,313 shares of our common stock at an exercise price of $1.04 per share, warrants to purchase up to 7,783,616 shares of our common stock at an exercise price of $0.903 per share, and pre-funded warrants to purchase up to 5,260,005 shares of our common stock at an exercise price of $0.0001 per share. In addition, two members of our Board of Directors are affiliates of Armistice. Under the terms of the warrants and pre-funded warrants issued to Armistice, Armistice is not permitted to exercise such warrants to the extent that such exercise would result in Armistice (and its affiliates) beneficially owning more than 19.99% (or 4.99% in the case of the warrants with the $1.04 and $1.93 exercise prices per share) of the number of shares of our common stock outstanding immediately after giving effect to the issuance of shares of common stock issuable upon exercise of such warrants. After giving effect to the beneficial ownership limitations currently in effect with respect to the warrants and pre-funded warrants held by Armistice to our knowledge, as of November 12, 2020, Armistice beneficially owned 19.99% of our outstanding common stock. If the warrants and pre-funded warrants held by Armistice could be exercised without the beneficial ownership limitations, then as of November 12, 2020, Armistice would have beneficially owned 67.05% of our common stock. Although there are contractual limitations on the beneficial ownership of Armistice, if Armistice were to exercise its warrants for common stock, it could be able to exert substantial influence over our business, including, for example, the ability to delay, defer or prevent a change of control, entrench our management and the Board of Directors or delay or prevent a merger, consolidation or other business combination.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ind w:right="260"/>
        <w:spacing w:after="0" w:line="268" w:lineRule="auto"/>
        <w:rPr>
          <w:sz w:val="20"/>
          <w:szCs w:val="20"/>
          <w:color w:val="auto"/>
        </w:rPr>
      </w:pPr>
      <w:r>
        <w:rPr>
          <w:rFonts w:ascii="Arial" w:cs="Arial" w:eastAsia="Arial" w:hAnsi="Arial"/>
          <w:sz w:val="18"/>
          <w:szCs w:val="18"/>
          <w:b w:val="1"/>
          <w:bCs w:val="1"/>
          <w:i w:val="1"/>
          <w:iCs w:val="1"/>
          <w:color w:val="auto"/>
        </w:rPr>
        <w:t>Our bylaws contain an exclusive forum provision, which could limit our stockholders’ ability to obtain a favorable judicial forum for disputes with us or our directors, officers, employees, or agents.</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any North Carolina state court that has jurisdiction, or the Delaware Court of Chancery shall, to the fullest extent permitted by law, be the sole and exclusive forum any internal corporate claims, including without limitation (1) any derivative action or proceeding brought on behalf of us, (2) any action asserting a claim of breach of a fiduciary duty owed by any director, officer or other employee of us to us or our stockholders, (3) any action asserting a claim arising pursuant to any provision of the General Corporation Law of the State of Delaware, and (4) any action asserting a claim governed by the internal affairs doctrine, in each case subject to said court having personal jurisdiction over the indispensable parties named as defendants in such action.</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avoidance of doubt, the exclusive forum provision described above does not apply to any claims arising under the Securities Act or the Exchange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w:t>
      </w:r>
    </w:p>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exclusive forum provision in our bylaws may limit our stockholders’ ability to bring a claim in a judicial forum that they find favorable for disputes with us or our directors, officers, employees, or agents, which may discourage such lawsuits against us and our directors, officers, employees, and agents even though an action, if successful, might benefit our stockholders. The applicable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With respect to the provision making the state courts of North Carolina with jurisdiction or the Delaware Court of Chancery the sole and exclusive forum for certain types of actions, stockholders who do bring a claim in North Carolina state court or in the Delaware Court of Chancery could face additional litigation costs in pursuing any such claim, particularly if they do not reside in or near North Carolina or Delaware. Finally, if a court were to find this provision of our bylaws inapplicable to, or unenforceable in respect of, one or more of the specified types of actions or proceedings, we may incur additional costs associated with resolving such matters in other jurisdictions, which could have a material adverse effect on us.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33" w:name="page34"/>
    <w:bookmarkEnd w:id="33"/>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 and are numbered in accordance with Item 601 of Regulation S-K:</w:t>
      </w:r>
    </w:p>
    <w:p>
      <w:pPr>
        <w:spacing w:after="0" w:line="158"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shd w:val="clear" w:color="auto" w:fill="CCEEFF"/>
          </w:tcPr>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4.1</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Form of Pre-Funded Warrant (incorporated herein by reference to Exhibit 4.1 to our current report on Form 8-K filed with the SEC on</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March 13, 2020)</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4.2</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90"/>
              </w:rPr>
              <w:t>Form of Unregistered Warrant (incorporated herein by reference to Exhibit 4.2 to our current report on Form 8-K filed with the SEC</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on March 13, 2020)</w:t>
            </w:r>
          </w:p>
        </w:tc>
      </w:tr>
      <w:tr>
        <w:trPr>
          <w:trHeight w:val="209"/>
        </w:trPr>
        <w:tc>
          <w:tcPr>
            <w:tcW w:w="1240" w:type="dxa"/>
            <w:vAlign w:val="bottom"/>
            <w:shd w:val="clear" w:color="auto" w:fill="CCEEFF"/>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4.3</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Form of Placement Agent Warrant (incorporated herein by reference to Exhibit 4.3 to our current report on Form 8-K filed with the</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 on March 13, 2020)</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4.4</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89"/>
              </w:rPr>
              <w:t>Form of Pre-Funded Warrant (incorporated herein by reference to Exhibit 4.1 to our current report on Form 8-K filed with the SEC on</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July 8, 2020)</w:t>
            </w:r>
          </w:p>
        </w:tc>
      </w:tr>
      <w:tr>
        <w:trPr>
          <w:trHeight w:val="209"/>
        </w:trPr>
        <w:tc>
          <w:tcPr>
            <w:tcW w:w="1240" w:type="dxa"/>
            <w:vAlign w:val="bottom"/>
            <w:shd w:val="clear" w:color="auto" w:fill="CCEEFF"/>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4.5</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Form of Unregistered Warrant (incorporated herein by reference to Exhibit 4.2 to our current report on Form 8-K filed with the SEC</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on July 8, 2020)</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4.6</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91"/>
              </w:rPr>
              <w:t>Form of Placement Agent Warrant (incorporated herein by reference to Exhibit 4.3 to our current report on Form 8-K filed with the</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SEC on July 8, 2020)</w:t>
            </w:r>
          </w:p>
        </w:tc>
      </w:tr>
      <w:tr>
        <w:trPr>
          <w:trHeight w:val="209"/>
        </w:trPr>
        <w:tc>
          <w:tcPr>
            <w:tcW w:w="1240" w:type="dxa"/>
            <w:vAlign w:val="bottom"/>
            <w:shd w:val="clear" w:color="auto" w:fill="CCEEFF"/>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10.1</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Form of Securities Purchase Agreement, dated as of March 11, 2020, by and between Tenax Therapeutics, Inc. and the investor</w:t>
            </w:r>
          </w:p>
        </w:tc>
      </w:tr>
      <w:tr>
        <w:trPr>
          <w:trHeight w:val="216"/>
        </w:trPr>
        <w:tc>
          <w:tcPr>
            <w:tcW w:w="1240" w:type="dxa"/>
            <w:vAlign w:val="bottom"/>
            <w:shd w:val="clear" w:color="auto" w:fill="CCEEFF"/>
          </w:tcPr>
          <w:p>
            <w:pPr>
              <w:spacing w:after="0"/>
              <w:rPr>
                <w:sz w:val="18"/>
                <w:szCs w:val="18"/>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named therein (incorporated herein by reference to Exhibit 10.1 to our current report on Form 8-K filed with the SEC on March 13,</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2020)</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10.2</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91"/>
              </w:rPr>
              <w:t>Note, dated April 30, 2020, between Tenax Therapeutics, Inc. and First Horizon Bank (incorporated herein by reference to Exhibit</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10.1 to our quarterly report on Form 10-Q filed with the SEC on May 15, 2020)</w:t>
            </w:r>
          </w:p>
        </w:tc>
      </w:tr>
      <w:tr>
        <w:trPr>
          <w:trHeight w:val="209"/>
        </w:trPr>
        <w:tc>
          <w:tcPr>
            <w:tcW w:w="124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10.3</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Form of Securities Purchase Agreement for Class C Units and Class D Units, dated as of July 6, 2020, by and between Tenax</w:t>
            </w:r>
          </w:p>
        </w:tc>
      </w:tr>
      <w:tr>
        <w:trPr>
          <w:trHeight w:val="216"/>
        </w:trPr>
        <w:tc>
          <w:tcPr>
            <w:tcW w:w="1240" w:type="dxa"/>
            <w:vAlign w:val="bottom"/>
            <w:shd w:val="clear" w:color="auto" w:fill="CCEEFF"/>
          </w:tcPr>
          <w:p>
            <w:pPr>
              <w:spacing w:after="0"/>
              <w:rPr>
                <w:sz w:val="18"/>
                <w:szCs w:val="18"/>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Therapeutics, Inc. and the investor named therein (incorporated herein by reference to Exhibit 10.1 to our current report on Form 8-K</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filed with the SEC on July 8, 2020)</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10.4</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94"/>
              </w:rPr>
              <w:t>Form of Securities Purchase Agreement for Class E Units and Class F Units, dated as of July 6, 2020, by and between Tenax</w:t>
            </w:r>
          </w:p>
        </w:tc>
      </w:tr>
      <w:tr>
        <w:trPr>
          <w:trHeight w:val="216"/>
        </w:trPr>
        <w:tc>
          <w:tcPr>
            <w:tcW w:w="1240" w:type="dxa"/>
            <w:vAlign w:val="bottom"/>
          </w:tcPr>
          <w:p>
            <w:pPr>
              <w:spacing w:after="0"/>
              <w:rPr>
                <w:sz w:val="18"/>
                <w:szCs w:val="18"/>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w w:val="89"/>
              </w:rPr>
              <w:t>Therapeutics, Inc. and the investor named therein (incorporated herein by reference to Exhibit 10.2 to our current report on Form 8-K</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filed with the SEC on July 8, 2020)</w:t>
            </w:r>
          </w:p>
        </w:tc>
      </w:tr>
      <w:tr>
        <w:trPr>
          <w:trHeight w:val="209"/>
        </w:trPr>
        <w:tc>
          <w:tcPr>
            <w:tcW w:w="1240" w:type="dxa"/>
            <w:vAlign w:val="bottom"/>
            <w:shd w:val="clear" w:color="auto" w:fill="CCEEFF"/>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10.5</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9"/>
              </w:rPr>
              <w:t>Form of Registration Rights Agreement, dated as of July 6, 2020, by and between Tenax Therapeutics, Inc. and the investor named</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4"/>
              </w:rPr>
              <w:t>therein (incorporated herein by reference to Exhibit 10.3 to our current report on Form 8-K filed with the SEC on July 8, 2020)</w:t>
            </w:r>
          </w:p>
        </w:tc>
      </w:tr>
      <w:tr>
        <w:trPr>
          <w:trHeight w:val="216"/>
        </w:trPr>
        <w:tc>
          <w:tcPr>
            <w:tcW w:w="12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08"/>
        </w:trPr>
        <w:tc>
          <w:tcPr>
            <w:tcW w:w="1240" w:type="dxa"/>
            <w:vAlign w:val="bottom"/>
            <w:shd w:val="clear" w:color="auto" w:fill="CCEEFF"/>
          </w:tcPr>
          <w:p>
            <w:pPr>
              <w:spacing w:after="0" w:line="207" w:lineRule="exact"/>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 xml:space="preserve">10.6 </w:t>
              </w:r>
              <w:r>
                <w:rPr>
                  <w:rFonts w:ascii="Arial" w:cs="Arial" w:eastAsia="Arial" w:hAnsi="Arial"/>
                  <w:sz w:val="24"/>
                  <w:szCs w:val="24"/>
                  <w:u w:val="single" w:color="auto"/>
                  <w:color w:val="0000EE"/>
                  <w:vertAlign w:val="superscript"/>
                </w:rPr>
                <w:t>†</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0"/>
              </w:rPr>
              <w:t>Amendment to License Agreement, dated as of October 9, 2020, by and between Tenax Therapeutics, Inc. and Orion Corporation</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(incorporated herein by reference to Exhibit 10.1 to our current report on Form 8-K filed with the SEC on October 15, 2020).</w:t>
            </w:r>
          </w:p>
        </w:tc>
      </w:tr>
      <w:tr>
        <w:trPr>
          <w:trHeight w:val="216"/>
        </w:trPr>
        <w:tc>
          <w:tcPr>
            <w:tcW w:w="1240" w:type="dxa"/>
            <w:vAlign w:val="bottom"/>
          </w:tcPr>
          <w:p>
            <w:pPr>
              <w:spacing w:after="0"/>
              <w:rPr>
                <w:sz w:val="18"/>
                <w:szCs w:val="18"/>
                <w:color w:val="auto"/>
              </w:rPr>
            </w:pPr>
          </w:p>
        </w:tc>
        <w:tc>
          <w:tcPr>
            <w:tcW w:w="1000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31.1</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r>
      <w:tr>
        <w:trPr>
          <w:trHeight w:val="216"/>
        </w:trPr>
        <w:tc>
          <w:tcPr>
            <w:tcW w:w="12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31.2</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r>
      <w:tr>
        <w:trPr>
          <w:trHeight w:val="208"/>
        </w:trPr>
        <w:tc>
          <w:tcPr>
            <w:tcW w:w="1240" w:type="dxa"/>
            <w:vAlign w:val="bottom"/>
            <w:shd w:val="clear" w:color="auto" w:fill="CCEEFF"/>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32.1</w:t>
              </w:r>
            </w:hyperlink>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w:t>
            </w:r>
          </w:p>
        </w:tc>
      </w:tr>
      <w:tr>
        <w:trPr>
          <w:trHeight w:val="224"/>
        </w:trPr>
        <w:tc>
          <w:tcPr>
            <w:tcW w:w="1240" w:type="dxa"/>
            <w:vAlign w:val="bottom"/>
            <w:shd w:val="clear" w:color="auto" w:fill="CCEEFF"/>
          </w:tcPr>
          <w:p>
            <w:pPr>
              <w:spacing w:after="0"/>
              <w:rPr>
                <w:sz w:val="19"/>
                <w:szCs w:val="19"/>
                <w:color w:val="auto"/>
              </w:rPr>
            </w:pP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Oxley Act of 2002</w:t>
            </w:r>
          </w:p>
        </w:tc>
      </w:tr>
      <w:tr>
        <w:trPr>
          <w:trHeight w:val="208"/>
        </w:trPr>
        <w:tc>
          <w:tcPr>
            <w:tcW w:w="12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32.2</w:t>
              </w:r>
            </w:hyperlink>
          </w:p>
        </w:tc>
        <w:tc>
          <w:tcPr>
            <w:tcW w:w="10000" w:type="dxa"/>
            <w:vAlign w:val="bottom"/>
          </w:tcPr>
          <w:p>
            <w:pPr>
              <w:ind w:left="5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w:t>
            </w:r>
          </w:p>
        </w:tc>
      </w:tr>
      <w:tr>
        <w:trPr>
          <w:trHeight w:val="223"/>
        </w:trPr>
        <w:tc>
          <w:tcPr>
            <w:tcW w:w="1240" w:type="dxa"/>
            <w:vAlign w:val="bottom"/>
          </w:tcPr>
          <w:p>
            <w:pPr>
              <w:spacing w:after="0"/>
              <w:rPr>
                <w:sz w:val="19"/>
                <w:szCs w:val="19"/>
                <w:color w:val="auto"/>
              </w:rPr>
            </w:pPr>
          </w:p>
        </w:tc>
        <w:tc>
          <w:tcPr>
            <w:tcW w:w="10000" w:type="dxa"/>
            <w:vAlign w:val="bottom"/>
          </w:tcPr>
          <w:p>
            <w:pPr>
              <w:ind w:left="580"/>
              <w:spacing w:after="0"/>
              <w:rPr>
                <w:sz w:val="20"/>
                <w:szCs w:val="20"/>
                <w:color w:val="auto"/>
              </w:rPr>
            </w:pPr>
            <w:r>
              <w:rPr>
                <w:rFonts w:ascii="Arial" w:cs="Arial" w:eastAsia="Arial" w:hAnsi="Arial"/>
                <w:sz w:val="18"/>
                <w:szCs w:val="18"/>
                <w:color w:val="auto"/>
              </w:rPr>
              <w:t>Oxley Act of 2002</w:t>
            </w:r>
          </w:p>
        </w:tc>
      </w:tr>
      <w:tr>
        <w:trPr>
          <w:trHeight w:val="217"/>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XBRL Instance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10000" w:type="dxa"/>
            <w:vAlign w:val="bottom"/>
          </w:tcPr>
          <w:p>
            <w:pPr>
              <w:ind w:left="5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10000" w:type="dxa"/>
            <w:vAlign w:val="bottom"/>
          </w:tcPr>
          <w:p>
            <w:pPr>
              <w:ind w:left="580"/>
              <w:spacing w:after="0"/>
              <w:rPr>
                <w:sz w:val="20"/>
                <w:szCs w:val="20"/>
                <w:color w:val="auto"/>
              </w:rPr>
            </w:pPr>
            <w:r>
              <w:rPr>
                <w:rFonts w:ascii="Arial" w:cs="Arial" w:eastAsia="Arial" w:hAnsi="Arial"/>
                <w:sz w:val="18"/>
                <w:szCs w:val="18"/>
                <w:color w:val="auto"/>
              </w:rPr>
              <w:t>XBRL Taxonomy Extension Definition Linkbase Document</w:t>
            </w:r>
          </w:p>
        </w:tc>
      </w:tr>
    </w:tbl>
    <w:p>
      <w:pPr>
        <w:ind w:right="500" w:firstLine="8"/>
        <w:spacing w:after="0" w:line="252" w:lineRule="auto"/>
        <w:tabs>
          <w:tab w:leader="none" w:pos="132"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 of Regulation S-K promulgated under the Securities Act because the information is not material and would likely cause competitive harm to the registrant if publicly disclosed</w:t>
      </w:r>
      <w:r>
        <w:rPr>
          <w:rFonts w:ascii="Arial" w:cs="Arial" w:eastAsia="Arial" w:hAnsi="Arial"/>
          <w:sz w:val="18"/>
          <w:szCs w:val="18"/>
          <w:b w:val="1"/>
          <w:bCs w:val="1"/>
          <w:color w:val="auto"/>
        </w:rPr>
        <w: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TENAX THERAPEUTICS, INC.</w:t>
      </w:r>
    </w:p>
    <w:p>
      <w:pPr>
        <w:spacing w:after="0" w:line="23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27940</wp:posOffset>
            </wp:positionV>
            <wp:extent cx="24942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(On behalf of the Registrant and as Principal Financial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320" w:top="557"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Anthony DiTonno,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6"/>
          <w:szCs w:val="16"/>
          <w:color w:val="auto"/>
        </w:rPr>
        <w:t>By: /s/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Tenax Therapeutics, Inc.;</w:t>
      </w:r>
    </w:p>
    <w:p>
      <w:pPr>
        <w:spacing w:after="0" w:line="1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condensed consolidated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hanging="320"/>
        <w:spacing w:after="0" w:line="26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left="1034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340" w:right="40"/>
        <w:spacing w:after="0" w:line="27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12" w:lineRule="exact"/>
        <w:rPr>
          <w:sz w:val="20"/>
          <w:szCs w:val="20"/>
          <w:color w:val="auto"/>
        </w:rPr>
      </w:pPr>
    </w:p>
    <w:p>
      <w:pPr>
        <w:ind w:right="60" w:firstLine="486"/>
        <w:spacing w:after="0" w:line="306"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September 30, 2020 as filed with the Securities and Exchange Commission on the date hereof (the “Report”), I, Anthony DiTonno, Chief Executive Officer (Principal Executive Officer) of the Company, certify pursuant to 18 U.S.C. Section 1350, as adopted pursuant to Section 906 of the Sarbanes-Oxley Act of 2002, that:</w:t>
      </w:r>
    </w:p>
    <w:p>
      <w:pPr>
        <w:spacing w:after="0" w:line="93"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6"/>
          <w:szCs w:val="16"/>
          <w:color w:val="auto"/>
        </w:rPr>
        <w:t>By: /s/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1034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12" w:lineRule="exact"/>
        <w:rPr>
          <w:sz w:val="20"/>
          <w:szCs w:val="20"/>
          <w:color w:val="auto"/>
        </w:rPr>
      </w:pPr>
    </w:p>
    <w:p>
      <w:pPr>
        <w:ind w:right="200" w:firstLine="486"/>
        <w:spacing w:after="0" w:line="306" w:lineRule="auto"/>
        <w:rPr>
          <w:sz w:val="20"/>
          <w:szCs w:val="20"/>
          <w:color w:val="auto"/>
        </w:rPr>
      </w:pPr>
      <w:r>
        <w:rPr>
          <w:rFonts w:ascii="Arial" w:cs="Arial" w:eastAsia="Arial" w:hAnsi="Arial"/>
          <w:sz w:val="16"/>
          <w:szCs w:val="16"/>
          <w:color w:val="auto"/>
        </w:rPr>
        <w:t>In connection with the Quarterly Report of Tenax Therapeutics, Inc. (the “Company”) on Form 10-Q for the period ended September 30, 2020 as filed with the Securities and Exchange Commission on the date hereof (the “Report”), I, Michael B. Jebsen, President and Chief Financial Officer (Principal Financial Officer) of the Company, certify pursuant to 18 U.S.C. Section 1350, as adopted pursuant to Section 906 of the Sarbanes-Oxley Act of 2002, that:</w:t>
      </w:r>
    </w:p>
    <w:p>
      <w:pPr>
        <w:spacing w:after="0" w:line="93"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16, 2020</w:t>
      </w:r>
      <w:r>
        <w:rPr>
          <w:sz w:val="20"/>
          <w:szCs w:val="20"/>
          <w:color w:val="auto"/>
        </w:rPr>
        <w:tab/>
      </w:r>
      <w:r>
        <w:rPr>
          <w:rFonts w:ascii="Arial" w:cs="Arial" w:eastAsia="Arial" w:hAnsi="Arial"/>
          <w:sz w:val="16"/>
          <w:szCs w:val="16"/>
          <w:color w:val="auto"/>
        </w:rPr>
        <w:t>By: /s/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endash "/>
      <w:numFmt w:val="bullet"/>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endash "/>
      <w:numFmt w:val="bullet"/>
      <w:start w:val="1"/>
    </w:lvl>
    <w:lvl w:ilvl="1">
      <w:lvlJc w:val="left"/>
      <w:lvlText w:val="\endash "/>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49" Type="http://schemas.openxmlformats.org/officeDocument/2006/relationships/hyperlink" Target="http://www.sec.gov/Archives/edgar/data/34956/000165495420002581/tenx_ex41.htm" TargetMode="External"/><Relationship Id="rId50" Type="http://schemas.openxmlformats.org/officeDocument/2006/relationships/hyperlink" Target="http://www.sec.gov/Archives/edgar/data/34956/000165495420002581/tenx_ex42.htm" TargetMode="External"/><Relationship Id="rId51" Type="http://schemas.openxmlformats.org/officeDocument/2006/relationships/hyperlink" Target="http://www.sec.gov/Archives/edgar/data/34956/000165495420002581/tenx_ex43.htm" TargetMode="External"/><Relationship Id="rId52" Type="http://schemas.openxmlformats.org/officeDocument/2006/relationships/hyperlink" Target="http://www.sec.gov/Archives/edgar/data/34956/000165495420007444/tenx_ex41.htm" TargetMode="External"/><Relationship Id="rId53" Type="http://schemas.openxmlformats.org/officeDocument/2006/relationships/hyperlink" Target="http://www.sec.gov/Archives/edgar/data/34956/000165495420007444/tenx_ex42.htm" TargetMode="External"/><Relationship Id="rId54" Type="http://schemas.openxmlformats.org/officeDocument/2006/relationships/hyperlink" Target="http://www.sec.gov/Archives/edgar/data/34956/000165495420007444/tenx_ex43.htm" TargetMode="External"/><Relationship Id="rId55" Type="http://schemas.openxmlformats.org/officeDocument/2006/relationships/hyperlink" Target="http://www.sec.gov/Archives/edgar/data/34956/000165495420002581/tenx_ex101.htm" TargetMode="External"/><Relationship Id="rId56" Type="http://schemas.openxmlformats.org/officeDocument/2006/relationships/hyperlink" Target="http://www.sec.gov/Archives/edgar/data/34956/000165495420005647/tenx_ex10-1.htm" TargetMode="External"/><Relationship Id="rId57" Type="http://schemas.openxmlformats.org/officeDocument/2006/relationships/hyperlink" Target="http://www.sec.gov/Archives/edgar/data/34956/000165495420007444/tenx_ex101.htm" TargetMode="External"/><Relationship Id="rId58" Type="http://schemas.openxmlformats.org/officeDocument/2006/relationships/hyperlink" Target="http://www.sec.gov/Archives/edgar/data/34956/000165495420007444/tenx_ex102.htm" TargetMode="External"/><Relationship Id="rId59" Type="http://schemas.openxmlformats.org/officeDocument/2006/relationships/hyperlink" Target="http://www.sec.gov/Archives/edgar/data/34956/000165495420007444/tenx_ex103.htm" TargetMode="External"/><Relationship Id="rId60" Type="http://schemas.openxmlformats.org/officeDocument/2006/relationships/hyperlink" Target="http://www.sec.gov/Archives/edgar/data/34956/000165495420011170/tenx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2020-11-16T15:25:02Z</dcterms:created>
  <dcterms:modified xsi:type="dcterms:W3CDTF">2020-11-16T15:25:02Z</dcterms:modified>
</cp:coreProperties>
</file>