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90"/>
        <w:ind w:left="0" w:right="0" w:hanging="0"/>
        <w:jc w:val="center"/>
        <w:rPr>
          <w:bdr w:val="single" w:sz="24" w:space="1" w:color="000000"/>
        </w:rPr>
      </w:pPr>
      <w:r>
        <w:rPr>
          <w:bdr w:val="single" w:sz="24" w:space="1" w:color="000000"/>
        </w:rPr>
      </w:r>
    </w:p>
    <w:p>
      <w:pPr>
        <w:pStyle w:val="TextBody"/>
        <w:spacing w:before="0" w:after="0"/>
        <w:rPr/>
      </w:pPr>
      <w:r>
        <w:rPr/>
        <w:t> </w:t>
      </w:r>
    </w:p>
    <w:p>
      <w:pPr>
        <w:pStyle w:val="TextBody"/>
        <w:spacing w:before="0" w:after="0"/>
        <w:jc w:val="center"/>
        <w:rPr>
          <w:rFonts w:ascii="Times New Roman" w:hAnsi="Times New Roman"/>
          <w:b/>
          <w:sz w:val="24"/>
        </w:rPr>
      </w:pPr>
      <w:bookmarkStart w:id="0" w:name="_Toc476906349"/>
      <w:bookmarkEnd w:id="0"/>
      <w:r>
        <w:rPr>
          <w:rFonts w:ascii="Times New Roman" w:hAnsi="Times New Roman"/>
          <w:b/>
          <w:sz w:val="24"/>
        </w:rPr>
        <w:t>UNITED STATES</w:t>
      </w:r>
    </w:p>
    <w:p>
      <w:pPr>
        <w:pStyle w:val="TextBody"/>
        <w:spacing w:before="0" w:after="0"/>
        <w:jc w:val="center"/>
        <w:rPr>
          <w:rFonts w:ascii="Times New Roman" w:hAnsi="Times New Roman"/>
          <w:b/>
          <w:sz w:val="24"/>
        </w:rPr>
      </w:pPr>
      <w:r>
        <w:rPr>
          <w:rFonts w:ascii="Times New Roman" w:hAnsi="Times New Roman"/>
          <w:b/>
          <w:sz w:val="24"/>
        </w:rPr>
        <w:t>SECURITIES AND EXCHANGE COMMISSION</w:t>
      </w:r>
    </w:p>
    <w:p>
      <w:pPr>
        <w:pStyle w:val="TextBody"/>
        <w:spacing w:before="0" w:after="0"/>
        <w:jc w:val="center"/>
        <w:rPr>
          <w:rFonts w:ascii="Times New Roman" w:hAnsi="Times New Roman"/>
          <w:b/>
          <w:sz w:val="20"/>
        </w:rPr>
      </w:pPr>
      <w:r>
        <w:rPr>
          <w:rFonts w:ascii="Times New Roman" w:hAnsi="Times New Roman"/>
          <w:b/>
          <w:sz w:val="20"/>
        </w:rPr>
        <w:t>Washington D.C., 20549</w:t>
      </w:r>
    </w:p>
    <w:p>
      <w:pPr>
        <w:pStyle w:val="TextBody"/>
        <w:spacing w:before="0" w:after="0"/>
        <w:jc w:val="center"/>
        <w:rPr/>
      </w:pPr>
      <w:r>
        <w:rPr/>
        <w:t> </w:t>
      </w:r>
    </w:p>
    <w:p>
      <w:pPr>
        <w:pStyle w:val="TextBody"/>
        <w:spacing w:before="0" w:after="0"/>
        <w:ind w:left="0" w:right="0" w:hanging="0"/>
        <w:rPr/>
      </w:pPr>
      <w:r>
        <w:rPr/>
        <w:t> </w:t>
      </w:r>
    </w:p>
    <w:p>
      <w:pPr>
        <w:pStyle w:val="TextBody"/>
        <w:spacing w:before="0" w:after="0"/>
        <w:jc w:val="center"/>
        <w:rPr>
          <w:rFonts w:ascii="Times New Roman" w:hAnsi="Times New Roman"/>
          <w:b/>
          <w:sz w:val="24"/>
        </w:rPr>
      </w:pPr>
      <w:r>
        <w:rPr>
          <w:rFonts w:ascii="Times New Roman" w:hAnsi="Times New Roman"/>
          <w:b/>
          <w:sz w:val="24"/>
        </w:rPr>
        <w:t>FORM 10-K</w:t>
      </w:r>
    </w:p>
    <w:p>
      <w:pPr>
        <w:pStyle w:val="TextBody"/>
        <w:spacing w:before="0" w:after="0"/>
        <w:rPr/>
      </w:pPr>
      <w:r>
        <w:rPr/>
        <w:t> </w:t>
      </w:r>
    </w:p>
    <w:p>
      <w:pPr>
        <w:pStyle w:val="TextBody"/>
        <w:spacing w:before="0" w:after="90"/>
        <w:jc w:val="both"/>
        <w:rPr>
          <w:highlight w:val="black"/>
        </w:rPr>
      </w:pPr>
      <w:r>
        <w:rPr>
          <w:highlight w:val="black"/>
        </w:rPr>
      </w:r>
    </w:p>
    <w:p>
      <w:pPr>
        <w:pStyle w:val="TextBody"/>
        <w:spacing w:before="0" w:after="0"/>
        <w:jc w:val="center"/>
        <w:rPr>
          <w:rFonts w:ascii="Times New Roman" w:hAnsi="Times New Roman"/>
          <w:b/>
          <w:sz w:val="20"/>
        </w:rPr>
      </w:pPr>
      <w:r>
        <w:rPr>
          <w:rFonts w:ascii="Times New Roman" w:hAnsi="Times New Roman"/>
          <w:b/>
          <w:sz w:val="20"/>
        </w:rPr>
        <w:t>ANNUAL REPORT PURSUANT TO SECTION 13 OR 15(d) OF</w:t>
      </w:r>
    </w:p>
    <w:p>
      <w:pPr>
        <w:pStyle w:val="TextBody"/>
        <w:spacing w:before="0" w:after="0"/>
        <w:jc w:val="center"/>
        <w:rPr>
          <w:rFonts w:ascii="Times New Roman" w:hAnsi="Times New Roman"/>
          <w:b/>
          <w:sz w:val="20"/>
        </w:rPr>
      </w:pPr>
      <w:r>
        <w:rPr>
          <w:rFonts w:ascii="Times New Roman" w:hAnsi="Times New Roman"/>
          <w:b/>
          <w:sz w:val="20"/>
        </w:rPr>
        <w:t>THE SECURITIES EXCHANGE ACT OF 1934</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For the fiscal year ended December 31, 2020</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Commission File No. 001-34600</w:t>
      </w:r>
    </w:p>
    <w:p>
      <w:pPr>
        <w:pStyle w:val="TextBody"/>
        <w:spacing w:before="0" w:after="0"/>
        <w:jc w:val="center"/>
        <w:rPr/>
      </w:pPr>
      <w:r>
        <w:rPr/>
        <w:t> </w:t>
      </w:r>
    </w:p>
    <w:p>
      <w:pPr>
        <w:pStyle w:val="TextBody"/>
        <w:spacing w:before="0" w:after="0"/>
        <w:ind w:left="0" w:right="0" w:hanging="0"/>
        <w:rPr/>
      </w:pPr>
      <w:r>
        <w:rPr/>
        <w:t> </w:t>
      </w:r>
    </w:p>
    <w:p>
      <w:pPr>
        <w:pStyle w:val="TextBody"/>
        <w:spacing w:before="0" w:after="0"/>
        <w:jc w:val="center"/>
        <w:rPr>
          <w:b/>
          <w:sz w:val="36"/>
        </w:rPr>
      </w:pPr>
      <w:r>
        <w:rPr>
          <w:b/>
          <w:sz w:val="36"/>
        </w:rPr>
        <w:t>TENAX THERAPEUTICS,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center"/>
        <w:rPr/>
      </w:pPr>
      <w:r>
        <w:rPr/>
        <w:t> </w:t>
      </w:r>
    </w:p>
    <w:p>
      <w:pPr>
        <w:pStyle w:val="TextBody"/>
        <w:spacing w:before="0" w:after="0"/>
        <w:ind w:left="0" w:right="0" w:hanging="0"/>
        <w:jc w:val="left"/>
        <w:rPr/>
      </w:pPr>
      <w:r>
        <w:rPr/>
        <w:t> </w:t>
      </w:r>
    </w:p>
    <w:tbl>
      <w:tblPr>
        <w:tblW w:w="8170" w:type="dxa"/>
        <w:jc w:val="center"/>
        <w:tblInd w:w="0" w:type="dxa"/>
        <w:tblCellMar>
          <w:top w:w="0" w:type="dxa"/>
          <w:left w:w="0" w:type="dxa"/>
          <w:bottom w:w="0" w:type="dxa"/>
          <w:right w:w="0" w:type="dxa"/>
        </w:tblCellMar>
      </w:tblPr>
      <w:tblGrid>
        <w:gridCol w:w="5150"/>
        <w:gridCol w:w="3020"/>
      </w:tblGrid>
      <w:tr>
        <w:trPr/>
        <w:tc>
          <w:tcPr>
            <w:tcW w:w="515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Delaware</w:t>
            </w:r>
          </w:p>
        </w:tc>
        <w:tc>
          <w:tcPr>
            <w:tcW w:w="302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26-2593535</w:t>
            </w:r>
          </w:p>
        </w:tc>
      </w:tr>
      <w:tr>
        <w:trPr/>
        <w:tc>
          <w:tcPr>
            <w:tcW w:w="515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(State or other jurisdiction of incorporation or organization)</w:t>
            </w:r>
          </w:p>
        </w:tc>
        <w:tc>
          <w:tcPr>
            <w:tcW w:w="302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ONE Copley Parkway, Suite 490, Morrisville, NC 27560</w:t>
      </w:r>
    </w:p>
    <w:p>
      <w:pPr>
        <w:pStyle w:val="TextBody"/>
        <w:spacing w:before="0" w:after="0"/>
        <w:jc w:val="center"/>
        <w:rPr>
          <w:rFonts w:ascii="Times New Roman" w:hAnsi="Times New Roman"/>
          <w:b/>
          <w:sz w:val="20"/>
        </w:rPr>
      </w:pPr>
      <w:r>
        <w:rPr>
          <w:rFonts w:ascii="Times New Roman" w:hAnsi="Times New Roman"/>
          <w:b/>
          <w:sz w:val="20"/>
        </w:rPr>
        <w:t>(Address of Principal Executive Offices) (Zip Code)</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Registrant’s Telephone Number, including area code: (919) 855-2100</w:t>
      </w:r>
    </w:p>
    <w:p>
      <w:pPr>
        <w:pStyle w:val="TextBody"/>
        <w:spacing w:before="0" w:after="0"/>
        <w:jc w:val="center"/>
        <w:rPr/>
      </w:pPr>
      <w:r>
        <w:rPr/>
        <w:t> </w:t>
      </w:r>
    </w:p>
    <w:p>
      <w:pPr>
        <w:pStyle w:val="TextBody"/>
        <w:spacing w:before="0" w:after="0"/>
        <w:ind w:left="0" w:right="0" w:hanging="0"/>
        <w:rPr/>
      </w:pPr>
      <w:r>
        <w:rPr/>
        <w:t> </w:t>
      </w:r>
    </w:p>
    <w:p>
      <w:pPr>
        <w:pStyle w:val="TextBody"/>
        <w:spacing w:before="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spacing w:before="0" w:after="0"/>
        <w:rPr/>
      </w:pPr>
      <w:r>
        <w:rPr/>
        <w:t> </w:t>
      </w:r>
    </w:p>
    <w:tbl>
      <w:tblPr>
        <w:tblW w:w="9135" w:type="dxa"/>
        <w:jc w:val="left"/>
        <w:tblInd w:w="0" w:type="dxa"/>
        <w:tblCellMar>
          <w:top w:w="28" w:type="dxa"/>
          <w:left w:w="28" w:type="dxa"/>
          <w:bottom w:w="0" w:type="dxa"/>
          <w:right w:w="0" w:type="dxa"/>
        </w:tblCellMar>
      </w:tblPr>
      <w:tblGrid>
        <w:gridCol w:w="3620"/>
        <w:gridCol w:w="1610"/>
        <w:gridCol w:w="3905"/>
      </w:tblGrid>
      <w:tr>
        <w:trPr/>
        <w:tc>
          <w:tcPr>
            <w:tcW w:w="3620" w:type="dxa"/>
            <w:tcBorders>
              <w:top w:val="single" w:sz="2" w:space="0" w:color="000000"/>
              <w:left w:val="single" w:sz="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Title of Each Class</w:t>
            </w:r>
          </w:p>
        </w:tc>
        <w:tc>
          <w:tcPr>
            <w:tcW w:w="1610" w:type="dxa"/>
            <w:tcBorders>
              <w:top w:val="single" w:sz="2" w:space="0" w:color="000000"/>
              <w:left w:val="single" w:sz="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Trading Symbol(s)</w:t>
            </w:r>
          </w:p>
        </w:tc>
        <w:tc>
          <w:tcPr>
            <w:tcW w:w="3905" w:type="dxa"/>
            <w:tcBorders>
              <w:top w:val="single" w:sz="2" w:space="0" w:color="000000"/>
              <w:left w:val="single" w:sz="2" w:space="0" w:color="000000"/>
              <w:right w:val="single" w:sz="2" w:space="0" w:color="000000"/>
            </w:tcBorders>
            <w:shd w:fill="auto" w:val="clear"/>
            <w:tcMar>
              <w:right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Name of Each Exchange on Which Registered</w:t>
            </w:r>
          </w:p>
        </w:tc>
      </w:tr>
      <w:tr>
        <w:trPr/>
        <w:tc>
          <w:tcPr>
            <w:tcW w:w="3620" w:type="dxa"/>
            <w:tcBorders>
              <w:top w:val="single" w:sz="2" w:space="0" w:color="000000"/>
              <w:left w:val="single" w:sz="2" w:space="0" w:color="000000"/>
              <w:bottom w:val="single" w:sz="2" w:space="0" w:color="000000"/>
            </w:tcBorders>
            <w:shd w:fill="auto" w:val="clear"/>
            <w:tcMar>
              <w:bottom w:w="28" w:type="dxa"/>
            </w:tcMar>
            <w:vAlign w:val="center"/>
          </w:tcPr>
          <w:p>
            <w:pPr>
              <w:pStyle w:val="TableContents"/>
              <w:spacing w:before="0" w:after="0"/>
              <w:jc w:val="center"/>
              <w:rPr>
                <w:rFonts w:ascii="Times New Roman" w:hAnsi="Times New Roman"/>
                <w:sz w:val="20"/>
              </w:rPr>
            </w:pPr>
            <w:r>
              <w:rPr>
                <w:rFonts w:ascii="Times New Roman" w:hAnsi="Times New Roman"/>
                <w:sz w:val="20"/>
              </w:rPr>
              <w:t>Common Stock, $0.0001 par value per share</w:t>
            </w:r>
          </w:p>
        </w:tc>
        <w:tc>
          <w:tcPr>
            <w:tcW w:w="1610" w:type="dxa"/>
            <w:tcBorders>
              <w:top w:val="single" w:sz="2" w:space="0" w:color="000000"/>
              <w:left w:val="single" w:sz="2" w:space="0" w:color="000000"/>
              <w:bottom w:val="single" w:sz="2" w:space="0" w:color="000000"/>
            </w:tcBorders>
            <w:shd w:fill="auto" w:val="clear"/>
            <w:tcMar>
              <w:bottom w:w="28" w:type="dxa"/>
            </w:tcMar>
            <w:vAlign w:val="center"/>
          </w:tcPr>
          <w:p>
            <w:pPr>
              <w:pStyle w:val="TableContents"/>
              <w:spacing w:before="0" w:after="0"/>
              <w:ind w:left="0" w:right="0" w:firstLine="180"/>
              <w:jc w:val="center"/>
              <w:rPr>
                <w:rFonts w:ascii="Times New Roman" w:hAnsi="Times New Roman"/>
                <w:sz w:val="20"/>
              </w:rPr>
            </w:pPr>
            <w:r>
              <w:rPr>
                <w:rFonts w:ascii="Times New Roman" w:hAnsi="Times New Roman"/>
                <w:sz w:val="20"/>
              </w:rPr>
              <w:t>TENX</w:t>
            </w:r>
          </w:p>
        </w:tc>
        <w:tc>
          <w:tcPr>
            <w:tcW w:w="3905" w:type="dxa"/>
            <w:tcBorders>
              <w:top w:val="single" w:sz="6" w:space="0" w:color="000000"/>
              <w:left w:val="single" w:sz="6" w:space="0" w:color="000000"/>
              <w:bottom w:val="single" w:sz="6" w:space="0" w:color="000000"/>
              <w:right w:val="single" w:sz="6" w:space="0" w:color="000000"/>
            </w:tcBorders>
            <w:shd w:fill="auto" w:val="clear"/>
            <w:tcMar>
              <w:bottom w:w="28" w:type="dxa"/>
              <w:right w:w="28" w:type="dxa"/>
            </w:tcMar>
            <w:vAlign w:val="center"/>
          </w:tcPr>
          <w:p>
            <w:pPr>
              <w:pStyle w:val="TableContents"/>
              <w:spacing w:before="0" w:after="0"/>
              <w:jc w:val="center"/>
              <w:rPr>
                <w:rFonts w:ascii="Times New Roman" w:hAnsi="Times New Roman"/>
                <w:sz w:val="20"/>
              </w:rPr>
            </w:pPr>
            <w:r>
              <w:rPr>
                <w:rFonts w:ascii="Times New Roman" w:hAnsi="Times New Roman"/>
                <w:sz w:val="20"/>
              </w:rPr>
              <w:t>The Nasdaq Stock Market LLC</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Securities registered pursuant to Section 12(g) of the Act: NONE</w:t>
      </w:r>
    </w:p>
    <w:p>
      <w:pPr>
        <w:pStyle w:val="TextBody"/>
        <w:spacing w:before="0" w:after="0"/>
        <w:jc w:val="center"/>
        <w:rPr/>
      </w:pPr>
      <w:r>
        <w:rPr/>
        <w:t> </w:t>
      </w:r>
    </w:p>
    <w:p>
      <w:pPr>
        <w:pStyle w:val="TextBody"/>
        <w:spacing w:before="0" w:after="0"/>
        <w:ind w:left="0" w:right="0" w:hanging="0"/>
        <w:rPr/>
      </w:pPr>
      <w:r>
        <w:rPr/>
        <w:t> </w:t>
      </w:r>
    </w:p>
    <w:p>
      <w:pPr>
        <w:pStyle w:val="TextBody"/>
        <w:spacing w:before="0" w:after="0"/>
        <w:jc w:val="left"/>
        <w:rPr>
          <w:rFonts w:ascii="Times New Roman" w:hAnsi="Times New Roman"/>
          <w:sz w:val="20"/>
        </w:rPr>
      </w:pPr>
      <w:r>
        <w:rPr>
          <w:rFonts w:ascii="Times New Roman" w:hAnsi="Times New Roman"/>
          <w:sz w:val="20"/>
        </w:rPr>
        <w:t>Indicate by check mark if the registrant is a well-known seasoned issuer, as defined in Rule 405 of the Securities Act. Yes ☐ No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Indicate by check mark if the registrant is not required to file reports pursuant to Section 13 or Section 15(d) of the Act. Yes ☐ No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5" w:type="dxa"/>
        <w:jc w:val="left"/>
        <w:tblInd w:w="0" w:type="dxa"/>
        <w:tblCellMar>
          <w:top w:w="0" w:type="dxa"/>
          <w:left w:w="0" w:type="dxa"/>
          <w:bottom w:w="0" w:type="dxa"/>
          <w:right w:w="0" w:type="dxa"/>
        </w:tblCellMar>
      </w:tblPr>
      <w:tblGrid>
        <w:gridCol w:w="1835"/>
        <w:gridCol w:w="410"/>
        <w:gridCol w:w="2225"/>
        <w:gridCol w:w="485"/>
      </w:tblGrid>
      <w:tr>
        <w:trPr/>
        <w:tc>
          <w:tcPr>
            <w:tcW w:w="1835" w:type="dxa"/>
            <w:tcBorders/>
            <w:shd w:fill="auto" w:val="clear"/>
            <w:vAlign w:val="center"/>
          </w:tcPr>
          <w:p>
            <w:pPr>
              <w:pStyle w:val="TableContents"/>
              <w:spacing w:before="0" w:after="0"/>
              <w:rPr/>
            </w:pPr>
            <w:r>
              <w:rPr/>
              <w:t> </w:t>
            </w:r>
          </w:p>
        </w:tc>
        <w:tc>
          <w:tcPr>
            <w:tcW w:w="410" w:type="dxa"/>
            <w:tcBorders/>
            <w:shd w:fill="auto" w:val="clear"/>
            <w:vAlign w:val="center"/>
          </w:tcPr>
          <w:p>
            <w:pPr>
              <w:pStyle w:val="TableContents"/>
              <w:spacing w:before="0" w:after="0"/>
              <w:rPr/>
            </w:pPr>
            <w:r>
              <w:rPr/>
              <w:t> </w:t>
            </w:r>
          </w:p>
        </w:tc>
        <w:tc>
          <w:tcPr>
            <w:tcW w:w="2225" w:type="dxa"/>
            <w:tcBorders/>
            <w:shd w:fill="auto" w:val="clear"/>
            <w:vAlign w:val="center"/>
          </w:tcPr>
          <w:p>
            <w:pPr>
              <w:pStyle w:val="TableContents"/>
              <w:spacing w:before="0" w:after="0"/>
              <w:rPr/>
            </w:pPr>
            <w:r>
              <w:rPr/>
              <w:t> </w:t>
            </w:r>
          </w:p>
        </w:tc>
        <w:tc>
          <w:tcPr>
            <w:tcW w:w="485" w:type="dxa"/>
            <w:tcBorders/>
            <w:shd w:fill="auto" w:val="clear"/>
            <w:vAlign w:val="center"/>
          </w:tcPr>
          <w:p>
            <w:pPr>
              <w:pStyle w:val="TableContents"/>
              <w:spacing w:before="0" w:after="0"/>
              <w:rPr/>
            </w:pPr>
            <w:r>
              <w:rPr/>
              <w:t> </w:t>
            </w:r>
          </w:p>
        </w:tc>
      </w:tr>
      <w:tr>
        <w:trPr/>
        <w:tc>
          <w:tcPr>
            <w:tcW w:w="183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Large accelerated filer</w:t>
            </w:r>
          </w:p>
        </w:tc>
        <w:tc>
          <w:tcPr>
            <w:tcW w:w="410" w:type="dxa"/>
            <w:tcBorders/>
            <w:shd w:fill="auto" w:val="clear"/>
            <w:vAlign w:val="center"/>
          </w:tcPr>
          <w:p>
            <w:pPr>
              <w:pStyle w:val="TableContents"/>
              <w:spacing w:before="0" w:after="0"/>
              <w:rPr/>
            </w:pPr>
            <w:r>
              <w:rPr/>
              <w:t>   ☐</w:t>
            </w:r>
          </w:p>
        </w:tc>
        <w:tc>
          <w:tcPr>
            <w:tcW w:w="222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Accelerated filer</w:t>
            </w:r>
          </w:p>
        </w:tc>
        <w:tc>
          <w:tcPr>
            <w:tcW w:w="485" w:type="dxa"/>
            <w:tcBorders/>
            <w:shd w:fill="auto" w:val="clear"/>
            <w:vAlign w:val="center"/>
          </w:tcPr>
          <w:p>
            <w:pPr>
              <w:pStyle w:val="TableContents"/>
              <w:spacing w:before="0" w:after="0"/>
              <w:rPr/>
            </w:pPr>
            <w:r>
              <w:rPr/>
              <w:t>    ☐</w:t>
            </w:r>
          </w:p>
        </w:tc>
      </w:tr>
      <w:tr>
        <w:trPr/>
        <w:tc>
          <w:tcPr>
            <w:tcW w:w="183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Non-accelerated filer</w:t>
            </w:r>
          </w:p>
        </w:tc>
        <w:tc>
          <w:tcPr>
            <w:tcW w:w="410" w:type="dxa"/>
            <w:tcBorders/>
            <w:shd w:fill="auto" w:val="clear"/>
            <w:vAlign w:val="center"/>
          </w:tcPr>
          <w:p>
            <w:pPr>
              <w:pStyle w:val="TableContents"/>
              <w:spacing w:before="0" w:after="0"/>
              <w:rPr/>
            </w:pPr>
            <w:r>
              <w:rPr/>
              <w:t>   ☒</w:t>
            </w:r>
          </w:p>
        </w:tc>
        <w:tc>
          <w:tcPr>
            <w:tcW w:w="222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Smaller reporting company</w:t>
            </w:r>
          </w:p>
        </w:tc>
        <w:tc>
          <w:tcPr>
            <w:tcW w:w="485" w:type="dxa"/>
            <w:tcBorders/>
            <w:shd w:fill="auto" w:val="clear"/>
            <w:vAlign w:val="center"/>
          </w:tcPr>
          <w:p>
            <w:pPr>
              <w:pStyle w:val="TableContents"/>
              <w:spacing w:before="0" w:after="0"/>
              <w:rPr/>
            </w:pPr>
            <w:r>
              <w:rPr/>
              <w:t>    ☒</w:t>
            </w:r>
          </w:p>
        </w:tc>
      </w:tr>
      <w:tr>
        <w:trPr/>
        <w:tc>
          <w:tcPr>
            <w:tcW w:w="1835" w:type="dxa"/>
            <w:tcBorders/>
            <w:shd w:fill="auto" w:val="clear"/>
            <w:vAlign w:val="center"/>
          </w:tcPr>
          <w:p>
            <w:pPr>
              <w:pStyle w:val="TableContents"/>
              <w:spacing w:before="0" w:after="0"/>
              <w:rPr/>
            </w:pPr>
            <w:r>
              <w:rPr/>
              <w:t> </w:t>
            </w:r>
          </w:p>
        </w:tc>
        <w:tc>
          <w:tcPr>
            <w:tcW w:w="410" w:type="dxa"/>
            <w:tcBorders/>
            <w:shd w:fill="auto" w:val="clear"/>
            <w:vAlign w:val="center"/>
          </w:tcPr>
          <w:p>
            <w:pPr>
              <w:pStyle w:val="TableContents"/>
              <w:spacing w:before="0" w:after="0"/>
              <w:rPr/>
            </w:pPr>
            <w:r>
              <w:rPr/>
              <w:t> </w:t>
            </w:r>
          </w:p>
        </w:tc>
        <w:tc>
          <w:tcPr>
            <w:tcW w:w="222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Emerging growth company</w:t>
            </w:r>
          </w:p>
        </w:tc>
        <w:tc>
          <w:tcPr>
            <w:tcW w:w="485" w:type="dxa"/>
            <w:tcBorders/>
            <w:shd w:fill="auto" w:val="clear"/>
            <w:vAlign w:val="center"/>
          </w:tcPr>
          <w:p>
            <w:pPr>
              <w:pStyle w:val="TableContents"/>
              <w:spacing w:before="0" w:after="0"/>
              <w:rPr/>
            </w:pPr>
            <w:r>
              <w:rPr/>
              <w:t>    ☐</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The aggregate market value of the voting and non-voting common equity held by non-affiliates computed by reference to the price at which the common equity was last sold as of June 30, 2020, the last business day of the registrant’s most recently completed second fiscal quarter, was $9,099,973.</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The number of shares outstanding of the registrant’s class of $0.0001 par value common stock as of March 25, 2021 was 14,969,312.</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DOCUMENTS INCORPORATED BY REFERENCE:</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Portions of the registrant’s proxy statement to be filed with the Securities and Exchange Commission pursuant to Regulation 14A in connection with the registrant’s 2021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2020.</w:t>
      </w:r>
    </w:p>
    <w:p>
      <w:pPr>
        <w:pStyle w:val="TextBody"/>
        <w:spacing w:before="0" w:after="0"/>
        <w:jc w:val="left"/>
        <w:rPr/>
      </w:pPr>
      <w:r>
        <w:rPr/>
        <w:t> </w:t>
      </w:r>
    </w:p>
    <w:p>
      <w:pPr>
        <w:pStyle w:val="TextBody"/>
        <w:spacing w:before="0" w:after="90"/>
        <w:ind w:left="0" w:right="0" w:hanging="0"/>
        <w:jc w:val="center"/>
        <w:rPr>
          <w:bdr w:val="single" w:sz="2" w:space="1" w:color="000000"/>
        </w:rPr>
      </w:pPr>
      <w:r>
        <w:rPr>
          <w:bdr w:val="single" w:sz="2" w:space="1" w:color="000000"/>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 w:name="pgbrk"/>
      <w:bookmarkStart w:id="2" w:name="pgbrk"/>
      <w:bookmarkEnd w:id="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20"/>
        </w:rPr>
      </w:pPr>
      <w:bookmarkStart w:id="3" w:name="hdr"/>
      <w:bookmarkEnd w:id="3"/>
      <w:r>
        <w:rPr>
          <w:rFonts w:ascii="Times New Roman" w:hAnsi="Times New Roman"/>
          <w:sz w:val="20"/>
        </w:rPr>
        <w:t>TABLE OF CONTENTS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9873"/>
        <w:gridCol w:w="332"/>
      </w:tblGrid>
      <w:tr>
        <w:trPr/>
        <w:tc>
          <w:tcPr>
            <w:tcW w:w="9873" w:type="dxa"/>
            <w:tcBorders/>
            <w:shd w:fill="CCEEFF" w:val="clear"/>
            <w:vAlign w:val="center"/>
          </w:tcPr>
          <w:p>
            <w:pPr>
              <w:pStyle w:val="TableContents"/>
              <w:spacing w:before="0" w:after="0"/>
              <w:ind w:left="0" w:right="0" w:hanging="0"/>
              <w:jc w:val="left"/>
              <w:rPr/>
            </w:pPr>
            <w:hyperlink w:anchor="PARTI">
              <w:r>
                <w:rPr>
                  <w:rStyle w:val="InternetLink"/>
                  <w:rFonts w:ascii="Times New Roman" w:hAnsi="Times New Roman"/>
                  <w:sz w:val="20"/>
                </w:rPr>
                <w:t>PART I</w:t>
              </w:r>
            </w:hyperlink>
          </w:p>
        </w:tc>
        <w:tc>
          <w:tcPr>
            <w:tcW w:w="3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w:t>
            </w:r>
          </w:p>
        </w:tc>
      </w:tr>
      <w:tr>
        <w:trPr/>
        <w:tc>
          <w:tcPr>
            <w:tcW w:w="9873" w:type="dxa"/>
            <w:tcBorders/>
            <w:shd w:fill="auto" w:val="clear"/>
            <w:vAlign w:val="center"/>
          </w:tcPr>
          <w:p>
            <w:pPr>
              <w:pStyle w:val="TableContents"/>
              <w:spacing w:before="0" w:after="0"/>
              <w:ind w:left="180" w:right="0" w:hanging="0"/>
              <w:jc w:val="left"/>
              <w:rPr/>
            </w:pPr>
            <w:hyperlink w:anchor="BUS">
              <w:r>
                <w:rPr>
                  <w:rStyle w:val="InternetLink"/>
                  <w:rFonts w:ascii="Times New Roman" w:hAnsi="Times New Roman"/>
                  <w:sz w:val="20"/>
                </w:rPr>
                <w:t>ITEM 1—BUSINESS</w:t>
              </w:r>
            </w:hyperlink>
          </w:p>
        </w:tc>
        <w:tc>
          <w:tcPr>
            <w:tcW w:w="332" w:type="dxa"/>
            <w:tcBorders/>
            <w:shd w:fill="auto" w:val="clear"/>
            <w:vAlign w:val="center"/>
          </w:tcPr>
          <w:p>
            <w:pPr>
              <w:pStyle w:val="TableContents"/>
              <w:spacing w:before="0" w:after="0"/>
              <w:ind w:left="0" w:right="0" w:hanging="0"/>
              <w:jc w:val="right"/>
              <w:rPr/>
            </w:pPr>
            <w:r>
              <w:rPr/>
              <w:t xml:space="preserve">  </w:t>
            </w:r>
            <w:r>
              <w:rPr>
                <w:rFonts w:ascii="Times New Roman" w:hAnsi="Times New Roman"/>
                <w:sz w:val="20"/>
              </w:rPr>
              <w:t>1</w:t>
            </w:r>
          </w:p>
        </w:tc>
      </w:tr>
      <w:tr>
        <w:trPr/>
        <w:tc>
          <w:tcPr>
            <w:tcW w:w="9873" w:type="dxa"/>
            <w:tcBorders/>
            <w:shd w:fill="CCEEFF" w:val="clear"/>
            <w:vAlign w:val="center"/>
          </w:tcPr>
          <w:p>
            <w:pPr>
              <w:pStyle w:val="TableContents"/>
              <w:spacing w:before="0" w:after="0"/>
              <w:ind w:left="180" w:right="0" w:hanging="0"/>
              <w:jc w:val="left"/>
              <w:rPr/>
            </w:pPr>
            <w:hyperlink w:anchor="RISK">
              <w:r>
                <w:rPr>
                  <w:rStyle w:val="InternetLink"/>
                  <w:rFonts w:ascii="Times New Roman" w:hAnsi="Times New Roman"/>
                  <w:sz w:val="20"/>
                </w:rPr>
                <w:t>ITEM 1A—RISK FACTORS</w:t>
              </w:r>
            </w:hyperlink>
          </w:p>
        </w:tc>
        <w:tc>
          <w:tcPr>
            <w:tcW w:w="3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r>
      <w:tr>
        <w:trPr/>
        <w:tc>
          <w:tcPr>
            <w:tcW w:w="9873" w:type="dxa"/>
            <w:tcBorders/>
            <w:shd w:fill="auto" w:val="clear"/>
            <w:vAlign w:val="center"/>
          </w:tcPr>
          <w:p>
            <w:pPr>
              <w:pStyle w:val="TableContents"/>
              <w:spacing w:before="0" w:after="0"/>
              <w:ind w:left="180" w:right="0" w:hanging="0"/>
              <w:jc w:val="left"/>
              <w:rPr/>
            </w:pPr>
            <w:hyperlink w:anchor="UNR">
              <w:r>
                <w:rPr>
                  <w:rStyle w:val="InternetLink"/>
                  <w:rFonts w:ascii="Times New Roman" w:hAnsi="Times New Roman"/>
                  <w:sz w:val="20"/>
                </w:rPr>
                <w:t>ITEM 1B—UNRESOLVED STAFF COMMENTS</w:t>
              </w:r>
            </w:hyperlink>
          </w:p>
        </w:tc>
        <w:tc>
          <w:tcPr>
            <w:tcW w:w="33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9873" w:type="dxa"/>
            <w:tcBorders/>
            <w:shd w:fill="CCEEFF" w:val="clear"/>
            <w:vAlign w:val="center"/>
          </w:tcPr>
          <w:p>
            <w:pPr>
              <w:pStyle w:val="TableContents"/>
              <w:spacing w:before="0" w:after="0"/>
              <w:ind w:left="180" w:right="0" w:hanging="0"/>
              <w:jc w:val="left"/>
              <w:rPr/>
            </w:pPr>
            <w:hyperlink w:anchor="PROP">
              <w:r>
                <w:rPr>
                  <w:rStyle w:val="InternetLink"/>
                  <w:rFonts w:ascii="Times New Roman" w:hAnsi="Times New Roman"/>
                  <w:sz w:val="20"/>
                </w:rPr>
                <w:t>ITEM 2—PROPERTIES</w:t>
              </w:r>
            </w:hyperlink>
          </w:p>
        </w:tc>
        <w:tc>
          <w:tcPr>
            <w:tcW w:w="3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9873" w:type="dxa"/>
            <w:tcBorders/>
            <w:shd w:fill="auto" w:val="clear"/>
            <w:vAlign w:val="center"/>
          </w:tcPr>
          <w:p>
            <w:pPr>
              <w:pStyle w:val="TableContents"/>
              <w:spacing w:before="0" w:after="0"/>
              <w:ind w:left="180" w:right="0" w:hanging="0"/>
              <w:jc w:val="left"/>
              <w:rPr/>
            </w:pPr>
            <w:hyperlink w:anchor="LEG">
              <w:r>
                <w:rPr>
                  <w:rStyle w:val="InternetLink"/>
                  <w:rFonts w:ascii="Times New Roman" w:hAnsi="Times New Roman"/>
                  <w:sz w:val="20"/>
                </w:rPr>
                <w:t>ITEM 3—LEGAL PROCEEDINGS</w:t>
              </w:r>
            </w:hyperlink>
          </w:p>
        </w:tc>
        <w:tc>
          <w:tcPr>
            <w:tcW w:w="33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9873" w:type="dxa"/>
            <w:tcBorders/>
            <w:shd w:fill="CCEEFF" w:val="clear"/>
            <w:vAlign w:val="center"/>
          </w:tcPr>
          <w:p>
            <w:pPr>
              <w:pStyle w:val="TableContents"/>
              <w:spacing w:before="0" w:after="0"/>
              <w:ind w:left="180" w:right="0" w:hanging="0"/>
              <w:jc w:val="left"/>
              <w:rPr/>
            </w:pPr>
            <w:hyperlink w:anchor="MINE">
              <w:r>
                <w:rPr>
                  <w:rStyle w:val="InternetLink"/>
                  <w:rFonts w:ascii="Times New Roman" w:hAnsi="Times New Roman"/>
                  <w:sz w:val="20"/>
                </w:rPr>
                <w:t>ITEM 4—MINE SAFETY DISCLOSURES</w:t>
              </w:r>
            </w:hyperlink>
          </w:p>
        </w:tc>
        <w:tc>
          <w:tcPr>
            <w:tcW w:w="332" w:type="dxa"/>
            <w:tcBorders/>
            <w:shd w:fill="CCEEFF" w:val="clear"/>
            <w:vAlign w:val="center"/>
          </w:tcPr>
          <w:p>
            <w:pPr>
              <w:pStyle w:val="TableContents"/>
              <w:spacing w:before="0" w:after="0"/>
              <w:ind w:left="0" w:right="0" w:hanging="0"/>
              <w:jc w:val="right"/>
              <w:rPr/>
            </w:pPr>
            <w:r>
              <w:rPr/>
              <w:t xml:space="preserve">  </w:t>
            </w:r>
            <w:r>
              <w:rPr>
                <w:rFonts w:ascii="Times New Roman" w:hAnsi="Times New Roman"/>
                <w:sz w:val="20"/>
              </w:rPr>
              <w:t>24</w:t>
            </w:r>
          </w:p>
        </w:tc>
      </w:tr>
      <w:tr>
        <w:trPr/>
        <w:tc>
          <w:tcPr>
            <w:tcW w:w="9873" w:type="dxa"/>
            <w:tcBorders/>
            <w:shd w:fill="auto" w:val="clear"/>
            <w:vAlign w:val="center"/>
          </w:tcPr>
          <w:p>
            <w:pPr>
              <w:pStyle w:val="TableContents"/>
              <w:spacing w:before="0" w:after="0"/>
              <w:ind w:left="0" w:right="0" w:hanging="0"/>
              <w:jc w:val="left"/>
              <w:rPr/>
            </w:pPr>
            <w:hyperlink w:anchor="p2">
              <w:r>
                <w:rPr>
                  <w:rStyle w:val="InternetLink"/>
                  <w:rFonts w:ascii="Times New Roman" w:hAnsi="Times New Roman"/>
                  <w:sz w:val="20"/>
                </w:rPr>
                <w:t>PART II</w:t>
              </w:r>
            </w:hyperlink>
          </w:p>
        </w:tc>
        <w:tc>
          <w:tcPr>
            <w:tcW w:w="332" w:type="dxa"/>
            <w:tcBorders/>
            <w:shd w:fill="auto" w:val="clear"/>
            <w:vAlign w:val="center"/>
          </w:tcPr>
          <w:p>
            <w:pPr>
              <w:pStyle w:val="TableContents"/>
              <w:spacing w:before="0" w:after="0"/>
              <w:ind w:left="0" w:right="0" w:hanging="0"/>
              <w:jc w:val="right"/>
              <w:rPr/>
            </w:pPr>
            <w:r>
              <w:rPr/>
              <w:t xml:space="preserve">  </w:t>
            </w:r>
            <w:r>
              <w:rPr>
                <w:rFonts w:ascii="Times New Roman" w:hAnsi="Times New Roman"/>
                <w:sz w:val="20"/>
              </w:rPr>
              <w:t>24</w:t>
            </w:r>
          </w:p>
        </w:tc>
      </w:tr>
      <w:tr>
        <w:trPr/>
        <w:tc>
          <w:tcPr>
            <w:tcW w:w="9873" w:type="dxa"/>
            <w:tcBorders/>
            <w:shd w:fill="CCEEFF" w:val="clear"/>
            <w:vAlign w:val="center"/>
          </w:tcPr>
          <w:p>
            <w:pPr>
              <w:pStyle w:val="TableContents"/>
              <w:spacing w:before="0" w:after="0"/>
              <w:ind w:left="180" w:right="0" w:hanging="0"/>
              <w:jc w:val="left"/>
              <w:rPr/>
            </w:pPr>
            <w:hyperlink w:anchor="MARK">
              <w:r>
                <w:rPr>
                  <w:rStyle w:val="InternetLink"/>
                  <w:rFonts w:ascii="Times New Roman" w:hAnsi="Times New Roman"/>
                  <w:sz w:val="20"/>
                </w:rPr>
                <w:t>ITEM 5—MARKET FOR REGISTRANT’S COMMON EQUITY, RELATED STOCKHOLDER MATTERS AND ISSUER PURCHASES OF EQUITY SECURITIES</w:t>
              </w:r>
            </w:hyperlink>
          </w:p>
        </w:tc>
        <w:tc>
          <w:tcPr>
            <w:tcW w:w="332" w:type="dxa"/>
            <w:tcBorders/>
            <w:shd w:fill="CCEEFF" w:val="clear"/>
            <w:vAlign w:val="center"/>
          </w:tcPr>
          <w:p>
            <w:pPr>
              <w:pStyle w:val="TableContents"/>
              <w:spacing w:before="0" w:after="0"/>
              <w:ind w:left="0" w:right="0" w:hanging="0"/>
              <w:jc w:val="right"/>
              <w:rPr>
                <w:color w:val="000000"/>
              </w:rPr>
            </w:pPr>
            <w:r>
              <w:rPr>
                <w:color w:val="000000"/>
              </w:rPr>
              <w:t xml:space="preserve">  </w:t>
            </w:r>
            <w:r>
              <w:rPr>
                <w:rFonts w:ascii="Times New Roman" w:hAnsi="Times New Roman"/>
                <w:color w:val="000000"/>
                <w:sz w:val="20"/>
              </w:rPr>
              <w:t>24</w:t>
            </w:r>
          </w:p>
        </w:tc>
      </w:tr>
      <w:tr>
        <w:trPr/>
        <w:tc>
          <w:tcPr>
            <w:tcW w:w="9873" w:type="dxa"/>
            <w:tcBorders/>
            <w:shd w:fill="auto" w:val="clear"/>
            <w:vAlign w:val="center"/>
          </w:tcPr>
          <w:p>
            <w:pPr>
              <w:pStyle w:val="TableContents"/>
              <w:spacing w:before="0" w:after="0"/>
              <w:ind w:left="180" w:right="0" w:hanging="0"/>
              <w:jc w:val="left"/>
              <w:rPr/>
            </w:pPr>
            <w:hyperlink w:anchor="SEL">
              <w:r>
                <w:rPr>
                  <w:rStyle w:val="InternetLink"/>
                  <w:rFonts w:ascii="Times New Roman" w:hAnsi="Times New Roman"/>
                  <w:sz w:val="20"/>
                </w:rPr>
                <w:t>ITEM 6—SELECTED FINANCIAL DATA</w:t>
              </w:r>
            </w:hyperlink>
          </w:p>
        </w:tc>
        <w:tc>
          <w:tcPr>
            <w:tcW w:w="33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9873" w:type="dxa"/>
            <w:tcBorders/>
            <w:shd w:fill="CCEEFF" w:val="clear"/>
            <w:vAlign w:val="center"/>
          </w:tcPr>
          <w:p>
            <w:pPr>
              <w:pStyle w:val="TableContents"/>
              <w:spacing w:before="0" w:after="0"/>
              <w:ind w:left="180" w:right="0" w:hanging="0"/>
              <w:jc w:val="left"/>
              <w:rPr/>
            </w:pPr>
            <w:hyperlink w:anchor="MAN">
              <w:r>
                <w:rPr>
                  <w:rStyle w:val="InternetLink"/>
                  <w:rFonts w:ascii="Times New Roman" w:hAnsi="Times New Roman"/>
                  <w:sz w:val="20"/>
                </w:rPr>
                <w:t>ITEM 7—MANAGEMENTS DISCUSSION AND ANALYSIS OF FINANCIAL CONDITION AND RESULTS OF OPERATIONS</w:t>
              </w:r>
            </w:hyperlink>
          </w:p>
        </w:tc>
        <w:tc>
          <w:tcPr>
            <w:tcW w:w="3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9873" w:type="dxa"/>
            <w:tcBorders/>
            <w:shd w:fill="auto" w:val="clear"/>
            <w:vAlign w:val="center"/>
          </w:tcPr>
          <w:p>
            <w:pPr>
              <w:pStyle w:val="TableContents"/>
              <w:spacing w:before="0" w:after="0"/>
              <w:ind w:left="180" w:right="0" w:hanging="0"/>
              <w:jc w:val="left"/>
              <w:rPr/>
            </w:pPr>
            <w:hyperlink w:anchor="QUAN">
              <w:r>
                <w:rPr>
                  <w:rStyle w:val="InternetLink"/>
                  <w:rFonts w:ascii="Times New Roman" w:hAnsi="Times New Roman"/>
                  <w:sz w:val="20"/>
                </w:rPr>
                <w:t>ITEM 7A—QUANTITATIVE AND QUALITATIVE DISCLOSURES ABOUT MARKET RISK</w:t>
              </w:r>
            </w:hyperlink>
          </w:p>
        </w:tc>
        <w:tc>
          <w:tcPr>
            <w:tcW w:w="33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34</w:t>
            </w:r>
          </w:p>
        </w:tc>
      </w:tr>
      <w:tr>
        <w:trPr/>
        <w:tc>
          <w:tcPr>
            <w:tcW w:w="9873" w:type="dxa"/>
            <w:tcBorders/>
            <w:shd w:fill="CCEEFF" w:val="clear"/>
            <w:vAlign w:val="center"/>
          </w:tcPr>
          <w:p>
            <w:pPr>
              <w:pStyle w:val="TableContents"/>
              <w:spacing w:before="0" w:after="0"/>
              <w:ind w:left="180" w:right="0" w:hanging="0"/>
              <w:jc w:val="left"/>
              <w:rPr/>
            </w:pPr>
            <w:hyperlink w:anchor="FINA">
              <w:r>
                <w:rPr>
                  <w:rStyle w:val="InternetLink"/>
                  <w:rFonts w:ascii="Times New Roman" w:hAnsi="Times New Roman"/>
                  <w:sz w:val="20"/>
                </w:rPr>
                <w:t>ITEM 8—FINANCIAL STATEMENTS AND SUPPLEMENTARY DATA</w:t>
              </w:r>
            </w:hyperlink>
          </w:p>
        </w:tc>
        <w:tc>
          <w:tcPr>
            <w:tcW w:w="3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34</w:t>
            </w:r>
          </w:p>
        </w:tc>
      </w:tr>
      <w:tr>
        <w:trPr/>
        <w:tc>
          <w:tcPr>
            <w:tcW w:w="9873" w:type="dxa"/>
            <w:tcBorders/>
            <w:shd w:fill="auto" w:val="clear"/>
            <w:vAlign w:val="center"/>
          </w:tcPr>
          <w:p>
            <w:pPr>
              <w:pStyle w:val="TableContents"/>
              <w:spacing w:before="0" w:after="0"/>
              <w:ind w:left="180" w:right="0" w:hanging="0"/>
              <w:jc w:val="left"/>
              <w:rPr/>
            </w:pPr>
            <w:hyperlink w:anchor="CHAN">
              <w:r>
                <w:rPr>
                  <w:rStyle w:val="InternetLink"/>
                  <w:rFonts w:ascii="Times New Roman" w:hAnsi="Times New Roman"/>
                  <w:sz w:val="20"/>
                </w:rPr>
                <w:t>ITEM 9—CHANGES IN AND DISAGREEMENTS WITH ACCOUNTANTS ON ACCOUNTING AND FINANCIAL DISCLOSURE</w:t>
              </w:r>
            </w:hyperlink>
          </w:p>
        </w:tc>
        <w:tc>
          <w:tcPr>
            <w:tcW w:w="33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58</w:t>
            </w:r>
          </w:p>
        </w:tc>
      </w:tr>
      <w:tr>
        <w:trPr/>
        <w:tc>
          <w:tcPr>
            <w:tcW w:w="9873" w:type="dxa"/>
            <w:tcBorders/>
            <w:shd w:fill="CCEEFF" w:val="clear"/>
            <w:vAlign w:val="center"/>
          </w:tcPr>
          <w:p>
            <w:pPr>
              <w:pStyle w:val="TableContents"/>
              <w:spacing w:before="0" w:after="0"/>
              <w:ind w:left="180" w:right="0" w:hanging="0"/>
              <w:jc w:val="left"/>
              <w:rPr/>
            </w:pPr>
            <w:hyperlink w:anchor="CONT">
              <w:r>
                <w:rPr>
                  <w:rStyle w:val="InternetLink"/>
                  <w:rFonts w:ascii="Times New Roman" w:hAnsi="Times New Roman"/>
                  <w:sz w:val="20"/>
                </w:rPr>
                <w:t>ITEM 9A—CONTROLS AND PROCEDURES</w:t>
              </w:r>
            </w:hyperlink>
          </w:p>
        </w:tc>
        <w:tc>
          <w:tcPr>
            <w:tcW w:w="3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58</w:t>
            </w:r>
          </w:p>
        </w:tc>
      </w:tr>
      <w:tr>
        <w:trPr/>
        <w:tc>
          <w:tcPr>
            <w:tcW w:w="9873" w:type="dxa"/>
            <w:tcBorders/>
            <w:shd w:fill="auto" w:val="clear"/>
            <w:vAlign w:val="center"/>
          </w:tcPr>
          <w:p>
            <w:pPr>
              <w:pStyle w:val="TableContents"/>
              <w:spacing w:before="0" w:after="0"/>
              <w:ind w:left="180" w:right="0" w:hanging="0"/>
              <w:jc w:val="left"/>
              <w:rPr/>
            </w:pPr>
            <w:hyperlink w:anchor="OTHE">
              <w:r>
                <w:rPr>
                  <w:rStyle w:val="InternetLink"/>
                  <w:rFonts w:ascii="Times New Roman" w:hAnsi="Times New Roman"/>
                  <w:sz w:val="20"/>
                </w:rPr>
                <w:t>ITEM 9B—OTHER INFORMATION</w:t>
              </w:r>
            </w:hyperlink>
          </w:p>
        </w:tc>
        <w:tc>
          <w:tcPr>
            <w:tcW w:w="33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r>
      <w:tr>
        <w:trPr/>
        <w:tc>
          <w:tcPr>
            <w:tcW w:w="9873" w:type="dxa"/>
            <w:tcBorders/>
            <w:shd w:fill="CCEEFF" w:val="clear"/>
            <w:vAlign w:val="center"/>
          </w:tcPr>
          <w:p>
            <w:pPr>
              <w:pStyle w:val="TableContents"/>
              <w:spacing w:before="0" w:after="0"/>
              <w:ind w:left="0" w:right="0" w:hanging="0"/>
              <w:jc w:val="left"/>
              <w:rPr/>
            </w:pPr>
            <w:hyperlink w:anchor="PARTIII">
              <w:r>
                <w:rPr>
                  <w:rStyle w:val="InternetLink"/>
                  <w:rFonts w:ascii="Times New Roman" w:hAnsi="Times New Roman"/>
                  <w:sz w:val="20"/>
                </w:rPr>
                <w:t>PART III</w:t>
              </w:r>
            </w:hyperlink>
          </w:p>
        </w:tc>
        <w:tc>
          <w:tcPr>
            <w:tcW w:w="3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r>
      <w:tr>
        <w:trPr/>
        <w:tc>
          <w:tcPr>
            <w:tcW w:w="9873" w:type="dxa"/>
            <w:tcBorders/>
            <w:shd w:fill="auto" w:val="clear"/>
            <w:vAlign w:val="center"/>
          </w:tcPr>
          <w:p>
            <w:pPr>
              <w:pStyle w:val="TableContents"/>
              <w:spacing w:before="0" w:after="0"/>
              <w:ind w:left="0" w:right="0" w:hanging="0"/>
              <w:jc w:val="left"/>
              <w:rPr/>
            </w:pPr>
            <w:hyperlink w:anchor="PARTIV">
              <w:r>
                <w:rPr>
                  <w:rStyle w:val="InternetLink"/>
                  <w:rFonts w:ascii="Times New Roman" w:hAnsi="Times New Roman"/>
                  <w:sz w:val="20"/>
                </w:rPr>
                <w:t>PART IV</w:t>
              </w:r>
            </w:hyperlink>
          </w:p>
        </w:tc>
        <w:tc>
          <w:tcPr>
            <w:tcW w:w="33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61</w:t>
            </w:r>
          </w:p>
        </w:tc>
      </w:tr>
    </w:tbl>
    <w:p>
      <w:pPr>
        <w:pStyle w:val="TextBody"/>
        <w:spacing w:before="0" w:after="0"/>
        <w:rPr/>
      </w:pPr>
      <w:r>
        <w:rPr/>
        <w:t> </w:t>
      </w:r>
    </w:p>
    <w:p>
      <w:pPr>
        <w:pStyle w:val="TextBody"/>
        <w:spacing w:before="0" w:after="0"/>
        <w:rPr/>
      </w:pPr>
      <w:r>
        <w:rPr/>
        <w:t> </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1"/>
      <w:bookmarkStart w:id="5" w:name="pgbrk1"/>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 w:name="ftr"/>
      <w:bookmarkEnd w:id="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 w:name="pb"/>
      <w:bookmarkStart w:id="8" w:name="pb"/>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 w:name="hdr1"/>
      <w:bookmarkEnd w:id="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10" w:name="PARTI"/>
      <w:bookmarkEnd w:id="10"/>
      <w:r>
        <w:rPr>
          <w:rFonts w:ascii="Times New Roman" w:hAnsi="Times New Roman"/>
          <w:b/>
          <w:sz w:val="20"/>
        </w:rPr>
        <w:t>PART I</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FORWARD-LOOKING STATEMENTS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This Annual Report on Form 10-K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terminology such as “may”, “will”, “should”, “expects”, “plans”, “anticipates”, “believes”, “estimates”, “predicts”, “potential” or “continue” or the negative of such terms or other comparable terminology. These statements are only predictions and involve known and unknown risks, uncertainties and other factors, including, but not limited to, progress in our product development activities, obtaining financing for operations, development of new technologies and other competitive pressures, legal and regulatory initiatives affecting our products, conditions in the capital markets, and the risks discussed in “</w:t>
      </w:r>
      <w:r>
        <w:rPr>
          <w:rFonts w:ascii="Times New Roman" w:hAnsi="Times New Roman"/>
          <w:i/>
          <w:sz w:val="20"/>
        </w:rPr>
        <w:t>Item 1A – Risk Factors</w:t>
      </w:r>
      <w:r>
        <w:rPr>
          <w:rFonts w:ascii="Times New Roman" w:hAnsi="Times New Roman"/>
          <w:sz w:val="20"/>
        </w:rPr>
        <w:t>” and elsewhere in this report that may cause our or our industry’s actual results, levels of activity, performance or achievements to be materially different from any future results, levels of activities, performance or achievements expressed or implied by such forward-looking statements.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Although we believe that the expectations reflected in the forward-looking statements are reasonable, we cannot guarantee future results, levels of activity, performance or achievements. The forward-looking statements represent our views as of the date of this Annual Report on Form 10-K. We undertake no obligation to update any of the forward-looking statements after the date of filing of this report or to conform such statements to actual results, except as may be required by law.</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All references in this Annual Report on Form 10-K to the “Company,” “Tenax Therapeutics”, “we”, “our” and “us” means Tenax Therapeutics, Inc.</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1—</w:t>
      </w:r>
      <w:bookmarkStart w:id="11" w:name="BUS"/>
      <w:bookmarkEnd w:id="11"/>
      <w:r>
        <w:rPr>
          <w:rFonts w:ascii="Times New Roman" w:hAnsi="Times New Roman"/>
          <w:b/>
          <w:sz w:val="20"/>
        </w:rPr>
        <w:t>BUSINESS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We are a specialty pharmaceutical company focused on identifying, developing and commercializing products </w:t>
      </w:r>
      <w:r>
        <w:rPr>
          <w:rFonts w:ascii="Times New Roman" w:hAnsi="Times New Roman"/>
          <w:color w:val="080808"/>
          <w:sz w:val="20"/>
          <w:highlight w:val="yellow"/>
        </w:rPr>
        <w:t>that address cardiovascular and pulmonary diseases of high unmet medical need</w:t>
      </w:r>
      <w:r>
        <w:rPr>
          <w:rFonts w:ascii="Times New Roman" w:hAnsi="Times New Roman"/>
          <w:sz w:val="20"/>
        </w:rPr>
        <w:t xml:space="preserve">. On November 13, 2013, through our wholly owned subsidiary, Life Newco, Inc., or Life Newco, we acquired a license granting Life Newco an exclusive, sublicensable right to develop and commercialize pharmaceutical products containing levosimendan, 2.5 mg/ml concentrate for solution for infusion / 5ml vial </w:t>
      </w:r>
      <w:r>
        <w:rPr>
          <w:rFonts w:ascii="Times New Roman" w:hAnsi="Times New Roman"/>
          <w:color w:val="000000"/>
          <w:sz w:val="20"/>
        </w:rPr>
        <w:t>in the United States and Canada</w:t>
      </w:r>
      <w:r>
        <w:rPr>
          <w:rFonts w:ascii="Times New Roman" w:hAnsi="Times New Roman"/>
          <w:sz w:val="20"/>
        </w:rPr>
        <w:t>. On October 9, 2020, we entered into an amendment to the license to include two new oral products containing levosimendan, in capsule and solid dosage form, and a subcutaneously administered product containing levosimendan, to the scope of the license, subject to specified limitations.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January 15, 2021, through our wholly owned subsidiary, Life Newco II, Inc., or Life Newco II, we acquired 100% of the equity of PHPrecisionMed Inc., a Delaware corporation, or PHPM. In accordance with the terms of the merger agreement between Life Newco II and PHPM, Life Newco II merged with and into PHPM, with PHPM surviving as our wholly-owned subsidiary. As a result of the merger, we plan to develop and commercialize pharmaceutical products containing imatinib for the treatment of pulmonary arterial hypertension.</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Business Strategy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principal business objective is to identify, develop, and commercialize novel therapeutic products for disease indications that represent significant areas of clinical need and commercial opportunity. The key elements of our business strategy are outlined below.</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 w:name="pgbrk2"/>
      <w:bookmarkStart w:id="13" w:name="pgbrk2"/>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 w:name="ftr1"/>
      <w:bookmarkEnd w:id="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5" w:name="pb1"/>
      <w:bookmarkStart w:id="16" w:name="pb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 w:name="hdr2"/>
      <w:bookmarkEnd w:id="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Efficiently conduct clinical development to establish clinical proof of concept with our current product candidates.</w:t>
      </w:r>
      <w:r>
        <w:rPr>
          <w:rFonts w:ascii="Times New Roman" w:hAnsi="Times New Roman"/>
          <w:sz w:val="20"/>
        </w:rPr>
        <w:t xml:space="preserve"> Levosimendan and imatinib both represent novel therapeutic modalities for the treatment of pulmonary hypertension and other </w:t>
      </w:r>
      <w:r>
        <w:rPr>
          <w:rFonts w:ascii="Times New Roman" w:hAnsi="Times New Roman"/>
          <w:color w:val="080808"/>
          <w:sz w:val="20"/>
          <w:highlight w:val="yellow"/>
        </w:rPr>
        <w:t>cardiovascular and pulmonary diseases of high unmet medical need.</w:t>
      </w:r>
      <w:r>
        <w:rPr>
          <w:rFonts w:ascii="Times New Roman" w:hAnsi="Times New Roman"/>
          <w:sz w:val="20"/>
        </w:rPr>
        <w:t xml:space="preserve"> We are conducting clinical development with the intent to establish proof of concept in several important disease areas where these therapeutics would be expected to have benefit. Our focus is on conducting well-designed studies to establish a robust foundation for subsequent development, partnership and expansion into complementary areas.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Efficiently explore new high potential therapeutic applications, leveraging third-party research collaborations and our results from related areas</w:t>
      </w:r>
      <w:r>
        <w:rPr>
          <w:rFonts w:ascii="Times New Roman" w:hAnsi="Times New Roman"/>
          <w:sz w:val="20"/>
        </w:rPr>
        <w:t>. Levosimendan has shown promise in multiple disease areas. We are committed to exploring potential clinical indications where our therapies may achieve best-in-class profile, and where we can address significant unmet medical needs. In order to achieve this goal, we have established collaborative research relationships with investigators from research and clinical institutions and our strategic partners. These collaborative relationships have enabled us to cost effectively explore where our product candidates may have therapeutic relevance, and how it may be utilized to advance treatment over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Continue to expand our intellectual property portfolio</w:t>
      </w:r>
      <w:r>
        <w:rPr>
          <w:rFonts w:ascii="Times New Roman" w:hAnsi="Times New Roman"/>
          <w:sz w:val="20"/>
        </w:rPr>
        <w:t>. Our intellectual property is important to our business and we take significant steps to protect its value. We 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or product candidates.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Enter into licensing or product co-development arrangements</w:t>
      </w:r>
      <w:r>
        <w:rPr>
          <w:rFonts w:ascii="Times New Roman" w:hAnsi="Times New Roman"/>
          <w:sz w:val="20"/>
        </w:rPr>
        <w:t>. In addition to our internal development efforts, an important part of our product development strategy is to work with collaborators and partners to accelerate product development, reduce our development costs, and broaden our commercialization capabilities. We believe this strategy will help us to develop a portfolio of high-quality product development opportunities, enhance our clinical development and commercialization capabilities, and increase our ability to generate value from our proprietary technologies.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Our Current Programs</w:t>
      </w:r>
    </w:p>
    <w:p>
      <w:pPr>
        <w:pStyle w:val="TextBody"/>
        <w:spacing w:before="0" w:after="0"/>
        <w:rPr/>
      </w:pPr>
      <w:r>
        <w:rPr/>
        <w:t> </w:t>
      </w:r>
    </w:p>
    <w:p>
      <w:pPr>
        <w:pStyle w:val="TextBody"/>
        <w:spacing w:before="0" w:after="0"/>
        <w:ind w:left="0" w:right="0" w:firstLine="720"/>
        <w:jc w:val="left"/>
        <w:rPr>
          <w:rFonts w:ascii="Times New Roman" w:hAnsi="Times New Roman"/>
          <w:b/>
          <w:i/>
          <w:sz w:val="20"/>
        </w:rPr>
      </w:pPr>
      <w:r>
        <w:rPr>
          <w:rFonts w:ascii="Times New Roman" w:hAnsi="Times New Roman"/>
          <w:b/>
          <w:i/>
          <w:sz w:val="20"/>
        </w:rPr>
        <w:t>Levosimendan Background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Levosimendan was discovered and developed by Orion Corporation, a Finnish company, or Orion. Levosimendan is a </w:t>
      </w:r>
      <w:r>
        <w:rPr>
          <w:rFonts w:ascii="Times New Roman" w:hAnsi="Times New Roman"/>
          <w:i/>
          <w:sz w:val="20"/>
        </w:rPr>
        <w:t>calcium sensitizer/K-ATP activator</w:t>
      </w:r>
      <w:r>
        <w:rPr>
          <w:rFonts w:ascii="Times New Roman" w:hAnsi="Times New Roman"/>
          <w:sz w:val="20"/>
        </w:rPr>
        <w:t xml:space="preserve"> developed for intravenous use in hospitalized patients with acutely decompensated heart failure. It is currently approved in over 60 countries for this indication and not available in the United States or Canada. It is estimated that to date over 1.5 million patients have been treated worldwide with levosimendan</w:t>
      </w:r>
      <w:r>
        <w:rPr>
          <w:rFonts w:ascii="Times New Roman" w:hAnsi="Times New Roman"/>
          <w:b/>
          <w:sz w:val="20"/>
        </w:rPr>
        <w: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Levosimendan is a novel, first in class </w:t>
      </w:r>
      <w:r>
        <w:rPr>
          <w:rFonts w:ascii="Times New Roman" w:hAnsi="Times New Roman"/>
          <w:i/>
          <w:sz w:val="20"/>
        </w:rPr>
        <w:t>calcium sensitizer/K-ATP activator</w:t>
      </w:r>
      <w:r>
        <w:rPr>
          <w:rFonts w:ascii="Times New Roman" w:hAnsi="Times New Roman"/>
          <w:sz w:val="20"/>
        </w:rPr>
        <w:t>. The therapeutic effects of levosimendan are mediated through:</w:t>
      </w:r>
    </w:p>
    <w:p>
      <w:pPr>
        <w:pStyle w:val="TextBody"/>
        <w:spacing w:before="0" w:after="0"/>
        <w:ind w:left="0" w:right="0" w:hanging="0"/>
        <w:jc w:val="both"/>
        <w:rPr/>
      </w:pPr>
      <w:r>
        <w:rPr/>
        <w:t> </w:t>
      </w:r>
    </w:p>
    <w:p>
      <w:pPr>
        <w:pStyle w:val="TextBody"/>
        <w:spacing w:before="0" w:after="0"/>
        <w:ind w:left="108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Increased cardiac contractility by calcium sensitization of troponin C, resulting in a positive inotropic effect which is not associated with substantial increases in oxygen demand.</w:t>
      </w:r>
    </w:p>
    <w:p>
      <w:pPr>
        <w:pStyle w:val="TextBody"/>
        <w:spacing w:before="0" w:after="0"/>
        <w:ind w:left="108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Opening of potassium channels in the vasculature smooth muscle, resulting in a vasodilatory effect on all vascular beds.</w:t>
      </w:r>
    </w:p>
    <w:p>
      <w:pPr>
        <w:pStyle w:val="TextBody"/>
        <w:spacing w:before="0" w:after="0"/>
        <w:ind w:left="108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Opening of mitochondrial potassium channels in cardiomyocytes, resulting in a cardioprotective effect.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This triple mechanism of action helps to preserve heart function during cardiac surgery. Several studies have demonstrated that levosimendan protects the heart and improves tissue perfusion while minimizing tissue damage during cardiac surgery.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2013, we acquired certain assets of Phyxius Pharma, Inc., or Phyxius, including its North American rights to develop and commercialize levosimendan for any indication in the United States and Canada. In the countries where levosimendan is marketed, levosimendan is indicated for the short-term treatment of acutely decompensated severe chronic heart failure in situations where conventional therapy is not sufficient, and in cases where inotropic support is considered appropriate. </w:t>
      </w:r>
      <w:r>
        <w:rPr>
          <w:rFonts w:ascii="Times New Roman" w:hAnsi="Times New Roman"/>
          <w:color w:val="000000"/>
          <w:sz w:val="20"/>
        </w:rPr>
        <w:t>In acute decompensated heart failure patients, levosimendan has been shown to significantly improve patients’ symptoms as well as acute hemodynamic measurements such as increased cardiac output, reduced preload and reduced afterload.  </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 w:name="pgbrk3"/>
      <w:bookmarkStart w:id="19" w:name="pgbrk3"/>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 w:name="ftr2"/>
      <w:bookmarkEnd w:id="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 w:name="pn"/>
      <w:bookmarkEnd w:id="21"/>
      <w:r>
        <w:rPr>
          <w:rFonts w:ascii="Times New Roman" w:hAnsi="Times New Roman"/>
          <w:sz w:val="20"/>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2" w:name="pb2"/>
      <w:bookmarkStart w:id="23" w:name="pb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 w:name="hdr3"/>
      <w:bookmarkEnd w:id="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 Other unique properties of levosimendan include sustained efficacy through the formation of a long-acting metabolite, lack of impairment of diastolic function, and evidence of better compatibility with beta blockers than dobutamine.</w:t>
      </w:r>
    </w:p>
    <w:p>
      <w:pPr>
        <w:pStyle w:val="TextBody"/>
        <w:spacing w:before="0" w:after="0"/>
        <w:rPr/>
      </w:pPr>
      <w:r>
        <w:rPr/>
        <w:t> </w:t>
      </w:r>
    </w:p>
    <w:p>
      <w:pPr>
        <w:pStyle w:val="TextBody"/>
        <w:spacing w:before="0" w:after="0"/>
        <w:ind w:left="0" w:right="0" w:firstLine="720"/>
        <w:jc w:val="left"/>
        <w:rPr>
          <w:rFonts w:ascii="Times New Roman" w:hAnsi="Times New Roman"/>
          <w:b/>
          <w:i/>
          <w:sz w:val="20"/>
        </w:rPr>
      </w:pPr>
      <w:r>
        <w:rPr>
          <w:rFonts w:ascii="Times New Roman" w:hAnsi="Times New Roman"/>
          <w:b/>
          <w:i/>
          <w:sz w:val="20"/>
        </w:rPr>
        <w:t>Levosimendan Development for Pulmonary Hypertension Patients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recently completed a Phase 2 clinical trial of levosimendan in North America for the treatment of patients with pulmonary hypertension associated with heart failure with preserved ejection fraction, or PH-HFpEF.  PH-HFpEF is defined hemodynamically by a mean pulmonary artery pressure, or mPAP, ≥25 mmHg, and a pulmonary capillary wedge pressure, or PCWP, &gt;15 mmHg. Pulmonary hypertension in these patients is believed to arise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Over time, these changes often lead to advanced pulmonary arterial and venous disease, increased right ventricle afterload, and right ventricle failure.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and pulmonary artery pressure in patients with pulmonary hypertension. In addition, 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 basis to believe that levosimendan may be beneficial in PH-HFpEF patients.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March 2018, we met with the United States Food and Drug Administration, or FDA, to discuss development of levosimendan in PH-HFpEF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was discussed further at the End-of-Phase 2 Meeting following completion of the Phase 2 study in PH-HFpEF patients, which is known as the HELP Study – </w:t>
      </w:r>
      <w:r>
        <w:rPr>
          <w:rFonts w:ascii="Times New Roman" w:hAnsi="Times New Roman"/>
          <w:b/>
          <w:sz w:val="20"/>
        </w:rPr>
        <w:t>H</w:t>
      </w:r>
      <w:r>
        <w:rPr>
          <w:rFonts w:ascii="Times New Roman" w:hAnsi="Times New Roman"/>
          <w:sz w:val="20"/>
        </w:rPr>
        <w:t xml:space="preserve">emodynamic </w:t>
      </w:r>
      <w:r>
        <w:rPr>
          <w:rFonts w:ascii="Times New Roman" w:hAnsi="Times New Roman"/>
          <w:b/>
          <w:sz w:val="20"/>
        </w:rPr>
        <w:t>E</w:t>
      </w:r>
      <w:r>
        <w:rPr>
          <w:rFonts w:ascii="Times New Roman" w:hAnsi="Times New Roman"/>
          <w:sz w:val="20"/>
        </w:rPr>
        <w:t xml:space="preserve">valuation of </w:t>
      </w:r>
      <w:r>
        <w:rPr>
          <w:rFonts w:ascii="Times New Roman" w:hAnsi="Times New Roman"/>
          <w:b/>
          <w:sz w:val="20"/>
        </w:rPr>
        <w:t>L</w:t>
      </w:r>
      <w:r>
        <w:rPr>
          <w:rFonts w:ascii="Times New Roman" w:hAnsi="Times New Roman"/>
          <w:sz w:val="20"/>
        </w:rPr>
        <w:t xml:space="preserve">evosimendan in </w:t>
      </w:r>
      <w:r>
        <w:rPr>
          <w:rFonts w:ascii="Times New Roman" w:hAnsi="Times New Roman"/>
          <w:b/>
          <w:sz w:val="20"/>
        </w:rPr>
        <w:t>P</w:t>
      </w:r>
      <w:r>
        <w:rPr>
          <w:rFonts w:ascii="Times New Roman" w:hAnsi="Times New Roman"/>
          <w:sz w:val="20"/>
        </w:rPr>
        <w:t>H-HFpEF.</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initiated the first of our expected 10-12 HELP Study clinical sites in November 2018 and the first of 37 patients were enrolled in the HELP Study in March 2019. Enrollment in the HELP Study was completed in March 2020. The primary endpoint of the HELP Study was based on the change in PCWP during exercise versus baseline compared to placebo. The HELP Study utilized a double-blind randomized design following five weekly outpatient infusions of levosimendan.</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On June 2, 2020, we announced preliminary, top-line data from the study. The primary efficacy analysis, pulmonary capillary wedge pressure (PCWP) during exercise did not demonstrate a statistically significant reduction from baseline. Levosimendan did demonstrate a statistically significant reduction in PCWP compared to baseline (p=&lt;0.0017) and placebo (p=&lt;0.0475) when the measurements at rest, with legs up and on exercise were combined. Levosimendan also demonstrated a statistically significant improvement in 6-minute walk distance as compared to placebo (p=0.0329). These findings from the HELP Study represent important discoveries related to the use of levosimendan in PH-HFpEF patients since this is the first study to evaluate levosimendan in PH-HFpEF patients and this is the first study ever conducted of any therapy in PH-HFpEF patients to show such positive improvements in hemodynamics and 6-minute walk distance.</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 w:name="pgbrk4"/>
      <w:bookmarkStart w:id="26" w:name="pgbrk4"/>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7" w:name="ftr3"/>
      <w:bookmarkEnd w:id="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 w:name="pn1"/>
      <w:bookmarkEnd w:id="28"/>
      <w:r>
        <w:rPr>
          <w:rFonts w:ascii="Times New Roman" w:hAnsi="Times New Roman"/>
          <w:sz w:val="20"/>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9" w:name="pb3"/>
      <w:bookmarkStart w:id="30" w:name="pb3"/>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 w:name="hdr4"/>
      <w:bookmarkEnd w:id="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b/>
          <w:i/>
          <w:color w:val="000000"/>
          <w:sz w:val="20"/>
        </w:rPr>
      </w:pPr>
      <w:r>
        <w:rPr>
          <w:rFonts w:ascii="Times New Roman" w:hAnsi="Times New Roman"/>
          <w:b/>
          <w:i/>
          <w:color w:val="000000"/>
          <w:sz w:val="20"/>
        </w:rPr>
        <w:t>Hemodynamic Results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Hemodynamic measurements were made at rest (supine), after leg raise on a supine bicycle (a test of rapid increase in ventricular filling) and during exercise (25 watts for 3 minutes or until the patient tired). In the initial open-label phase, 84% of the patients had a significant reduction in right atrial pressure, or RAP, pulmonary artery pressure, or PAP and PCWP at rest and during exercise. In the randomized double-blinded 6-week trial, levosimendan demonstrated a statistically significant reduction in PCWP compared to baseline (p=&lt;0.0017) and placebo (p=&lt;0.0475) when the measurements at rest, with legs up and on exercise were combined. While there was no significant change in PCWP during exercise, patients receiving levosimendan had reductions from baseline at Week 6 in PCWP, PAP, and RAP that were significant when patients were “at rest” and/or with their “legs raised” (p&lt;0.05).</w:t>
      </w:r>
    </w:p>
    <w:p>
      <w:pPr>
        <w:pStyle w:val="TextBody"/>
        <w:spacing w:before="0" w:after="0"/>
        <w:rPr/>
      </w:pPr>
      <w:r>
        <w:rPr/>
        <w:t> </w:t>
      </w:r>
    </w:p>
    <w:p>
      <w:pPr>
        <w:pStyle w:val="TextBody"/>
        <w:spacing w:before="0" w:after="0"/>
        <w:ind w:left="0" w:right="0" w:firstLine="720"/>
        <w:jc w:val="left"/>
        <w:rPr>
          <w:rFonts w:ascii="Times New Roman" w:hAnsi="Times New Roman"/>
          <w:b/>
          <w:i/>
          <w:color w:val="000000"/>
          <w:sz w:val="20"/>
        </w:rPr>
      </w:pPr>
      <w:r>
        <w:rPr>
          <w:rFonts w:ascii="Times New Roman" w:hAnsi="Times New Roman"/>
          <w:b/>
          <w:i/>
          <w:color w:val="000000"/>
          <w:sz w:val="20"/>
        </w:rPr>
        <w:t>Clinical Results (6-Minute Walk Distance)</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clinical efficacy was confirmed by a statistically significant improvement in 6-minute walk distance of 29 meters (p=0.0329). The 6-minute walk distance was a secondary endpoint in the trial and is a validated and accepted endpoint used in many pulmonary hypertension registration trials. Levosimendan was given in once-weekly home infusions for six weeks.</w:t>
      </w:r>
    </w:p>
    <w:p>
      <w:pPr>
        <w:pStyle w:val="TextBody"/>
        <w:spacing w:before="0" w:after="0"/>
        <w:rPr/>
      </w:pPr>
      <w:r>
        <w:rPr/>
        <w:t> </w:t>
      </w:r>
    </w:p>
    <w:p>
      <w:pPr>
        <w:pStyle w:val="TextBody"/>
        <w:spacing w:before="0" w:after="0"/>
        <w:ind w:left="0" w:right="0" w:firstLine="720"/>
        <w:jc w:val="left"/>
        <w:rPr>
          <w:rFonts w:ascii="Times New Roman" w:hAnsi="Times New Roman"/>
          <w:b/>
          <w:i/>
          <w:color w:val="000000"/>
          <w:sz w:val="20"/>
        </w:rPr>
      </w:pPr>
      <w:r>
        <w:rPr>
          <w:rFonts w:ascii="Times New Roman" w:hAnsi="Times New Roman"/>
          <w:b/>
          <w:i/>
          <w:color w:val="000000"/>
          <w:sz w:val="20"/>
        </w:rPr>
        <w:t>Safety</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incidence of adverse events or serious adverse events between the control and treated groups were similar. In addition, there were no arrhythmias observed, atrial or ventricular, when comparing baseline electrocardiographic monitoring with 72-hour monitoring after five weeks of treatment.</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detailed results from the Phase 2 HELP Study of levosimendan in PH-HFpEF were presented at the Heart Failure Society of America Virtual Annual Scientific Meeting on October 3, 2020 and at the American Heart Association Scientific Sessions 2020 on November 13, 2020. Additionally, the full manuscript has been accepted for publication in the peer-reviewed journal JACC:Heart Failure.</w:t>
      </w:r>
    </w:p>
    <w:p>
      <w:pPr>
        <w:pStyle w:val="TextBody"/>
        <w:spacing w:before="0" w:after="0"/>
        <w:rPr/>
      </w:pPr>
      <w:r>
        <w:rPr/>
        <w:t> </w:t>
      </w:r>
    </w:p>
    <w:p>
      <w:pPr>
        <w:pStyle w:val="TextBody"/>
        <w:spacing w:before="0" w:after="0"/>
        <w:ind w:left="0" w:right="0" w:firstLine="720"/>
        <w:jc w:val="left"/>
        <w:rPr>
          <w:rFonts w:ascii="Times New Roman" w:hAnsi="Times New Roman"/>
          <w:b/>
          <w:i/>
          <w:sz w:val="20"/>
        </w:rPr>
      </w:pPr>
      <w:r>
        <w:rPr>
          <w:rFonts w:ascii="Times New Roman" w:hAnsi="Times New Roman"/>
          <w:b/>
          <w:i/>
          <w:sz w:val="20"/>
        </w:rPr>
        <w:t>Next Steps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October 9, 2020, we entered into an amendment, or the Amendment, to the License between the Company and Orion to include two new product formulations containing levosimendan, in a capsule solid oral dosage form, and a subcutaneously administered dosage form containing levosimendan, to the scope of the License, subject to specified limitations.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plan to study the utility of the levosimendan oral capsule dosage form in patients who have participated in the open-label extension of the HELP Study and who continue to receive weekly infusions of intravenous levosimendan. These patients are now eligible to participate in the amendment to the HELP Study that will transition them from the intravenous to an oral formulation. The investigators at the centers that participated in the HELP Study have been invited to participate and enroll their patients into this study.</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October 2020, we met with the FDA for an End-of-Phase 2 Meeting to discuss the Phase 2 clinical data and further development of levosimendan in PH-HFpEF patients. The FDA agreed that one or two Phase 3 clinical studies (depending on the size) with a primary endpoint of change in 6-minute walk distance over 12 weeks or a single Phase 3 trial with clinical worsening (e.g., death, hospitalization for heart failure, or decline in exercise capacity) over 24 weeks would be sufficient to demonstrate the effectiveness of levosimendan in PH-HFpEF. The FDA also agreed to a plan to replace weekly intravenous levosimendan dosing with daily oral levosimendan doses in a Phase 3 clinical study. The FDA expressed concern about a safety database as potentially necessary and indicated that the need for a further safety database could be dependent on the final design of the Phase 3 study. We expect that this will be addressed when the final Phase 3 protocol is submitted which will better characterize the trial design and primary endpoints.</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5"/>
      <w:bookmarkStart w:id="33" w:name="pgbrk5"/>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4" w:name="ftr4"/>
      <w:bookmarkEnd w:id="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 w:name="pn2"/>
      <w:bookmarkEnd w:id="35"/>
      <w:r>
        <w:rPr>
          <w:rFonts w:ascii="Times New Roman" w:hAnsi="Times New Roman"/>
          <w:sz w:val="20"/>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6" w:name="pb4"/>
      <w:bookmarkStart w:id="37" w:name="pb4"/>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8" w:name="hdr5"/>
      <w:bookmarkEnd w:id="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HELP Study design was novel in several respects. To date, no other multi-center study has evaluated levosimendan in heart failure patients with preserved ejection fraction, or HFpEF, patients or PH-HFpEF patients. Instead, all previous levosimendan heart failure studies have enrolled heart failure patients with reduced ejection fraction, or HFrEF, which specifically excluded HFpEF patients.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 Despite the unique patient population, weekly dosing, and home-based administration, there have been no reported serious adverse events.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We believe that the combination of the unique HELP Study patient population, innovative weekly 24-hour dosing, unique home-based site of administration, and novel findings of efficacy and safety in PH-HFpEF patients represent unique discoveries and significant intellectual property. These discoveries, among others from the HELP Study, form the basis for a U.S. patent application that we have filed. </w:t>
      </w:r>
    </w:p>
    <w:p>
      <w:pPr>
        <w:pStyle w:val="TextBody"/>
        <w:spacing w:before="0" w:after="0"/>
        <w:rPr/>
      </w:pPr>
      <w:r>
        <w:rPr/>
        <w:t> </w:t>
      </w:r>
    </w:p>
    <w:p>
      <w:pPr>
        <w:pStyle w:val="TextBody"/>
        <w:spacing w:before="0" w:after="0"/>
        <w:ind w:left="0" w:right="0" w:firstLine="720"/>
        <w:jc w:val="left"/>
        <w:rPr>
          <w:rFonts w:ascii="Times New Roman" w:hAnsi="Times New Roman"/>
          <w:b/>
          <w:i/>
          <w:sz w:val="20"/>
        </w:rPr>
      </w:pPr>
      <w:r>
        <w:rPr>
          <w:rFonts w:ascii="Times New Roman" w:hAnsi="Times New Roman"/>
          <w:b/>
          <w:i/>
          <w:sz w:val="20"/>
        </w:rPr>
        <w:t>Imatinib Background</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Imatinib (also known as “Gleevec”), is a tyrosine kinase inhibitor, which revolutionized the treatment of chronic myeloid leukemia, or CML, in 2001. The first clinical trial of imatinib took place in 1998 and the drug received FDA approval in May 2001. Encouraged by the success of Imatinib in treating CML patients, scientists explored its effect in other cancers, and it was found to produce a similar positive effect in other cancers where tyrosine kinases were overexpressed.</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Tyrosine kinases are important mediators of the signaling cascade, determining key roles in diverse biological processes like growth, differentiation, metabolism, and apoptosis in response to external and internal stimuli. Deregulation of protein kinase activity has been shown to play a central role in the pathogenesis of human cancers. Imatinib, a 2-phenyl amino pyrimidine derivative, is a tyrosine kinase inhibitor with activity against ABL, BCR-ABL, PDGFRA, and c-KIT. Imatinib works by binding close to the ATP binding site therefore inhibiting the enzyme activity of the protein. Imatinib also inhibits the ABL protein of noncancer cells. Imatinib is well absorbed after oral administration with a bioavailability exceeding 90%. It is extensively metabolized, principally by cytochrome P450 (CYP)3A4 and CYP3A5 and can competitively inhibit the metabolism of drugs that are CYP3A4 or CYP3A5 substrates. Imatinib is generally well tolerated in cancer patients. Common side effects include fluid retention, headache, diarrhea, loss of appetite, weakness, nausea and vomiting, abdominal distention, edema, rash, dizziness, and muscle cramps. Serious side effects may include myelosuppression, heart failure, and liver function abnormalities. Novartis is the manufacturer of Gleevec.</w:t>
      </w:r>
    </w:p>
    <w:p>
      <w:pPr>
        <w:pStyle w:val="TextBody"/>
        <w:spacing w:before="0" w:after="0"/>
        <w:rPr/>
      </w:pPr>
      <w:r>
        <w:rPr/>
        <w:t> </w:t>
      </w:r>
    </w:p>
    <w:p>
      <w:pPr>
        <w:pStyle w:val="TextBody"/>
        <w:spacing w:before="0" w:after="0"/>
        <w:ind w:left="0" w:right="0" w:firstLine="720"/>
        <w:jc w:val="left"/>
        <w:rPr>
          <w:rFonts w:ascii="Times New Roman" w:hAnsi="Times New Roman"/>
          <w:b/>
          <w:i/>
          <w:sz w:val="20"/>
        </w:rPr>
      </w:pPr>
      <w:r>
        <w:rPr>
          <w:rFonts w:ascii="Times New Roman" w:hAnsi="Times New Roman"/>
          <w:b/>
          <w:i/>
          <w:sz w:val="20"/>
        </w:rPr>
        <w:t>Previous Imatinib Development for Pulmonary Arterial Hypertension Patients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pulmonary arterial hypertension, or PAH, a rare disease, subjects who remain symptomatic despite available therapies have a high morbidity and mortality. Though several therapies are now available, there is no cure for the disease, and there is no data supporting that the existing therapies, all of which are pulmonary vasodilators, halt progression or induce regression of the disease. Imatinib is a tyrosine kinase inhibitor that has been shown in animal models of pulmonary hypertension to induce disease reversal by an effect on platelet derived growth factor, or PDGF, which appears to be causal in the disease. After that discovery was made, several case reports and small case series of patients with advanced PAH failing combination pulmonary vasodilator therapy were published showing a dramatic effect of imatinib on stabilizing and improving these patients. This led Novartis to develop imatinib as a treatment of PAH.</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Novartis sponsored a Phase 2 proof-of-concept trial to evaluate the safety, tolerability, and efficacy of imatinib as an adjunct to PAH specific therapy in patients with PAH. This was a 24-week randomized, double-blind, placebo-controlled study of PAH subjects who remained symptomatic on one or more PAH therapies in WHO Functional Class (FC) II-IV. The Phase 2 trial of imatinib in PAH caused significant hemodynamic improvement in some patients but failed to meet the primary endpoint of an increase in 6-minute walk distance (22 meters, p=NS). Novartis then sponsored a Phase 3 trial (IMPRES) which met its primary endpoint of significant increase in 6-minute walk (32 meters, p=0.002), an effect maintained in the extension study in patients remaining on imatinib. However, the data were confounded by a high rate of dropouts in the patients randomized to imatinib attributed largely to gastric intolerance during the first eight weeks. The sponsor proposed consideration of a surrogate endpoint under the subpart H provision as a basis for approval but was denied. Consequently, Novartis chose to withdraw the Investigational New Drug application as the drug went off patent.</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 w:name="pgbrk6"/>
      <w:bookmarkStart w:id="40" w:name="pgbrk6"/>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1" w:name="ftr5"/>
      <w:bookmarkEnd w:id="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 w:name="pn3"/>
      <w:bookmarkEnd w:id="42"/>
      <w:r>
        <w:rPr>
          <w:rFonts w:ascii="Times New Roman" w:hAnsi="Times New Roman"/>
          <w:sz w:val="20"/>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3" w:name="pb5"/>
      <w:bookmarkStart w:id="44" w:name="pb5"/>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5" w:name="hdr6"/>
      <w:bookmarkEnd w:id="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b/>
          <w:i/>
          <w:sz w:val="20"/>
        </w:rPr>
      </w:pPr>
      <w:r>
        <w:rPr>
          <w:rFonts w:ascii="Times New Roman" w:hAnsi="Times New Roman"/>
          <w:b/>
          <w:i/>
          <w:sz w:val="20"/>
        </w:rPr>
        <w:t>Current Imatinib Development for Pulmonary Arterial Hypertension Patients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May 30, 2019, PHPM met with the FDA to discuss a proposal for a Phase 3 trial of imatinib for PAH. At that meeting, PHPM received agreement for a single Phase 3 trial using change in 6-minute walk distance as the primary endpoint (p&lt;0.05). PHPM also received agreement for submission under the 505(b)(2) regulatory pathway, and thereafter received orphan designation. In August of 2019, PHPM was given preliminary advice on its plans to submit an application for Breakthrough Therapy Designation. In July 2020, PHPM received agreement from the FDA for the development of a modified release formulation that would require only a small comparative PK/bioavailability study in 12 volunteers receiving a single dose of the modified release formulation to be compared to a single dose of the existing immediate release formulation. A Phase 3 study is planned with the modified release formulation of imatinib.</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Suppliers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Pursuant to the terms of our license for levosimendan, Orion is our sole manufacturing source for levosimendan. We intend to engage various third-party suppliers and contract manufacturing organizations for the supply and manufacture of imatinib for planned, upcoming clinical trials.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our employees, consultants, and advisors who we expect to work on our products to agree to disclose and assign to us all inventions conceived during the workday, developed using our property, or which relate to our business.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date, we own or in-license the rights to one U.S. patent and three foreign patents. In addition, we have three U.S. patent applications pending related to a product candidate and proprietary process, method and technology. Our issued and in-licensed patents, as well as our pending patents, expire between 2023 and 2039. </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w:t>
      </w:r>
    </w:p>
    <w:p>
      <w:pPr>
        <w:pStyle w:val="TextBody"/>
        <w:spacing w:before="0" w:after="0"/>
        <w:rPr/>
      </w:pPr>
      <w:r>
        <w:rPr/>
        <w:t> </w:t>
      </w:r>
    </w:p>
    <w:p>
      <w:pPr>
        <w:pStyle w:val="TextBody"/>
        <w:spacing w:before="0" w:after="0"/>
        <w:ind w:left="108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one U.S. patent (8,404,752), one Australian patent (209,271,530) and one European patent (EPO9798325.8) held jointly with Virginia Commonwealth University Intellectual Property Foundation for the treatment of traumatic brain injury; and</w:t>
      </w:r>
    </w:p>
    <w:p>
      <w:pPr>
        <w:pStyle w:val="TextBody"/>
        <w:spacing w:before="0" w:after="0"/>
        <w:rPr/>
      </w:pPr>
      <w:r>
        <w:rPr/>
        <w:t> </w:t>
      </w:r>
    </w:p>
    <w:p>
      <w:pPr>
        <w:pStyle w:val="TextBody"/>
        <w:spacing w:before="0" w:after="0"/>
        <w:ind w:left="108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one Israeli patent (215516) and numerous patent applications, including one U.S. patent application, for the formulation of perfluorocarbon emulsion with an average remaining life of approximately 13 years.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filed a patent application for a subcutaneous formulation of levosimendan that we have developed in collaboration with a formulation development partner. In addition, we have filed a patent application for the use of levosimendan in the treatment of PH-HFpEF patients based on several discoveries that have emerged from the HELP Study. In addition to levosimendan, we have recently acquired three patent applications for pharmaceutical compositions for the treatment of pulmonary hypertension with the use of imatinib.</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U.S. trademark registration for Simdax® is owned by Orion and is licensed to us for sales and marketing purposes for any intravenous pharmaceutical products containing levosimendan that are commercialized in the United States and Canada.</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Competition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pharmaceutical and biotechnology industries are intensely competitive. Many companies, including biotechnology, chemical and pharmaceutical companies, are actively engaged in activities similar to ours, including research and development of drugs for the treatment of rare medical conditions.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There are also academic institutions, governmental agencies and other research organizations that are conducting research in areas in which we are working. We expect to encounter significant competition for any of the pharmaceutical products we plan to develop.</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 w:name="pgbrk7"/>
      <w:bookmarkStart w:id="47" w:name="pgbrk7"/>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8" w:name="ftr6"/>
      <w:bookmarkEnd w:id="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 w:name="pn4"/>
      <w:bookmarkEnd w:id="49"/>
      <w:r>
        <w:rPr>
          <w:rFonts w:ascii="Times New Roman" w:hAnsi="Times New Roman"/>
          <w:sz w:val="20"/>
        </w:rPr>
        <w:t>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0" w:name="pb6"/>
      <w:bookmarkStart w:id="51" w:name="pb6"/>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2" w:name="hdr7"/>
      <w:bookmarkEnd w:id="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believe the concept of using levosimendan to treat patients with PH-HFpEF is novel. Because no therapies are approved to treat PH-HFpEF, our ability to succeed in the market is dependent on our ability to change the established practice paradigm, which is never an easy task. Key factors on which we will compete with regards to the development and marketing of levosimendan for the treatment of pulmonary hypertension include, among others, the ability to obtain adequate efficacy data, safety data, cost effectiveness data and hospital formulary approval, as well as sufficient distribution and handling. Furthermore, while we believe the mechanism of action of levosimendan is novel, other low-priced, generically available products possess some similar qualities, which could present competition in the form of therapeutic substitution.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use of imatinib to treat PAH has the potential to be the first disease modifying treatment of this disease. Novartis developed imatinib for PAH and conducted a Phase 3 trial in 2013 that succeeded in meeting its primary endpoint, however, the high number of dropouts of patients in the trial randomized to imatinib, due primarily to gastric intolerance, was the basis for the FDA and European Medicines Agency to request another trial. To address this, we are developing a delayed release oral formulation to bypass the stomach, as 98% of imatinib is absorbed in the small intestine. Two other companies are developing an inhaled route of administration as their strategy to mitigate against the gastric intolerance. We believe that our development plan has advantages in that we already know the effective dose of imatinib administered orally, as the systemic exposure from an inhaled route remains uncertain. Pulmonary vasodilators, the only approved medications for PAH, do not have disease modifying properties.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order to compete successfully in this and other therapeutic areas,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Government Regulation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manufacture and distribution of levosimendan will require the approval of United States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which can involve significant expense, to monitor for adverse effects.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effects of government regulations on our business are discussed in “</w:t>
      </w:r>
      <w:r>
        <w:rPr>
          <w:rFonts w:ascii="Times New Roman" w:hAnsi="Times New Roman"/>
          <w:i/>
          <w:sz w:val="20"/>
        </w:rPr>
        <w:t>Item 1A — Risk Factors — Risks Relating to Regulatory Matters</w:t>
      </w:r>
      <w:r>
        <w:rPr>
          <w:rFonts w:ascii="Times New Roman" w:hAnsi="Times New Roman"/>
          <w:sz w:val="20"/>
        </w:rPr>
        <w:t>.”</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Summary of Risk Factors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business, financial condition, operating results and cash flows are subject to numerous risks and uncertainties that are summarized below. The summary of risk factors described below should be read together with the more detailed discussion of risks set forth in “</w:t>
      </w:r>
      <w:r>
        <w:rPr>
          <w:rFonts w:ascii="Times New Roman" w:hAnsi="Times New Roman"/>
          <w:i/>
          <w:sz w:val="20"/>
        </w:rPr>
        <w:t>Item 1A — Risk Factors”</w:t>
      </w:r>
      <w:r>
        <w:rPr>
          <w:rFonts w:ascii="Times New Roman" w:hAnsi="Times New Roman"/>
          <w:sz w:val="20"/>
        </w:rPr>
        <w:t xml:space="preserve"> and elsewhere in this Annual Report on Form 10-K.</w:t>
      </w:r>
    </w:p>
    <w:p>
      <w:pPr>
        <w:pStyle w:val="TextBody"/>
        <w:spacing w:before="0" w:after="0"/>
        <w:rPr/>
      </w:pPr>
      <w:r>
        <w:rPr/>
        <w:t> </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have a limited operating history, and we expect a number of factors to cause our operating results to fluctuate on a quarterly and annual basis, which may make it difficult to predict our future performance.</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have incurred losses since our inception, expect to continue to incur losses in the foreseeable future, and may never become profitable.</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color w:val="000000"/>
          <w:sz w:val="20"/>
        </w:rPr>
      </w:pPr>
      <w:r>
        <w:rPr>
          <w:rFonts w:ascii="Times New Roman" w:hAnsi="Times New Roman"/>
          <w:color w:val="000000"/>
          <w:sz w:val="20"/>
        </w:rPr>
        <w:t>Our independent registered public accounting firm auditors’ report includes an explanatory paragraph stating that there is substantial doubt about our ability to continue as a going concern.</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may need additional funding and if we are unable to raise capital when needed, we would be forced to delay, reduce or eliminate our product development programs.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A pandemic, epidemic, or outbreak of an infectious disease, such as COVID-19, or coronavirus, may materially and adversely affect our business and our financial results.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Our PPP Loan may not be forgiven or may subject us to challenges and investigations regarding qualification for the loan.</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are limited in the number of products we can simultaneously pursue and therefore our survival depends on our success with a small number of product opportunities.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currently have no approved drug products for sale, and we cannot guarantee that we will ever have marketable drug products.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The development of our product candidates is subject to a high level of technological risk.</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are required to conduct additional clinical trials in the future, which are expensive and time consuming, and the outcome of the trials is uncertain.</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The market may not accept our products.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Delays in the enrollment and completion of clinical testing could result in increased costs to us and delay or limit our ability to obtain regulatory approval for our product candidates.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Our activities are and will continue to be subject to extensive government regulation, which is expensive and time consuming, and we will not be able to sell our products without regulatory approval.</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must continually monitor the safety of our products once approved and marketed for signs that their use may elicit serious and unexpected side effects and adverse events, which could jeopardize our ability to continue marketing the products. We may also be required to conduct post-approval clinical studies as a condition to licensing a product.</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After our products are commercialized, we expect to spend considerable time and money complying with federal and state laws and regulations governing their sale, and, if we are unable to fully comply with such laws and regulations, we could face substantial penalties.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Health care reform and controls on health care spending may limit the price we can charge for our products and the amount we can sell.</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Uncertainty of third-party reimbursement could affect our future results of operations.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Governments outside the United States tend to impose strict price controls and reimbursement approval policies, which may adversely affect our prospects for generating revenue outside the United States.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depend on third parties to manufacture our products.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depend on the services of a limited number of key personnel.</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have no experience in the sale and marketing of medical products.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It is difficult and costly to protect our proprietary rights, and we may not be able to ensure their protection.</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rely on confidentiality agreements that, if breached, may be difficult to enforce and could have a material adverse effect on our business and competitive position.</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may incur substantial costs as a result of litigation or other proceedings relating to patent and other intellectual property rights and we may be unable to protect our rights to, or use, our technology.</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Our collaborations with outside scientists and consultants may be subject to restriction and change.</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Under current law, we may not be able to enforce all employees’ covenants not to compete and therefore may be unable to prevent our competitors from benefiting from the expertise of some of our former employees.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may infringe or be alleged to infringe intellectual property rights of third parties.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Product liability lawsuits against us could cause us to incur substantial liabilities, limit sales of our existing products and limit commercialization of any products that we may develop.</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Our business and operations would suffer in the event of computer system failures, cyber-attacks or deficiencies in our cyber-security.</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The issuance of shares of our common stock upon conversion of outstanding Series B convertible preferred stock issued in connection with our acquisition of PHPM would result in substantial dilution to the interests of our other stockholders.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Our share price has been volatile and may continue to be volatile which may subject us to securities class action litigation in the future.</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color w:val="000000"/>
          <w:sz w:val="20"/>
        </w:rPr>
      </w:pPr>
      <w:r>
        <w:rPr>
          <w:rFonts w:ascii="Times New Roman" w:hAnsi="Times New Roman"/>
          <w:color w:val="000000"/>
          <w:sz w:val="20"/>
        </w:rPr>
        <w:t>Our failure to maintain compliance with Nasdaq’s continued listing requirements could result in the delisting of our common stock.</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color w:val="000000"/>
          <w:sz w:val="20"/>
        </w:rPr>
      </w:pPr>
      <w:r>
        <w:rPr>
          <w:rFonts w:ascii="Times New Roman" w:hAnsi="Times New Roman"/>
          <w:color w:val="000000"/>
          <w:sz w:val="20"/>
        </w:rPr>
        <w:t>We have a significant securityholder, which could exert substantial influence over our business.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color w:val="000000"/>
          <w:sz w:val="20"/>
        </w:rPr>
      </w:pPr>
      <w:r>
        <w:rPr>
          <w:rFonts w:ascii="Times New Roman" w:hAnsi="Times New Roman"/>
          <w:color w:val="000000"/>
          <w:sz w:val="20"/>
        </w:rPr>
        <w:t>Our bylaws contain an exclusive forum provision, which could limit our stockholders’ ability to obtain a favorable judicial forum for disputes with us or our directors, officers, employees, or agents.</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are likely to attempt to raise additional capital through issuances of debt or equity securities, which may cause our stock price to decline, dilute the ownership interests of our existing stockholders, and/or limit our financial flexibility.</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Employees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believe that our success will be based on, among other things, the quality of our clinical programs, our ability to invent and develop superior and innovative technologies and products, and our ability to attract and retain capable management and other personnel. We have assembled a high-quality team of clinical development managers and executives with significant experience in the biotechnology and pharmaceutical industries.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we had nine full-time employees and one part-time employee. In addition to our employees, we also use the service and support of outside consultants and advisors. None of our employees are represented by a union, and we believe relationships with our employees are good.</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Available Information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website address is www.tenaxthera.com, and our investor relations website is located at http://investors.tenaxthera.com. Information on our website is not incorporated by reference herein. Copies of our annual reports on Form 10-K, quarterly reports on Form 10-Q, current reports on Form 8-K and our Proxy Statements for our annual meetings of stockholders, and any amendments to those reports, as well as Section 16 reports filed by our insiders, are available free of charge on our website as soon as reasonably practicable after we file the reports with, or furnish the reports to, the Securities and Exchange Commission, or the SEC. Our SEC filings are also publicly available on the SEC’s website located at www.sec.gov, which contains reports, proxy and information statements, and other information regarding issuers that file electronically with the SEC.</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1A—</w:t>
      </w:r>
      <w:bookmarkStart w:id="53" w:name="RISK"/>
      <w:bookmarkEnd w:id="53"/>
      <w:r>
        <w:rPr>
          <w:rFonts w:ascii="Times New Roman" w:hAnsi="Times New Roman"/>
          <w:b/>
          <w:sz w:val="20"/>
        </w:rPr>
        <w:t>RISK FACTORS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Related to Our Financial Position and Need for Additional Capital</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have a limited operating history, and we expect a number of factors to cause our operating results to fluctuate on a quarterly and annual basis, which may make it difficult to predict our future performance.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operations, to date, have been primarily limited to organizing and staffing our company, licensing our technology from Orion and undertaking preclinical studies and clinical trials of our product candidates. We have not yet obtained regulatory approvals for any of our clinical product candidates. Consequently, any predictions you make about our future success or viability may not be as accurate as they could be if we had a longer operating history.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Specifically, 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ability to obtain additional funding to develop our product candidates, and any further product candidate which we may develop or in-license in the future;</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need to obtain regulatory approval of our product candidates;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potential risks related to any collaborations we may enter into for our product candidates;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delays in the commencement, enrollment and completion of clinical testing, as well as the analysis and reporting of results from such clinical testing;</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success of clinical trials of our product candidates;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any delays in regulatory review and approval of product candidates in development;</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ability to establish an effective sales and marketing infrastructure;</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competition from existing products or new products that may emerge;</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ability to receive regulatory approval or commercialize our products;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potential side effects of our product candidates that could delay or prevent commercialization;</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potential product liability claims and adverse events;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potential liabilities associated with hazardous materials;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ability to maintain adequate insurance policies;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dependency on third-party manufacturers to supply or manufacture our products;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ability to establish or maintain collaborations, licensing or other arrangements;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ability, our partners’ abilities, and third parties’ abilities to protect and assert intellectual property rights;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costs related to and outcomes of potential litigation;</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compliance with obligations under intellectual property licenses with third parties;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ability to adequately support future growth;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ability to attract and retain key personnel to manage our business effectively.</w:t>
      </w: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 w:name="pgbrk8"/>
      <w:bookmarkStart w:id="55" w:name="pgbrk8"/>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6" w:name="ftr7"/>
      <w:bookmarkEnd w:id="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7" w:name="pn5"/>
      <w:bookmarkEnd w:id="57"/>
      <w:r>
        <w:rPr>
          <w:rFonts w:ascii="Times New Roman" w:hAnsi="Times New Roman"/>
          <w:sz w:val="20"/>
        </w:rPr>
        <w:t>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8" w:name="pb7"/>
      <w:bookmarkStart w:id="59" w:name="pb7"/>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0" w:name="hdr8"/>
      <w:bookmarkEnd w:id="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Due to the various factors mentioned above, and others, the results of any prior quarterly or annual periods should not be relied upon as indications of our future operating performance.</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have incurred losses since our inception, expect to continue to incur losses in the foreseeable future, and may never become profitable.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incurred losses since inception. For the years ended December 31, 2020 and 2019, we incurred net losses of $9.9 million and $8.4 million, respectively. As of December 31, 2020, we had an accumulated deficit of $246.0 million. We have funded our operations since September 1990 principally through the issuance of debt and equity securities and loans from stockholders.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as well as identifying and developing other potential product candidates, and as a result, we will need to generate significant net product sales, royalty and other revenues to achieve profitability.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b/>
          <w:i/>
          <w:color w:val="000000"/>
          <w:sz w:val="20"/>
        </w:rPr>
        <w:t>Our independent registered public accounting firm auditors</w:t>
      </w:r>
      <w:r>
        <w:rPr>
          <w:rFonts w:ascii="Times New Roman" w:hAnsi="Times New Roman"/>
          <w:color w:val="000000"/>
          <w:sz w:val="20"/>
        </w:rPr>
        <w:t>’ </w:t>
      </w:r>
      <w:r>
        <w:rPr>
          <w:rFonts w:ascii="Times New Roman" w:hAnsi="Times New Roman"/>
          <w:b/>
          <w:i/>
          <w:color w:val="000000"/>
          <w:sz w:val="20"/>
        </w:rPr>
        <w:t>report includes an explanatory paragraph stating that there is substantial doubt about our ability to continue as a going concern</w:t>
      </w:r>
      <w:r>
        <w:rPr>
          <w:rFonts w:ascii="Times New Roman" w:hAnsi="Times New Roman"/>
          <w:i/>
          <w:color w:val="000000"/>
          <w:sz w:val="20"/>
        </w:rPr>
        <w: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consolidated financial statements included in this Annual Report on Form 10-K includes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 Our consolidated financial statements included in this Annual Report on Form 10-K have been prepared assuming we will continue as a going concern and do not include any adjustments that might result from uncertainty about our ability to continue as a going concern.</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may need additional funding and if we are unable to raise capital when needed, we would be forced to delay, reduce or eliminate our product development programs.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Developing biopharmaceutical products, including conducting preclinical studies and clinical trials and establishing manufacturing capabilities, is expensive. We expect our research and development expenses to increase in connection with our ongoing activities. In addition, our expenses could increase beyond expectations if applicable regulatory authorities, including the FDA, require that we perform additional studies to those that we currently anticipate, in which case the timing of any potential product approval may be delayed. As of December 31, 2020, we had $6.7 million of cash and cash equivalents, including the fair value of our marketable securities on hand. Based on our current operating plans, we believe that our existing cash and cash equivalents will be sufficient to fund our projected operating requirements through the third quarter of calendar year 2021. We will need substantial additional capital in the future in order to complete the regulatory approval and commercialization of levosimendan and to fund the development and commercialization of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 w:name="pgbrk9"/>
      <w:bookmarkStart w:id="62" w:name="pgbrk9"/>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3" w:name="ftr8"/>
      <w:bookmarkEnd w:id="6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 w:name="pn6"/>
      <w:bookmarkEnd w:id="64"/>
      <w:r>
        <w:rPr>
          <w:rFonts w:ascii="Times New Roman" w:hAnsi="Times New Roman"/>
          <w:sz w:val="20"/>
        </w:rPr>
        <w:t>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5" w:name="pb8"/>
      <w:bookmarkStart w:id="66" w:name="pb8"/>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7" w:name="hdr9"/>
      <w:bookmarkEnd w:id="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forecast of the period of time through which our financial resources will be adequate to support our operations is a forward-looking statement and involves risks and uncertainties, and actual results could vary as a result of a number of factors, including the factors discussed elsewhere in this “</w:t>
      </w:r>
      <w:r>
        <w:rPr>
          <w:rFonts w:ascii="Times New Roman" w:hAnsi="Times New Roman"/>
          <w:i/>
          <w:sz w:val="20"/>
        </w:rPr>
        <w:t>Risk Factors</w:t>
      </w:r>
      <w:r>
        <w:rPr>
          <w:rFonts w:ascii="Times New Roman" w:hAnsi="Times New Roman"/>
          <w:sz w:val="20"/>
        </w:rPr>
        <w:t>” section. We have based this estimate on assumptions that may prove to be wrong, and we could utilize our available capital resources sooner than we currently expect. Our future funding requirements will depend on many factors, including, but not limited to:</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scope, rate of progress and cost of our clinical trials and other research and development activities;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costs and timing of regulatory approval;</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costs of filing, prosecuting, defending and enforcing any patent claims and other intellectual property rights;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effect of competing technological and market developments;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terms and timing of any collaboration, licensing or other arrangements that we may establish;</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cost and timing of completion of clinical and commercial-scale manufacturing activities;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costs of establishing sales, marketing and distribution capabilities for any product candidates for which we may receive regulatory approval.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A pandemic, epidemic, or outbreak of an infectious disease, such as COVID-19, or coronavirus, may materially and adversely affect our business and our financial results.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spread of COVID-19 has affected segments of the global economy and may affect our operations, including the potential interruption of our clinical trial activities and our supply chain. The continued spread of COVID-19 may result in a period of business disruption, including delays in our clinical trials or delays or disruptions in our supply chain. In addition, there could be a potential effect of COVID-19 to the business at FDA or other health authorities, which could result in delays of reviews and approvals, including with respect to our product candidates.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continued spread of COVID-19 globally could adversely affect our clinical trial operations in the United States and elsewhere, including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initiate and/or complete planned clinical and preclinical studies in the future. COVID-19 may also affect employees of third-party clinical research organizations, or CROs, located in affected geographies that we rely upon to carry out our clinical trials, which could result in inefficiencies due to reductions in staff and disruptions to work environments.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spread of COVID-19, or another infectious disease, could also negatively affect the operations at our third-party manufacturers, which could result in delays or disruptions in the supply of our product candidates. In addition, we have taken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Our PPP Loan may not be forgiven or may subject us to challenges and investigations regarding qualification for the loan.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On April 30, 2020, we received a Paycheck Protection Program loan, or PPP Loan, in the principal amount of $244,657 pursuant to the Paycheck Protection Program under the </w:t>
      </w:r>
      <w:r>
        <w:rPr>
          <w:rFonts w:ascii="Times New Roman" w:hAnsi="Times New Roman"/>
          <w:color w:val="000000"/>
          <w:sz w:val="20"/>
        </w:rPr>
        <w:t>Coronavirus Aid, Relief, and Economic Security Act, or</w:t>
      </w:r>
      <w:r>
        <w:rPr>
          <w:rFonts w:ascii="Times New Roman" w:hAnsi="Times New Roman"/>
          <w:sz w:val="20"/>
        </w:rPr>
        <w:t xml:space="preserve"> CARES Act, as administered by the </w:t>
      </w:r>
      <w:r>
        <w:rPr>
          <w:rFonts w:ascii="Times New Roman" w:hAnsi="Times New Roman"/>
          <w:color w:val="000000"/>
          <w:sz w:val="20"/>
        </w:rPr>
        <w:t>U.S. Small Business Administration, or</w:t>
      </w:r>
      <w:r>
        <w:rPr>
          <w:rFonts w:ascii="Times New Roman" w:hAnsi="Times New Roman"/>
          <w:sz w:val="20"/>
        </w:rPr>
        <w:t xml:space="preserve"> SBA. The PPP Loan was disbursed by First Horizon Bank, or the Lender, matures in April 2022, and has an annual interest rate of 1.00%. Monthly principal and interest payments are deferred for sixteen months. Beginning September 30, 2021, the Company is required to make monthly payments of principal and interest of approximately $31,100 to the Lender. Pursuant to the terms of the CARES Act, we may apply for and be granted forgiveness for all or a portion of the PPP Loan. Such forgiveness will be determined, subject to limitations, based on the use of the loan proceeds for qualifying expenses, which include payroll costs, rent, and utility costs. We cannot provide any assurance that we will be eligible for loan forgiveness, that we will ultimately apply for forgiveness, or that any amount of the PPP Loan will ultimately be forgiven by the SBA.</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 w:name="pgbrk10"/>
      <w:bookmarkStart w:id="69" w:name="pgbrk10"/>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0" w:name="ftr9"/>
      <w:bookmarkEnd w:id="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 w:name="pn7"/>
      <w:bookmarkEnd w:id="71"/>
      <w:r>
        <w:rPr>
          <w:rFonts w:ascii="Times New Roman" w:hAnsi="Times New Roman"/>
          <w:sz w:val="20"/>
        </w:rPr>
        <w:t>10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2" w:name="pb9"/>
      <w:bookmarkStart w:id="73" w:name="pb9"/>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4" w:name="hdr10"/>
      <w:bookmarkEnd w:id="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Additionally, the PPP Loan application required us to certify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Paycheck Protection Program of the CARES Act, the certification described above does not contain any objective criteria and is subject to interpretation. In addition, the SBA has stated that it is unlikely that a public company with substantial market value and access to capital markets will be able to make the required certification in good faith. The lack of clarity regarding loan eligibility under the program has resulted in significant media coverage and controversy with respect to public companies applying for and receiving loans. If, despite our good faith belief that we satisfied all eligibility requirements for the PPP Loan, we are found to have been ineligible to receive the PPP Loan or in violation of any of the laws or regulations that apply to us in connection with the PPP Loan, including the False Claims Act, we may be subject to penalties, including significant civil, criminal and administrative penalties and could be required to repay the PPP Loan. In the event that we seek forgiveness of all or a portion of the PPP Loan, we will also be required to make certain certifications which will be subject to audit and review by governmental entities and could subject us to significant penalties and liabilities if found to be inaccurate. In addition, our receipt of the PPP Loan may result in adverse publicity and damage to our reputation, and a review or audit by the SBA or other government entity or claims under the False Claims Act could consume significant financial and management resources. Any of these events could harm our business, results of operations and financial condition.</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Related to Commercialization and Product Development</w:t>
      </w:r>
    </w:p>
    <w:p>
      <w:pPr>
        <w:pStyle w:val="TextBody"/>
        <w:spacing w:before="0" w:after="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are limited in the number of products we can simultaneously pursue and therefore our survival depends on our success with a small number of product opportunities.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limited financial resources, so at present we are primarily focusing these resources on developing levosimendan for the treatment of PH-HFpEF and imatinib for the treatment of PAH, in addition to exploring strategic alternatives in order to maximize stockholder value. At present, we intend to commit most of our resources to advancing our existing product candidates to the point they receive regulatory approval for the treatment of various pulmonary hypertension indications. If as a consequence of the results of our planned Phase 3 trials, or the results of prior clinical trials performed using levosimendan or imatinib, we are unable to receive regulatory approval of one or both of our existing product candidates, then we may not have resources to pursue development of any other products and our business could terminate.</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currently have no approved drug products for sale, and we cannot guarantee that we will ever have marketable drug products.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currently have no approved drug products for sale. The research, testing, manufacturing, labeling, approval, selling, marketing, and distribution of drug products are subject to extensive regulation by the FDA and other regulatory authorities in the United States and other countries, with regulations differing from country to country. We are not permitted to market our product candidates in the United States until we receive approval of a New Drug Application, or NDA, from the FDA for each product candidate. We have not submitted an NDA or received marketing approval for any of our product candidates, and obtaining approval of an NDA is a lengthy, expensive and uncertain process. In addition, markets outside of the United States also have requirements for approval of drug candidates which we must comply with prior to marketing. Accordingly, we cannot guarantee that we will ever have marketable drug products.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Prior to obtaining approval to commercialize a product candidate in the United States or abroad, we or our collaborators must demonstrate with substantial evidence from well-controlled clinical trials, and to the satisfaction of the FDA,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Additionally, the FDA may also require us to conduct additional preclinical studies or clinical trials for our product candidates either prior to or post-approval, or it may object to elements of our clinical development program.</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 w:name="pgbrk11"/>
      <w:bookmarkStart w:id="76" w:name="pgbrk11"/>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7" w:name="ftr10"/>
      <w:bookmarkEnd w:id="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8" w:name="pn8"/>
      <w:bookmarkEnd w:id="78"/>
      <w:r>
        <w:rPr>
          <w:rFonts w:ascii="Times New Roman" w:hAnsi="Times New Roman"/>
          <w:sz w:val="20"/>
        </w:rPr>
        <w:t>11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9" w:name="pb10"/>
      <w:bookmarkStart w:id="80" w:name="pb10"/>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1" w:name="hdr11"/>
      <w:bookmarkEnd w:id="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The development of our product candidates is subject to a high level of technological risk.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devoted, and will continue to devote, a substantial portion of our financial and managerial resources to pursue Phase 3 clinical trials for our product candidates. The biomedical field has undergone rapid and significant technological changes. Technological developments may result in our products becoming obsolete or non-competitive before we are able to recover any portion of the research and development and other expenses we have incurred to develop and clinically test levosimendan. As our opportunity to generate substantial product revenues within the next three to four years is most likely dependent on successful testing and commercialization of levosimendan for pulmonary hypertension, any such occurrence would have a material adverse effect on our operations and could result in the cessation of our business.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are required to conduct additional clinical trials in the future, which are expensive and time consuming, and the outcome of the trials is uncertain.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expect to commit a substantial portion of our financial and business resources over the next three years to clinical testing of our product candidates and advancing these products to regulatory approval for use in one or more medical applications. All of these clinical trials and testing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assure you that we will be able to complete our clinical trials successfully or obtain FDA or other governmental or regulatory approval of our product candidates, or that such approval, if obtained, will not include limitations on the indicated uses for which our product candidiates may be marketed.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setbacks or jeopardize our ability to continue as a going concern.</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The market may not accept our products.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Even if regulatory approval is obtained, there is a risk that the efficacy and pricing of our products, considered in relation to our products’ expected benefits, will not be perceived by health care providers and third-party payers as cost-effective, and that the price of our products will not be competitive with other new technologies or products. Our results of operations may be adversely affected if the price of our products is not considered cost-effective or if our products do not otherwise achieve market acceptance.</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may enter into collaborations with third parties to develop and commercialize future product candidates. Our dependence on future partners for development and commercialization of our product candidates would subject us to a number of risks, including the following:</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we may not be able to control the amount and timing of resources that our partners may devote to the development or commercialization of our product candidates or to their marketing and distribution;</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partners may experience financial difficulties;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business combinations or significant changes in a partner’s business strategy may adversely affect a partner’s willingness or ability to meet its obligations under any arrangement;</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a partner could independently move forward with a competing product candidate developed either independently or in collaboration with others, including our competitors;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collaborations with our partners may be terminated or allowed to expire, which would delay the development and may increase the cost of developing our product candidates.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 w:name="pgbrk12"/>
      <w:bookmarkStart w:id="83" w:name="pgbrk12"/>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4" w:name="ftr11"/>
      <w:bookmarkEnd w:id="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 w:name="pn9"/>
      <w:bookmarkEnd w:id="85"/>
      <w:r>
        <w:rPr>
          <w:rFonts w:ascii="Times New Roman" w:hAnsi="Times New Roman"/>
          <w:sz w:val="20"/>
        </w:rPr>
        <w:t>12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86" w:name="pb11"/>
      <w:bookmarkStart w:id="87" w:name="pb11"/>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8" w:name="hdr12"/>
      <w:bookmarkEnd w:id="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Delays in the enrollment and completion of clinical testing could result in increased costs to us and delay or limit our ability to obtain regulatory approval for our product candidates.</w:t>
      </w:r>
    </w:p>
    <w:p>
      <w:pPr>
        <w:pStyle w:val="TextBody"/>
        <w:spacing w:before="0" w:after="0"/>
        <w:rPr/>
      </w:pPr>
      <w:r>
        <w:rPr/>
        <w:t> </w:t>
      </w:r>
    </w:p>
    <w:p>
      <w:pPr>
        <w:pStyle w:val="TextBody"/>
        <w:spacing w:before="0" w:after="0"/>
        <w:ind w:left="0" w:right="0" w:hanging="0"/>
        <w:jc w:val="left"/>
        <w:rPr/>
      </w:pPr>
      <w:r>
        <w:rPr>
          <w:rFonts w:ascii="Times New Roman" w:hAnsi="Times New Roman"/>
          <w:sz w:val="20"/>
        </w:rPr>
        <w:t>Delays in the enrollment and completion of clinical testing could significantly affect our ability to gain FDA approval of current product candidates and could significantly increase our future product development costs. The completion of clinical trials requires us to identify and maintain a sufficient number of trial sites, many of which may already be engaged in other clinical trial programs for the same indication as our product candidates or may be required to withdraw from our clinical trial as a result of changing standards of care or may become ineligible to participate in clinical studies. The enrollment and completion of clinical trials can be delayed for a variety of other reasons, including delays related to</w:t>
      </w:r>
      <w:r>
        <w:rPr>
          <w:rFonts w:ascii="Times New Roman" w:hAnsi="Times New Roman"/>
        </w:rPr>
        <w:t>:</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reaching agreements on acceptable terms with prospective trial sites, the terms of which can be subject to extensive negotiation and may vary significantly among trial sites;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obtaining institutional review board, or IRB, approval to conduct a clinical trial at numerous prospective sites;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recruiting and enrolling patients to participate in clinical trials for a variety of reasons, including meeting the enrollment criteria for our study and competition from other clinical trial programs for the same indication as our product candidates;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maintaining and supplying clinical trial material on a timely basis;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collecting, analyzing and reporting final data from the clinical trials.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addition, a clinical trial may be suspended or terminated by us, the FDA or other regulatory authorities due to a number of factors, including:</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failure to conduct the clinical trial in accordance with regulatory requirements or our clinical protocols;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inspection of the clinical trial operations or trial sites by the FDA or other regulatory authorities resulting in the imposition of a clinical hold;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unforeseen safety issues or any determination that a trial presents unacceptable health risks;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lack of adequate funding to continue the clinical trial, including unforeseen costs due to enrollment delays, requirements to conduct additional trials and studies and increased expenses associated with the services of our CROs and other third parties.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able to ultimately commercialize our product candidates, other therapies for the same or similar indications may have been introduced to the market and established a competitive advantage.</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Relating to Regulatory Matters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Our activities are and will continue to be subject to extensive government regulation, which is expensive and time consuming, and we will not be able to sell our products without regulatory approval.</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development, marketing and distribution of levosimendan is, and will continue to be, subject to extensive regulation, monitoring and approval by the FDA and other regulatory agencies. There are significant risks at each stage of the regulatory scheme.</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 w:name="pgbrk13"/>
      <w:bookmarkStart w:id="90" w:name="pgbrk13"/>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1" w:name="ftr12"/>
      <w:bookmarkEnd w:id="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 w:name="pn10"/>
      <w:bookmarkEnd w:id="92"/>
      <w:r>
        <w:rPr>
          <w:rFonts w:ascii="Times New Roman" w:hAnsi="Times New Roman"/>
          <w:sz w:val="20"/>
        </w:rPr>
        <w:t>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3" w:name="pb12"/>
      <w:bookmarkStart w:id="94" w:name="pb12"/>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5" w:name="hdr13"/>
      <w:bookmarkEnd w:id="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i/>
          <w:sz w:val="20"/>
        </w:rPr>
      </w:pPr>
      <w:r>
        <w:rPr>
          <w:rFonts w:ascii="Times New Roman" w:hAnsi="Times New Roman"/>
          <w:i/>
          <w:sz w:val="20"/>
        </w:rPr>
        <w:t>Product approval stage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During the product approval stage, we attempt to prove the safety and efficacy of our product for its indicated uses. There are numerous problems that could arise during this stage, including:</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data obtained from laboratory testing and clinical trials are susceptible to varying interpretations, which could delay, limit or prevent FDA and other regulatory approvals;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adverse events could cause the FDA and other regulatory authorities to halt trials;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at any time, the FDA and other regulatory agencies could change policies and regulations that could result in delay and perhaps rejection of our products;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if a prolonged government shutdown occurs, it could significantly impact the ability of the FDA to timely review and process our regulatory submissions;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even after extensive testing and clinical trials, there is no assurance that regulatory approval will ever be obtained for any of our products.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i/>
          <w:sz w:val="20"/>
        </w:rPr>
      </w:pPr>
      <w:r>
        <w:rPr>
          <w:rFonts w:ascii="Times New Roman" w:hAnsi="Times New Roman"/>
          <w:i/>
          <w:sz w:val="20"/>
        </w:rPr>
        <w:t>Post-commercialization stage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levosimendan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must continually monitor the safety of our products once approved and marketed for signs that their use may elicit serious and unexpected side effects and adverse events, which could jeopardize our ability to continue marketing the products. We may also be required to conduct post-approval clinical studies as a condition to licensing a product.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with all pharmaceutical products, the use of our products could sometimes produce undesirable side effects or adverse reactions or events (referred to cumulatively as adverse events). For the most part, we would expect these adverse events to be known and occur at some predicted frequency. When adverse events are reported to us, we will be required to investigate each event and circumstances surrounding it to determine whether it was caused by our product and whether it implies that a previously unrecognized safety issue exists. We will also be required to periodically report summaries of these events to the applicable regulatory authorities.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addition, the use of our products could be associated with serious and unexpected adverse events, or with less serious reactions at a greater than expected frequency. This may be especially true when our products are used in critically ill or otherwise compromised patient populations. When these unexpected events are reported to us, we will be required to make a thorough investigation to determine causality and implications for product safety. These events must also be specifically reported to the applicable regulatory authorities. If our evaluation concludes, or regulatory authorities perceive, that there is an unreasonable risk associated with the product, we would be obligated to withdraw the impacted lot(s) of that product. Furthermore, an unexpected adverse event of a new product could be recognized only after extensive use of the product, which could expose us to product liability risks, enforcement action by regulatory authorities and damage to our reputation and public image.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serious adverse finding concerning the risk of our products by any regulatory authority could adversely affect our reputation, business and financial results.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When a new product is approved, the FDA or other regulatory authorities may require post-approval clinical trials, sometimes called Phase 4 clinical trials. If the results of such trials are unfavorable, this could result in the loss of the license to market the product, with a resulting loss of sales.</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 w:name="pgbrk14"/>
      <w:bookmarkStart w:id="97" w:name="pgbrk14"/>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8" w:name="ftr13"/>
      <w:bookmarkEnd w:id="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 w:name="pn11"/>
      <w:bookmarkEnd w:id="99"/>
      <w:r>
        <w:rPr>
          <w:rFonts w:ascii="Times New Roman" w:hAnsi="Times New Roman"/>
          <w:sz w:val="20"/>
        </w:rPr>
        <w:t>14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0" w:name="pb13"/>
      <w:bookmarkStart w:id="101" w:name="pb13"/>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2" w:name="hdr14"/>
      <w:bookmarkEnd w:id="1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After our products are commercialized, we expect to spend considerable time and money complying with federal and state laws and regulations governing their sale, and, if we are unable to fully comply with such laws and regulations, we could face substantial penalties.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Health care providers, physicians and others will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federal anti-kickback statute is a criminal statute that makes it a felony for individuals or entities knowingly and willfully to offer or pay, or to solicit or receive, direct or indirect remuneration, in order to induce the purchase, order, lease, or recommending of items or services, or the referral of patients for services, that are reimbursed under a federal health care program, including Medicare and Medicaid;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federal False Claims Act imposes liability on any person who knowingly submits, or causes another person or entity to submit, a false claim for payment of government funds, with penalties that include three times the government’s damages plus civil penalties for each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Health Insurance Portability and Accountability Act imposes obligations, including mandatory contractual terms, with respect to safeguarding the privacy, security and transmission of individually identifiable health information;</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Social Security Act contains numerous provisions allowing the imposition of a civil monetary penalty, a monetary assessment, exclusion from the Medicare and Medicaid programs, or some combination of these penalties;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many states have analogous state laws and regulations, such as state anti-kickback and false claims laws, which, in some cases, impose more strict requirements than the federal laws and may require pharmaceutical companies to comply with certain price reporting and other compliance requirements.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failure to comply with any of these federal and state health care laws and regulations, or health care laws in foreign jurisdictions, could have a material adverse effect on our business, financial condition, result of operations and cash flows.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Health care reform and controls on health care spending may limit the price we can charge for our products and the amount we can sell.</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a result of the Patient Protection and Affordable Care Act and the Health Care and Education Affordability Reconciliation Act of 2010, collectively, the ACA, enacted in March 2010, substantial changes have occurred and are expected to continue to occur in the system for paying for health care in the United States, including changes made in order to extend medical benefits to those who currently lack insurance coverage. This comprehensive health care reform legislation also included provisions to control health care costs and improve health care quality. Together with ongoing statutory and budgetary policy developments at a federal level, this health care reform legislation could include changes in Medicare and Medicaid payment policies and other health care delivery administrative reforms that could potentially negatively impact our business. Because not all the administrative rules implementing health care reform under the legislation have been finalized, and because of ongoing federal fiscal budgetary pressures not yet resolved for federal health programs, the full impact of the ACA and of further statutory actions to reform healthcare payment on our business is unknown, but there can be no assurances that health care reform legislation will not adversely impact either our operational results or the manner in which we operate our business. There have been judicial and Congressional challenges to the ACA and there may be additional challenges and amendments to the ACA in the future. We expect that the ACA, as well as other healthcare reform measures that may be adopted in the future, may result in more rigorous coverage criteria and lower reimbursement, and in additional downward pressure on the price that we receive for any approved product. Cost of care could be reduced by reducing the level of reimbursement for medical services or products (including those biopharmaceuticals that we intend to produce and market), or by restricting coverage (and, thereby, utilization) of medical services or products. In either case, a reduction in the utilization of, or reimbursement for, our products could have a materially adverse impact on our financial performance. Moreover, recently there has been heightened governmental scrutiny over the manner in which manufacturers set prices for their commercial products. We cannot predict what healthcare reform initiatives may be adopted in the future.</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 w:name="pgbrk15"/>
      <w:bookmarkStart w:id="104" w:name="pgbrk15"/>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5" w:name="ftr14"/>
      <w:bookmarkEnd w:id="1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6" w:name="pn12"/>
      <w:bookmarkEnd w:id="106"/>
      <w:r>
        <w:rPr>
          <w:rFonts w:ascii="Times New Roman" w:hAnsi="Times New Roman"/>
          <w:sz w:val="20"/>
        </w:rPr>
        <w:t>15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7" w:name="pb14"/>
      <w:bookmarkStart w:id="108" w:name="pb14"/>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9" w:name="hdr15"/>
      <w:bookmarkEnd w:id="10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Uncertainty of third-party reimbursement could affect our future results of operations.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Sales of medical products largely depend on the reimbursement of patients’ medical expenses by governmental health care programs and private health insurers. We will be required to report detailed pricing information, net of included discounts, rebates and other concessions, to the Centers for Medicare and Medicaid Services, or CMS, for the purpose of calculating national reimbursement levels, certain federal prices, and certain federal rebate obligations. If we report pricing information that is not accurate to the federal government, we could be subject to fines and other sanctions that could adversely affect our business. In addition, the government could change its calculation of reimbursement, federal prices, or federal rebate obligations which could negatively impact us. There is no guarantee that government health care programs or private health insurers will reimburse for the sales of our products or permit us to sell our products at high enough prices to generate a profit.</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Governments outside the United States tend to impose strict price controls and reimbursement approval policies, which may adversely affect our prospects for generating revenue outside the United States.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Although we only have distribution rights in the United States and Canada for levosimendan, 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the pricing of our products, if approved, in different countries may vary widely, thus creating the potential for third-party trade in our products in an attempt to exploit price differences between countries. This third-party trade of our products could undermine our sales in markets with higher prices.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Relating to Our Dependence on Third Parties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depend on third parties to manufacture our products.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do not own or operate any manufacturing facilities for the commercial-scale production of our products. Pursuant to the terms of our license for levosimendan, Orion is our sole manufacturing source for levosimendan.  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not disrupt our business.  If we cannot obtain an alternate manufacturer in a timely manner, we would experience a significant interruption in supply of levosimendan, which could negatively affect our financial condition, results of operations and cash flows.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depend on the services of a limited number of key personnel.</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success is highly dependent on the continued services of a limited number of scientists and support personnel. The loss of any of these individuals could have a material adverse effect on us. In addition, our success will depend, among other factors, on the recruitment and retention of additional highly skilled and experienced management and technical personnel. There is a risk that we will not be able to retain existing employees or to attract and retain additional skilled personnel on acceptable terms given the competition for such personnel among numerous large and well-funded pharmaceutical and health care companies, universities, and non-profit research institutions, which could negatively affect our financial condition, results of operations and cash flows.</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0" w:name="pgbrk16"/>
      <w:bookmarkStart w:id="111" w:name="pgbrk16"/>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2" w:name="ftr15"/>
      <w:bookmarkEnd w:id="1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 w:name="pn13"/>
      <w:bookmarkEnd w:id="113"/>
      <w:r>
        <w:rPr>
          <w:rFonts w:ascii="Times New Roman" w:hAnsi="Times New Roman"/>
          <w:sz w:val="20"/>
        </w:rPr>
        <w:t>16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4" w:name="pb15"/>
      <w:bookmarkStart w:id="115" w:name="pb15"/>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6" w:name="hdr16"/>
      <w:bookmarkEnd w:id="1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have no experience in the sale and marketing of medical products.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no experience in the sale and marketing of approved medical products and marketing the licensing of such products before FDA or other regulatory approval. We have not decided upon a commercialization strategy in these areas.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inability to recruit and retain adequate numbers of effective sales and marketing personnel;</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inability of sales personnel to obtain access to or persuade adequate numbers of physicians to prescribe our products;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lack of complementary products to be offered by sales personnel, which may put us at a competitive disadvantage relative to companies with more extensive product lines;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unforeseen costs and expenses associated with creating and sustaining an independent sales and marketing organization.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Failure to successfully commercialize our products or to do so on a cost-effective basis would likely result in failure of our business.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do not anticipate having the resources in the foreseeable future to develop sales and marketing capabilities for all of the products we develop, if any.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we may be required to relinquish important rights to our products or product candidates;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we may not be able to control the amount and timing of resources that our distributors or collaborators may devote to the commercialization of our product candidates;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distributors or collaborators may experience financial difficulties;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distributors or collaborators may not devote sufficient time to the marketing and sales of our products;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business combinations or significant changes in a collaborator’s business strategy may adversely affect a collaborator’s willingness or ability to complete its obligations under any arrangement.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we enter into may not be favorable to us.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Relating to Intellectual Property</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It is difficult and costly to protect our proprietary rights, and we may not be able to ensure their protection.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commercial success will depend in part on obtaining and maintaining patent protection and trade secret protection of our future product candidates, if any, and the methods used to manufacture them, as well as successfully defending these patents against third-party challenges. Our ability to stop third parties from making, using, selling, offering to sell or importing our products is dependent upon the extent to which we have rights under valid and enforceable patents or trade secrets that cover these activities.</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17"/>
      <w:bookmarkStart w:id="118" w:name="pgbrk17"/>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9" w:name="ftr16"/>
      <w:bookmarkEnd w:id="1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 w:name="pn14"/>
      <w:bookmarkEnd w:id="120"/>
      <w:r>
        <w:rPr>
          <w:rFonts w:ascii="Times New Roman" w:hAnsi="Times New Roman"/>
          <w:sz w:val="20"/>
        </w:rPr>
        <w:t>17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1" w:name="pb16"/>
      <w:bookmarkStart w:id="122" w:name="pb16"/>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3" w:name="hdr17"/>
      <w:bookmarkEnd w:id="1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license certain intellectual property from Orion that covers our product candidate levosimendan. The principal United States patents that we license from Orion expired in September 2020. We rely on Orion to file, prosecute and maintain patent applications and otherwise protect the intellectual property to which we have a license, and we have not had and do not have primary control over these activities for certain of these patents or patent applications and other intellectual property rights. We cannot be certain that such activities by third parties have been or will be conducted in compliance with applicable laws and regulations or will result in valid and enforceable patents and other intellectual property rights. Our enforcement of certain of these licensed patents or defense of any claims asserting the invalidity of these patents would also be subject to the cooperation of the third parties.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the patents we own or to which we have a license from a third party. Further, if any of our patents are deemed invalid and unenforceable, it could impact our ability to commercialize or license our technology.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others may be able to make compositions or formulations that are similar to our product candidates but that are not covered by the claims of our patents;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we might not have been the first to make the inventions covered by our issued patents or pending patent applications;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we might not have been the first to file patent applications for these inventions;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others may independently develop similar or alternative technologies or duplicate any of our technologies;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it is possible that our pending patent applications will not result in issued patents;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issued patents may not provide us with any competitive advantages, or may be held invalid or unenforceable as a result of legal challenges by third parties;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we may not develop additional proprietary technologies that are patentable; or</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patents of others may have an adverse effect on our business.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rely on confidentiality agreements that, if breached, may be difficult to enforce and could have a material adverse effect on our business and competitive position.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policy is to enter into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these agreements may be breached;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these agreements may not provide adequate remedies for the applicable type of breach; or</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our trade secrets or proprietary know-how will otherwise become known.</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 w:name="pgbrk18"/>
      <w:bookmarkStart w:id="125" w:name="pgbrk18"/>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6" w:name="ftr17"/>
      <w:bookmarkEnd w:id="1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7" w:name="pn15"/>
      <w:bookmarkEnd w:id="127"/>
      <w:r>
        <w:rPr>
          <w:rFonts w:ascii="Times New Roman" w:hAnsi="Times New Roman"/>
          <w:sz w:val="20"/>
        </w:rPr>
        <w:t>18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8" w:name="pb17"/>
      <w:bookmarkStart w:id="129" w:name="pb17"/>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0" w:name="hdr18"/>
      <w:bookmarkEnd w:id="1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Any breach of our confidentiality agreements or our failure to effectively enforce such agreements would have a material adverse effect on our business and competitive position.</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may incur substantial costs as a result of litigation or other proceedings relating to patent and other intellectual property rights and we may be unable to protect our rights to, or use, our technology.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and we may not be able to do this. Proving invalidity, in particular, is difficult since it requires a showing of clear and convincing evidence to overcome the presumption of validity enjoyed by issued patents.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Because some patent applications in the United States may be maintained in secrecy until the patents are issued, because patent applications in the United States and many foreign jurisdictions are typically not published until 18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 Patent and Trademark Office, or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Our collaborations with outside scientists and consultants may be subject to restriction and change.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work with chemists, biologists and other scientists at academic and other institutions, and consultants who assist us in our research, development, regulatory and commercial efforts, including the members of our scientific advisory board. These scientists and consultants have provided, and we expect that they will continue to provide, valuable advice on our programs. These scientists and consultants are not our employees, may have other commitments that would limit their future availability to us and typically will not enter into non-compete agreements with us. If a conflict of interest arises between their work for us and their work for another entity, we may lose their services. In addition, we will be unable to prevent them from establishing competing businesses or developing competing products. For example, if a key scientist acting as a principal investigator in any of our clinical trials identifies a potential product or compound that is more scientifically interesting to his or her professional interests, his or her availability to remain involved in our clinical trials could be restricted or eliminated.</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19"/>
      <w:bookmarkStart w:id="132" w:name="pgbrk19"/>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3" w:name="ftr18"/>
      <w:bookmarkEnd w:id="1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4" w:name="pn16"/>
      <w:bookmarkEnd w:id="134"/>
      <w:r>
        <w:rPr>
          <w:rFonts w:ascii="Times New Roman" w:hAnsi="Times New Roman"/>
          <w:sz w:val="20"/>
        </w:rPr>
        <w:t>19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5" w:name="pb18"/>
      <w:bookmarkStart w:id="136" w:name="pb18"/>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7" w:name="hdr19"/>
      <w:bookmarkEnd w:id="1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Under current law, we may not be able to enforce all employees’ covenants not to compete and therefore may be unable to prevent our competitors from benefiting from the expertise of some of our former employees.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may infringe or be alleged to infringe intellectual property rights of third parties.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Many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8" w:name="pgbrk20"/>
      <w:bookmarkStart w:id="139" w:name="pgbrk20"/>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0" w:name="ftr19"/>
      <w:bookmarkEnd w:id="1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1" w:name="pn17"/>
      <w:bookmarkEnd w:id="141"/>
      <w:r>
        <w:rPr>
          <w:rFonts w:ascii="Times New Roman" w:hAnsi="Times New Roman"/>
          <w:sz w:val="20"/>
        </w:rPr>
        <w:t>20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2" w:name="pb19"/>
      <w:bookmarkStart w:id="143" w:name="pb19"/>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4" w:name="hdr20"/>
      <w:bookmarkEnd w:id="1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Product liability lawsuits against us could cause us to incur substantial liabilities, limit sales of our existing products and limit commercialization of any products that we may develop.</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business exposes us to the risk of product liability claims that are inherent in the manufacturing, distribution, and sale of biotechnology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decreased demand for our products and any product candidates that we may develop;</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injury to our reputation;</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withdrawal of clinical trial participants;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costs to defend the related litigation;</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substantial monetary awards to trial participants or patients;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loss of revenue;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the inability to commercialize any products that we may develop.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currently maintain limited product liability insurance coverage for our clinical trials in the total amount of $3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Our business and operations would suffer in the event of computer system failures, cyber-attacks or deficiencies in our cyber-security.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Related to Owning Our Common Stock</w:t>
      </w:r>
    </w:p>
    <w:p>
      <w:pPr>
        <w:pStyle w:val="TextBody"/>
        <w:spacing w:before="0" w:after="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 issuance of shares of our common stock upon conversion of outstanding Series B convertible preferred stock issued in connection with our acquisition of PHPM would result in substantial dilution to the interests of our other stockholders.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As part of the consideration for our acquisition of 100% of the equity of PHPM on </w:t>
      </w:r>
      <w:r>
        <w:rPr>
          <w:rFonts w:ascii="Times New Roman" w:hAnsi="Times New Roman"/>
          <w:color w:val="000000"/>
          <w:sz w:val="20"/>
        </w:rPr>
        <w:t>January 15, 2021</w:t>
      </w:r>
      <w:r>
        <w:rPr>
          <w:rFonts w:ascii="Times New Roman" w:hAnsi="Times New Roman"/>
          <w:sz w:val="20"/>
        </w:rPr>
        <w:t>, or the PHPM Acquisition, we issued 10,232 shares of our Series B convertible preferred stock to the stockholders of PHPM. Those 10,232 shares of Series B convertible preferred stock are convertible into up to an aggregate of 10,232,000 shares of our common stock, except that 1,212,492 of the 10,232,000 issuable upon conversion of the Series B convertible preferred stock will be held back as security for certain indemnification obligations of PHPM and the former stockholders of PHPM. Each share of Series B convertible stock will automatically convert into (i) 881.5 shares of our common stock following receipt of the approval of our stockholders for the conversion of the Series B convertible preferred stock, and (ii) 118.5 shares of our common stock on January 15,2023, subject to reduction for indemnification claims.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are required to hold a meeting of our stockholders no later than July 31, 2021 for purposes of obtaining a stockholder vote on the conversion of the Series B convertible preferred stock. If stockholder approval is not obtained at such meeting, we must call a meeting every 90 days thereafter to seek stockholder approval for the conversion of the Series B convertible preferred stock until either stockholder approval for the conversion is obtained or the Series B convertible preferred stock is no longer outstanding.</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21"/>
      <w:bookmarkStart w:id="146" w:name="pgbrk21"/>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7" w:name="ftr20"/>
      <w:bookmarkEnd w:id="1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8" w:name="pn18"/>
      <w:bookmarkEnd w:id="148"/>
      <w:r>
        <w:rPr>
          <w:rFonts w:ascii="Times New Roman" w:hAnsi="Times New Roman"/>
          <w:sz w:val="20"/>
        </w:rPr>
        <w:t>21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9" w:name="pb20"/>
      <w:bookmarkStart w:id="150" w:name="pb20"/>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1" w:name="hdr21"/>
      <w:bookmarkEnd w:id="15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sz w:val="20"/>
        </w:rPr>
      </w:pPr>
      <w:r>
        <w:rPr>
          <w:rFonts w:ascii="Times New Roman" w:hAnsi="Times New Roman"/>
          <w:sz w:val="20"/>
        </w:rPr>
        <w:t>The issuance of shares of our common stock upon conversion of our outstanding Series B convertible preferred stock would result in substantial dilution to the interests of other stockholders.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Our share price has been volatile and may continue to be volatile which may subject us to securities class action litigation in the future.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stock price has in the past been, and is likely to be in the future, volatile. The stock market in general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pStyle w:val="TextBody"/>
        <w:spacing w:before="0" w:after="0"/>
        <w:rPr/>
      </w:pPr>
      <w:r>
        <w:rPr/>
        <w:t> </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actual or anticipated fluctuations in our financial condition and operating results;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status and/or results of our clinical trials;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status of ongoing litigation;</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results of clinical trials of our competitors’ products;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regulatory actions with respect to our products or our competitors’ products;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actions and decisions by our collaborators or partners;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actual or anticipated changes in our growth rate relative to our competitors;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actual or anticipated fluctuations in our competitors’ operating results or changes in their growth rate;</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competition from existing products or new products that may emerge;</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issuance of new or updated research or reports by securities analysts;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fluctuations in the valuation of companies perceived by investors to be comparable to us;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share price and volume fluctuations attributable to inconsistent trading volume levels of our shares;</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market conditions for biopharmaceutical stocks in general;</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status of our search and selection of future management and leadership; and</w:t>
      </w:r>
    </w:p>
    <w:p>
      <w:pPr>
        <w:pStyle w:val="TextBody"/>
        <w:spacing w:before="0" w:after="0"/>
        <w:ind w:left="360" w:right="0" w:hanging="0"/>
        <w:jc w:val="left"/>
        <w:rPr>
          <w:rFonts w:ascii="Times New Roman" w:hAnsi="Times New Roman"/>
          <w:sz w:val="20"/>
        </w:rPr>
      </w:pPr>
      <w:r>
        <w:rPr>
          <w:rFonts w:ascii="Times New Roman" w:hAnsi="Times New Roman"/>
          <w:sz w:val="20"/>
        </w:rPr>
        <w:t>-</w:t>
      </w:r>
    </w:p>
    <w:p>
      <w:pPr>
        <w:pStyle w:val="TextBody"/>
        <w:spacing w:before="0" w:after="0"/>
        <w:jc w:val="both"/>
        <w:rPr>
          <w:rFonts w:ascii="Times New Roman" w:hAnsi="Times New Roman"/>
          <w:sz w:val="20"/>
        </w:rPr>
      </w:pPr>
      <w:r>
        <w:rPr>
          <w:rFonts w:ascii="Times New Roman" w:hAnsi="Times New Roman"/>
          <w:sz w:val="20"/>
        </w:rPr>
        <w:t>general economic and market conditions, including as a result of pandemics, epidemics, or outbreaks of an infectious disease, such as COVID-19.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pStyle w:val="TextBody"/>
        <w:spacing w:before="0" w:after="0"/>
        <w:rPr/>
      </w:pPr>
      <w:r>
        <w:rPr/>
        <w:t> </w:t>
      </w:r>
    </w:p>
    <w:p>
      <w:pPr>
        <w:pStyle w:val="TextBody"/>
        <w:spacing w:before="0" w:after="0"/>
        <w:ind w:left="0" w:right="0" w:hanging="0"/>
        <w:jc w:val="left"/>
        <w:rPr>
          <w:rFonts w:ascii="Times New Roman" w:hAnsi="Times New Roman"/>
          <w:b/>
          <w:i/>
          <w:color w:val="000000"/>
          <w:sz w:val="20"/>
        </w:rPr>
      </w:pPr>
      <w:r>
        <w:rPr>
          <w:rFonts w:ascii="Times New Roman" w:hAnsi="Times New Roman"/>
          <w:b/>
          <w:i/>
          <w:color w:val="000000"/>
          <w:sz w:val="20"/>
        </w:rPr>
        <w:t>Our failure to maintain compliance with Nasdaq’s continued listing requirements could result in the delisting of our common stock.</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Our common stock is currently listed on The Nasdaq Capital Market. In order to maintain this listing, we must satisfy minimum financial and other requirements. On April 24, 2020, we received a notification letter from Nasdaq’s Listing Qualifications Department indicating that we were not in compliance with Nasdaq Listing Rule 5550(a)(2), because the minimum bid price of our common stock on the Nasdaq Capital Market closed below $1.00 per share for 30 consecutive business days. In accordance with Nasdaq Listing Rule 5810(c)(3)(A), we would have had 180 calendar days to regain compliance with the minimum bid requirement; however, due to the market disruption caused by the ongoing COVID-19 pandemic, Nasdaq tolled the requirement for meeting the minimum bid price until June 30, 2020. As such, we would have had 180 days from July 1, 2020, or until December 28, 2020, to achieve compliance with the minimum bid price requirement. To regain compliance, the closing bid price of our common stock had to meet or exceed $1.00 per share for at least ten consecutive business days before December 28, 2020.  </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On June 2, 2020, we received a letter from Nasdaq notifying us that Nasdaq determined that our stock price had traded above at least $1.00 for at least 10 consecutive business days since the April 24, 2020 notice, and therefore, we had regained compliance with Nasdaq listing rule 5550(a)(2).</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While we intend to engage in efforts to maintain compliance, and thus maintain our listing, there can be no assurance that we will continue to meet all applicable Nasdaq Capital Market requirements in the future. In the event of future noncompliance, and if Nasdaq determines to delist our common stock, the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and stockholders may lose some or all of their investment.</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 w:name="pgbrk22"/>
      <w:bookmarkStart w:id="153" w:name="pgbrk22"/>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4" w:name="ftr21"/>
      <w:bookmarkEnd w:id="1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5" w:name="pn19"/>
      <w:bookmarkEnd w:id="155"/>
      <w:r>
        <w:rPr>
          <w:rFonts w:ascii="Times New Roman" w:hAnsi="Times New Roman"/>
          <w:sz w:val="20"/>
        </w:rPr>
        <w:t>22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56" w:name="pb21"/>
      <w:bookmarkStart w:id="157" w:name="pb21"/>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8" w:name="hdr22"/>
      <w:bookmarkEnd w:id="1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color w:val="000000"/>
          <w:sz w:val="20"/>
        </w:rPr>
      </w:pPr>
      <w:r>
        <w:rPr>
          <w:rFonts w:ascii="Times New Roman" w:hAnsi="Times New Roman"/>
          <w:b/>
          <w:i/>
          <w:color w:val="000000"/>
          <w:sz w:val="20"/>
        </w:rPr>
        <w:t>We have a significant securityholder, which could exert substantial influence over our business.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As of March 25, 2021, to our knowledge, Armistice Capital, LLC, or Armistice, held 2,019,995 shares of our common stock, warrants to purchase up to 2,072,538 shares of our common stock at an exercise price of $1.93 per share, warrants to purchase up to 2,360,313 shares of our common stock at an exercise price of $1.04 per share, warrants to purchase up to 7,783,616 shares of our common stock at an exercise price of $0.903 per share, and pre-funded warrants to purchase up to 5,260,005 shares of our common stock at an exercise price of $0.0001 per share. In addition, two members of our Board of Directors are affiliates of Armistice. Under the terms of the warrants and pre-funded warrants issued to Armistice, Armistice is not permitted to exercise such warrants to the extent that such exercise would result in Armistice (and its affiliates) beneficially owning more than 19.99% (or 4.99% in the case of the warrants with the $1.04 and $1.93 exercise prices per share) of the number of shares of our common stock outstanding immediately after giving effect to the issuance of shares of common stock issuable upon exercise of such warrants. After giving effect to the beneficial ownership limitations currently in effect with respect to the warrants and pre-funded warrants held by Armistice to our knowledge, as of March 25, 2021, Armistice beneficially owned 19.99% of our outstanding common stock. If the warrants and pre-funded warrants held by Armistice could be exercised without the beneficial ownership limitations, then as of March 25, 2021, Armistice would have beneficially owned 60.09% of our common stock. Although there are contractual limitations on the beneficial ownership of Armistice, if Armistice were to exercise its warrants for common stock, it could be able to exert substantial influence over our business, including, for example, the ability to delay, defer or prevent a change of control, entrench our management and our Board of Directors or delay or prevent a merger, consolidation or other business combination</w:t>
      </w:r>
      <w:r>
        <w:rPr>
          <w:rFonts w:ascii="Times New Roman" w:hAnsi="Times New Roman"/>
          <w:sz w:val="20"/>
        </w:rPr>
        <w:t>.</w:t>
      </w:r>
    </w:p>
    <w:p>
      <w:pPr>
        <w:pStyle w:val="TextBody"/>
        <w:spacing w:before="0" w:after="0"/>
        <w:rPr/>
      </w:pPr>
      <w:r>
        <w:rPr/>
        <w:t> </w:t>
      </w:r>
    </w:p>
    <w:p>
      <w:pPr>
        <w:pStyle w:val="TextBody"/>
        <w:spacing w:before="0" w:after="0"/>
        <w:ind w:left="0" w:right="0" w:hanging="0"/>
        <w:jc w:val="left"/>
        <w:rPr>
          <w:rFonts w:ascii="Times New Roman" w:hAnsi="Times New Roman"/>
          <w:b/>
          <w:i/>
          <w:color w:val="000000"/>
          <w:sz w:val="20"/>
        </w:rPr>
      </w:pPr>
      <w:r>
        <w:rPr>
          <w:rFonts w:ascii="Times New Roman" w:hAnsi="Times New Roman"/>
          <w:b/>
          <w:i/>
          <w:color w:val="000000"/>
          <w:sz w:val="20"/>
        </w:rPr>
        <w:t>Our bylaws contain an exclusive forum provision, which could limit our stockholders’ ability to obtain a favorable judicial forum for disputes with us or our directors, officers, employees, or agents.</w:t>
      </w:r>
    </w:p>
    <w:p>
      <w:pPr>
        <w:pStyle w:val="TextBody"/>
        <w:spacing w:before="0" w:after="0"/>
        <w:rPr/>
      </w:pPr>
      <w:r>
        <w:rPr/>
        <w:t> </w:t>
      </w:r>
    </w:p>
    <w:p>
      <w:pPr>
        <w:pStyle w:val="TextBody"/>
        <w:spacing w:before="0" w:after="0"/>
        <w:ind w:left="0" w:right="0" w:hanging="0"/>
        <w:jc w:val="left"/>
        <w:rPr/>
      </w:pPr>
      <w:r>
        <w:rPr>
          <w:rFonts w:ascii="Times New Roman" w:hAnsi="Times New Roman"/>
          <w:color w:val="000000"/>
          <w:sz w:val="20"/>
        </w:rPr>
        <w:t>Our bylaws provide that, unless we consent in writing to the selection of an alternative forum, any North Carolina state court that has jurisdiction, or the Delaware Court of Chancery shall, to the fullest extent permitted by law, be the sole and exclusive forum any internal corporate claims, including without limitation (i) any derivative action or proceeding brought on behalf of us, (ii) any action asserting a claim of breach of a fiduciary duty owed by any director, officer or other employee of us to us or our stockholders, (iii) any action asserting a claim arising pursuant to any provision of the General Corporation Law of the State of Delaware, and (iv) any action asserting a claim governed by the internal affairs doctrine, in each case subject to said court having personal jurisdiction over the indispensable parties named as defendants in such action. This provision would not apply to suits brought to enforce a duty or liability created by the Exchange Act or the Securities Act, or any other claim for which federal courts have exclusive jurisdiction</w:t>
      </w:r>
      <w:r>
        <w:rPr>
          <w:rFonts w:ascii="Times New Roman" w:hAnsi="Times New Roman"/>
        </w:rPr>
        <w: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bylaws to be inapplicable or unenforceable in an action, we may incur additional costs associated with resolving the dispute in other jurisdictions, which could harm our results of operations. Even if we are successful in defending against these claims, litigation could result in substantial costs and be a distraction to management and other employees.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We are likely to attempt to raise additional capital through issuances of debt or equity securities, which may cause our stock price to decline, dilute the ownership interests of our existing stockholders, and/or limit our financial flexibility.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Historically we have financed our operations through the issuance of equity securities and debt financings, and we expect to continue to do so for the foreseeable future. As of December 31, 2020, we had $6.7 million of cash and cash equivalents, including the fair value of our marketable securities on hand. Based on our current operating plans, we believe our existing cash and cash equivalents will be sufficient to fund our projected operating requirements through the third quarter of calendar year 2021. To the extent that we raise additional funds by issuing equity securities, our stockholders may experience significant dilution of their ownership interests. Debt financing, if available, may involve restrictive covenants that limit our financial flexibility or otherwise restrict our ability to pursue our business strategies. Additionally, if we issue shares of common stock, or securities convertible or exchangeable for common stock, the market price of our existing common stock may decline. There can be no assurance that we will be successful in obtaining any additional capital resources in a timely manner, on favorable terms, or at all. </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9" w:name="pgbrk23"/>
      <w:bookmarkStart w:id="160" w:name="pgbrk23"/>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1" w:name="ftr22"/>
      <w:bookmarkEnd w:id="1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2" w:name="pn20"/>
      <w:bookmarkEnd w:id="162"/>
      <w:r>
        <w:rPr>
          <w:rFonts w:ascii="Times New Roman" w:hAnsi="Times New Roman"/>
          <w:sz w:val="20"/>
        </w:rPr>
        <w:t>23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63" w:name="pb22"/>
      <w:bookmarkStart w:id="164" w:name="pb22"/>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5" w:name="hdr23"/>
      <w:bookmarkEnd w:id="1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1B—</w:t>
      </w:r>
      <w:bookmarkStart w:id="166" w:name="UNR"/>
      <w:bookmarkEnd w:id="166"/>
      <w:r>
        <w:rPr>
          <w:rFonts w:ascii="Times New Roman" w:hAnsi="Times New Roman"/>
          <w:b/>
          <w:sz w:val="20"/>
        </w:rPr>
        <w:t>UNRESOLVED STAFF COMMENTS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Not applicable.</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2—</w:t>
      </w:r>
      <w:bookmarkStart w:id="167" w:name="PROP"/>
      <w:bookmarkEnd w:id="167"/>
      <w:r>
        <w:rPr>
          <w:rFonts w:ascii="Times New Roman" w:hAnsi="Times New Roman"/>
          <w:b/>
          <w:sz w:val="20"/>
        </w:rPr>
        <w:t>PROPERTIES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own no real property. We lease our principal executive office at ONE Copley Parkway, Suite 490, Morrisville, North Carolina 27560. The current rent is approximately $10,100 per month for the facility.</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3—</w:t>
      </w:r>
      <w:bookmarkStart w:id="168" w:name="LEG"/>
      <w:bookmarkEnd w:id="168"/>
      <w:r>
        <w:rPr>
          <w:rFonts w:ascii="Times New Roman" w:hAnsi="Times New Roman"/>
          <w:b/>
          <w:sz w:val="20"/>
        </w:rPr>
        <w:t>LEGAL PROCEEDINGS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are subject to litigation in the normal course of business, none of which management believes will have a material adverse effect on our consolidated financial statements.</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4—</w:t>
      </w:r>
      <w:bookmarkStart w:id="169" w:name="MINE"/>
      <w:bookmarkEnd w:id="169"/>
      <w:r>
        <w:rPr>
          <w:rFonts w:ascii="Times New Roman" w:hAnsi="Times New Roman"/>
          <w:b/>
          <w:sz w:val="20"/>
        </w:rPr>
        <w:t>MINE SAFETY DISCLOSURES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Not applicable</w:t>
      </w:r>
    </w:p>
    <w:p>
      <w:pPr>
        <w:pStyle w:val="TextBody"/>
        <w:spacing w:before="0" w:after="0"/>
        <w:rPr/>
      </w:pPr>
      <w:r>
        <w:rPr/>
        <w:t> </w:t>
      </w:r>
    </w:p>
    <w:p>
      <w:pPr>
        <w:pStyle w:val="TextBody"/>
        <w:spacing w:before="0" w:after="0"/>
        <w:ind w:left="0" w:right="0" w:hanging="0"/>
        <w:jc w:val="center"/>
        <w:rPr>
          <w:rFonts w:ascii="Times New Roman" w:hAnsi="Times New Roman"/>
          <w:b/>
          <w:sz w:val="20"/>
        </w:rPr>
      </w:pPr>
      <w:bookmarkStart w:id="170" w:name="p2"/>
      <w:bookmarkEnd w:id="170"/>
      <w:r>
        <w:rPr>
          <w:rFonts w:ascii="Times New Roman" w:hAnsi="Times New Roman"/>
          <w:b/>
          <w:sz w:val="20"/>
        </w:rPr>
        <w:t>PART II</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bookmarkStart w:id="171" w:name="i5"/>
      <w:bookmarkEnd w:id="171"/>
      <w:r>
        <w:rPr>
          <w:rFonts w:ascii="Times New Roman" w:hAnsi="Times New Roman"/>
          <w:b/>
          <w:sz w:val="20"/>
        </w:rPr>
        <w:t>ITEM 5—</w:t>
      </w:r>
      <w:bookmarkStart w:id="172" w:name="MARK"/>
      <w:bookmarkEnd w:id="172"/>
      <w:r>
        <w:rPr>
          <w:rFonts w:ascii="Times New Roman" w:hAnsi="Times New Roman"/>
          <w:b/>
          <w:sz w:val="20"/>
        </w:rPr>
        <w:t>MARKET FOR REGISTRANT’S COMMON EQUITY, RELATED STOCKHOLDER MATTERS AND ISSUER PURCHASES OF EQUITY SECURITIES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Market Information and Number of Stockholders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common stock is listed on the Nasdaq Capital Market under the symbol “TENX.”</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March 25, 2021, there were approximately 1,337 holders of record of our common stock. In addition, we believe that a significant number of beneficial owners of our common stock hold their shares in nominee or in “street name” accounts through brokers, and any such beneficial owners are not included in this number of holders of record.</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Dividend Policy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Since our inception, we have not paid dividends on our common stock. We intend to retain any earnings for use in our business activities, so it is not expected that any dividends on our common stock will be declared and paid in the foreseeable future.</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Repurchases of Common Stock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None.</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Unregistered Sales of Equity Securities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During the year ended December 31, 2020, we did not issue or sell any unregistered securities not previously disclosed in a Quarterly Report on Form 10-Q or in a Current Report on Form 8-K.</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6—</w:t>
      </w:r>
      <w:bookmarkStart w:id="173" w:name="SEL"/>
      <w:bookmarkEnd w:id="173"/>
      <w:r>
        <w:rPr>
          <w:rFonts w:ascii="Times New Roman" w:hAnsi="Times New Roman"/>
          <w:b/>
          <w:sz w:val="20"/>
        </w:rPr>
        <w:t>SELECTED FINANCIAL DATA</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Not applicable.</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7—</w:t>
      </w:r>
      <w:bookmarkStart w:id="174" w:name="MAN"/>
      <w:bookmarkEnd w:id="174"/>
      <w:r>
        <w:rPr>
          <w:rFonts w:ascii="Times New Roman" w:hAnsi="Times New Roman"/>
          <w:b/>
          <w:sz w:val="20"/>
        </w:rPr>
        <w:t>MANAGEMENT’S DISCUSSION AND ANALYSIS OF FINANCIAL CONDITION AND RESULTS OF OPERATIONS</w:t>
      </w:r>
    </w:p>
    <w:p>
      <w:pPr>
        <w:pStyle w:val="TextBody"/>
        <w:spacing w:before="0" w:after="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You should read the following discussion and analysis together with the consolidated financial statements and the related notes to those statements included in Item 8 –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5" w:name="pgbrk24"/>
      <w:bookmarkStart w:id="176" w:name="pgbrk24"/>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7" w:name="ftr23"/>
      <w:bookmarkEnd w:id="1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8" w:name="pn21"/>
      <w:bookmarkEnd w:id="178"/>
      <w:r>
        <w:rPr>
          <w:rFonts w:ascii="Times New Roman" w:hAnsi="Times New Roman"/>
          <w:sz w:val="20"/>
        </w:rPr>
        <w:t>24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79" w:name="pb23"/>
      <w:bookmarkStart w:id="180" w:name="pb23"/>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1" w:name="hdr24"/>
      <w:bookmarkEnd w:id="1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 Comparison of the years ended December 31, 2020 and 2019</w:t>
      </w:r>
    </w:p>
    <w:p>
      <w:pPr>
        <w:pStyle w:val="TextBody"/>
        <w:spacing w:before="0" w:after="0"/>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Overview</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color w:val="000000"/>
          <w:sz w:val="20"/>
        </w:rPr>
      </w:pPr>
      <w:r>
        <w:rPr>
          <w:rFonts w:ascii="Times New Roman" w:hAnsi="Times New Roman"/>
          <w:b/>
          <w:i/>
          <w:color w:val="000000"/>
          <w:sz w:val="20"/>
        </w:rPr>
        <w:t>Strategy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principal business objective is to identify, develop, and commercialize novel therapeutic products for disease indications that represent significant areas of clinical need and commercial opportunity. The key elements of our business strategy are outlined below.</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Efficiently conduct clinical development to establish clinical proof of concept with our current product candidates.</w:t>
      </w:r>
      <w:r>
        <w:rPr>
          <w:rFonts w:ascii="Times New Roman" w:hAnsi="Times New Roman"/>
          <w:sz w:val="20"/>
        </w:rPr>
        <w:t xml:space="preserve"> Levosimendan and imatinib both represent novel therapeutic modalities for the treatment of pulmonary hypertension and other </w:t>
      </w:r>
      <w:r>
        <w:rPr>
          <w:rFonts w:ascii="Times New Roman" w:hAnsi="Times New Roman"/>
          <w:color w:val="080808"/>
          <w:sz w:val="20"/>
          <w:highlight w:val="yellow"/>
        </w:rPr>
        <w:t>cardiovascular and pulmonary diseases of high unmet medical need.</w:t>
      </w:r>
      <w:r>
        <w:rPr>
          <w:rFonts w:ascii="Times New Roman" w:hAnsi="Times New Roman"/>
          <w:sz w:val="20"/>
        </w:rPr>
        <w:t xml:space="preserve"> We are conducting clinical development with the intent to establish proof of concept in several important disease areas where these therapeutics would be expected to have benefit. Our focus is on conducting well-designed studies to establish a robust foundation for subsequent development, partnership and expansion into complementary areas.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Efficiently explore new high potential therapeutic applications, leveraging third-party research collaborations and our results from related areas</w:t>
      </w:r>
      <w:r>
        <w:rPr>
          <w:rFonts w:ascii="Times New Roman" w:hAnsi="Times New Roman"/>
          <w:sz w:val="20"/>
        </w:rPr>
        <w:t>. Levosimendan has shown promise in multiple disease areas. We are committed to exploring potential clinical indications where our therapies may achieve best-in-class profile, and where we can address significant unmet medical needs. In order to achieve this goal, we have established collaborative research relationships with investigators from research and clinical institutions and our strategic partners. These collaborative relationships have enabled us to cost effectively explore where our product candidates may have therapeutic relevance, and how it may be utilized to advance treatment over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Continue to expand our intellectual property portfolio</w:t>
      </w:r>
      <w:r>
        <w:rPr>
          <w:rFonts w:ascii="Times New Roman" w:hAnsi="Times New Roman"/>
          <w:sz w:val="20"/>
        </w:rPr>
        <w:t>. Our intellectual property is important to our business and we take significant steps to protect its value. We 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or product candidates.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Enter into licensing or product co-development arrangements.</w:t>
      </w:r>
      <w:r>
        <w:rPr>
          <w:rFonts w:ascii="Times New Roman" w:hAnsi="Times New Roman"/>
          <w:sz w:val="20"/>
        </w:rPr>
        <w:t xml:space="preserve"> In addition to our internal development efforts, an important part of our product development strategy is to work with collaborators and partners to accelerate product development, reduce our development costs, and broaden our commercialization capabilities. We believe this strategy will help us to develop a portfolio of high-quality product development opportunities, enhance our clinical development and commercialization capabilities, and increase our ability to generate value from our proprietary technologies.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Additionally, our Board of Directors continues to review strategic alternatives focused on maximizing stockholder value. This process may not result in any transaction and we do not intend to disclose additional details unless and until we determine further disclosure is appropriate or required.</w:t>
      </w:r>
    </w:p>
    <w:p>
      <w:pPr>
        <w:pStyle w:val="TextBody"/>
        <w:spacing w:before="0" w:after="0"/>
        <w:rPr/>
      </w:pPr>
      <w:r>
        <w:rPr/>
        <w:t> </w:t>
      </w:r>
    </w:p>
    <w:p>
      <w:pPr>
        <w:pStyle w:val="TextBody"/>
        <w:spacing w:before="0" w:after="0"/>
        <w:ind w:left="0" w:right="0" w:hanging="0"/>
        <w:jc w:val="left"/>
        <w:rPr>
          <w:rFonts w:ascii="Times New Roman" w:hAnsi="Times New Roman"/>
          <w:b/>
          <w:i/>
          <w:color w:val="000000"/>
          <w:sz w:val="20"/>
        </w:rPr>
      </w:pPr>
      <w:r>
        <w:rPr>
          <w:rFonts w:ascii="Times New Roman" w:hAnsi="Times New Roman"/>
          <w:b/>
          <w:i/>
          <w:color w:val="000000"/>
          <w:sz w:val="20"/>
        </w:rPr>
        <w:t>Opportunities and Trends</w:t>
      </w:r>
    </w:p>
    <w:p>
      <w:pPr>
        <w:pStyle w:val="TextBody"/>
        <w:spacing w:before="0" w:after="0"/>
        <w:ind w:left="0" w:right="0" w:hanging="0"/>
        <w:jc w:val="left"/>
        <w:rPr>
          <w:color w:val="000000"/>
        </w:rPr>
      </w:pPr>
      <w:r>
        <w:rPr>
          <w:color w:val="000000"/>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On June 2, 2020, we announced preliminary, top-line data from our Phase 2 HELP Study. The primary efficacy analysis, PCWP during exercise did not demonstrate a statistically significant reduction from baseline. Levosimendan did demonstrate a statistically significant reduction in PCWP compared to baseline (p=&lt;0.0017) and placebo (p=&lt;0.0475) when the measurements at rest, with legs up and on exercise were combined. Levosimendan also demonstrated a statistically significant improvement in 6-minute walk distance as compared to placebo (p=0.0329). These findings from the HELP Study represent important discoveries related to the use of levosimendan in PH-HFpEF patients since this is the first study to evaluate levosimendan in PH-HFpEF patients and this is the first study ever conducted of any therapy in PH-HFpEF patients to show such positive improvements in hemodynamics and 6-minute walk distance.</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2" w:name="pgbrk25"/>
      <w:bookmarkStart w:id="183" w:name="pgbrk25"/>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4" w:name="ftr24"/>
      <w:bookmarkEnd w:id="1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5" w:name="pn22"/>
      <w:bookmarkEnd w:id="185"/>
      <w:r>
        <w:rPr>
          <w:rFonts w:ascii="Times New Roman" w:hAnsi="Times New Roman"/>
          <w:sz w:val="20"/>
        </w:rPr>
        <w:t>25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86" w:name="pb24"/>
      <w:bookmarkStart w:id="187" w:name="pb24"/>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8" w:name="hdr25"/>
      <w:bookmarkEnd w:id="1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On October 9, 2020, we entered into an amendment to the License with Orion to include two new product formulations containing levosimendan, in a capsule solid oral dosage form, and a subcutaneously administered dosage form containing levosimendan to the scope of the License, subject to specified limitations. We plan to study the utility of the levosimendan oral capsule dosage form in patients who have participated in the open-label extension of the HELP Study and who continue to receive weekly infusions of</w:t>
      </w:r>
      <w:r>
        <w:rPr>
          <w:rFonts w:ascii="Times New Roman" w:hAnsi="Times New Roman"/>
          <w:sz w:val="20"/>
        </w:rPr>
        <w:t xml:space="preserve"> intravenous </w:t>
      </w:r>
      <w:r>
        <w:rPr>
          <w:rFonts w:ascii="Times New Roman" w:hAnsi="Times New Roman"/>
          <w:color w:val="000000"/>
          <w:sz w:val="20"/>
        </w:rPr>
        <w:t>levosimendan. These patients are now eligible to participate in the amendment to the HELP Study that will transition them from the intravenous to an oral formulation. The investigators at the centers that participated in the HELP Study have been invited to participate and enroll their patients into this study. The results of this study will inform Tenax Therapeutics about the design of the Phase 3 that has been proposed</w:t>
      </w:r>
      <w:r>
        <w:rPr>
          <w:rFonts w:ascii="Times New Roman" w:hAnsi="Times New Roman"/>
          <w:sz w:val="20"/>
        </w:rPr>
        <w:t>.</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October 2020, we met with the FDA for an End-of-Phase 2 Meeting to discuss the Phase 2 clinical data and further development of levosimendan in PH-HFpEF patients. The FDA agreed that one or two Phase 3 clinical studies (depending on the size) with a primary endpoint of change in 6-minute walk distance over 12 weeks or a single Phase 3 trial with clinical worsening (e.g., death, hospitalization for heart failure, or decline in exercise capacity) over 24 weeks would be sufficient to demonstrate the effectiveness of levosimendan in PH-HFpEF. The FDA also agreed to a plan to replace weekly intravenous levosimendan dosing with daily oral levosimendan doses in a Phase 3 clinical study. The FDA expressed concern about a safety database as potentially necessary and indicated that the need for a further safety database could be dependent on the final design of the Phase 3 study. This will be addressed when the final Phase 3 protocol is submitted which will better characterize the trial design and primary endpoints.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On January 15, 2021, through our wholly owned subsidiary, Life Newco II, we acquired 100% of the equity of PHPM.</w:t>
      </w:r>
      <w:r>
        <w:rPr>
          <w:rFonts w:ascii="Times New Roman" w:hAnsi="Times New Roman"/>
          <w:sz w:val="20"/>
        </w:rPr>
        <w:t xml:space="preserve"> In accordance with the terms of the merger agreement between Life Newco II and PHPM</w:t>
      </w:r>
      <w:r>
        <w:rPr>
          <w:rFonts w:ascii="Times New Roman" w:hAnsi="Times New Roman"/>
          <w:color w:val="000000"/>
          <w:sz w:val="20"/>
        </w:rPr>
        <w:t>, Life Newco II merged with and into PHPM, with PHPM surviving as our wholly owned subsidiary. As a result of the merger, we plan to develop and commercialize pharmaceutical products containing imatinib for the treatment of pulmonary arterial hypertension.</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On May 30, 2019, PHPM met with the FDA to discuss a proposal for a Phase 3 trial of imatinib for PAH. At that meeting PHPM received agreement for a single Phase 3 trial using change in 6-minute walk distance as the primary endpoint (p&lt;0.05). PHPM also received agreement for submission under the 505(b)(2) regulatory pathway, and thereafter received orphan designation. In August of 2019, PHPM was given preliminary advice on its plans to submit an application for Breakthrough Therapy Designation. In July 2020, PHPM received agreement from the FDA for the development of a modified release formulation that would require only a small comparative PK/bioavailability study in 12 volunteers receiving a single dose of the modified release formulation to be compared to a single dose of the existing immediate release formulation. A Phase 3 study is planned with the modified release formulation of imatinib.</w:t>
      </w:r>
    </w:p>
    <w:p>
      <w:pPr>
        <w:pStyle w:val="TextBody"/>
        <w:spacing w:before="0" w:after="0"/>
        <w:rPr/>
      </w:pPr>
      <w:r>
        <w:rPr/>
        <w:t> </w:t>
      </w:r>
    </w:p>
    <w:p>
      <w:pPr>
        <w:pStyle w:val="TextBody"/>
        <w:spacing w:before="0" w:after="0"/>
        <w:ind w:left="0" w:right="0" w:hanging="0"/>
        <w:jc w:val="left"/>
        <w:rPr/>
      </w:pPr>
      <w:r>
        <w:rPr>
          <w:rFonts w:ascii="Times New Roman" w:hAnsi="Times New Roman"/>
          <w:color w:val="000000"/>
          <w:sz w:val="20"/>
        </w:rPr>
        <w:t>The continued spread of COVID-19 globally could adversely affect our clinical trial operations in the United States and elsewhere, including our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w:t>
      </w:r>
      <w:r>
        <w:rPr/>
        <w:t xml:space="preserve"> </w:t>
      </w:r>
      <w:r>
        <w:rPr>
          <w:rFonts w:ascii="Times New Roman" w:hAnsi="Times New Roman"/>
          <w:color w:val="000000"/>
          <w:sz w:val="20"/>
        </w:rPr>
        <w:t>patient movement or interrupt healthcare services, or if the patients become infected with COVID-19 themselves, which would delay our ability to initiate and/or complete planned clinical and preclinical studies in the future.</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As we focus on the development of our existing product candidates,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During 2021, we are focused on the following initiatives:</w:t>
      </w: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color w:val="000000"/>
          <w:sz w:val="20"/>
        </w:rPr>
      </w:pPr>
      <w:r>
        <w:rPr>
          <w:rFonts w:ascii="Times New Roman" w:hAnsi="Times New Roman"/>
          <w:color w:val="000000"/>
          <w:sz w:val="20"/>
        </w:rPr>
        <w:t>-</w:t>
      </w:r>
    </w:p>
    <w:p>
      <w:pPr>
        <w:pStyle w:val="TextBody"/>
        <w:spacing w:before="0" w:after="0"/>
        <w:jc w:val="both"/>
        <w:rPr>
          <w:rFonts w:ascii="Times New Roman" w:hAnsi="Times New Roman"/>
          <w:color w:val="000000"/>
          <w:sz w:val="20"/>
        </w:rPr>
      </w:pPr>
      <w:r>
        <w:rPr>
          <w:rFonts w:ascii="Times New Roman" w:hAnsi="Times New Roman"/>
          <w:color w:val="000000"/>
          <w:sz w:val="20"/>
        </w:rPr>
        <w:t>Working with collaborators and partners to accelerate product development, reduce our development costs, and broaden our developmental capabilities; and</w:t>
      </w:r>
    </w:p>
    <w:p>
      <w:pPr>
        <w:pStyle w:val="TextBody"/>
        <w:spacing w:before="0" w:after="0"/>
        <w:ind w:left="360" w:right="0" w:hanging="0"/>
        <w:jc w:val="left"/>
        <w:rPr>
          <w:rFonts w:ascii="Times New Roman" w:hAnsi="Times New Roman"/>
          <w:color w:val="000000"/>
          <w:sz w:val="20"/>
        </w:rPr>
      </w:pPr>
      <w:r>
        <w:rPr>
          <w:rFonts w:ascii="Times New Roman" w:hAnsi="Times New Roman"/>
          <w:color w:val="000000"/>
          <w:sz w:val="20"/>
        </w:rPr>
        <w:t>-</w:t>
      </w:r>
    </w:p>
    <w:p>
      <w:pPr>
        <w:pStyle w:val="TextBody"/>
        <w:spacing w:before="0" w:after="0"/>
        <w:jc w:val="both"/>
        <w:rPr>
          <w:rFonts w:ascii="Times New Roman" w:hAnsi="Times New Roman"/>
          <w:color w:val="000000"/>
          <w:sz w:val="20"/>
        </w:rPr>
      </w:pPr>
      <w:r>
        <w:rPr>
          <w:rFonts w:ascii="Times New Roman" w:hAnsi="Times New Roman"/>
          <w:color w:val="000000"/>
          <w:sz w:val="20"/>
        </w:rPr>
        <w:t>Identifying strategic alternatives, including, but not limited to, the potential acquisition of additional products or product candidates.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26"/>
      <w:bookmarkStart w:id="190" w:name="pgbrk2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1" w:name="ftr25"/>
      <w:bookmarkEnd w:id="1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2" w:name="pn23"/>
      <w:bookmarkEnd w:id="192"/>
      <w:r>
        <w:rPr>
          <w:rFonts w:ascii="Times New Roman" w:hAnsi="Times New Roman"/>
          <w:sz w:val="20"/>
        </w:rPr>
        <w:t>26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93" w:name="pb25"/>
      <w:bookmarkStart w:id="194" w:name="pb25"/>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5" w:name="hdr26"/>
      <w:bookmarkEnd w:id="1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color w:val="000000"/>
          <w:sz w:val="20"/>
        </w:rPr>
      </w:pPr>
      <w:r>
        <w:rPr>
          <w:rFonts w:ascii="Times New Roman" w:hAnsi="Times New Roman"/>
          <w:b/>
          <w:i/>
          <w:color w:val="000000"/>
          <w:sz w:val="20"/>
        </w:rPr>
        <w:t>Financial Overview</w:t>
      </w:r>
    </w:p>
    <w:p>
      <w:pPr>
        <w:pStyle w:val="TextBody"/>
        <w:spacing w:before="0" w:after="0"/>
        <w:ind w:left="0" w:right="0" w:hanging="0"/>
        <w:jc w:val="both"/>
        <w:rPr/>
      </w:pPr>
      <w:r>
        <w:rPr/>
        <w:t> </w:t>
      </w:r>
    </w:p>
    <w:p>
      <w:pPr>
        <w:pStyle w:val="TextBody"/>
        <w:spacing w:before="0" w:after="0"/>
        <w:ind w:left="540" w:right="0" w:hanging="0"/>
        <w:jc w:val="left"/>
        <w:rPr>
          <w:rFonts w:ascii="Times New Roman" w:hAnsi="Times New Roman"/>
          <w:b/>
          <w:i/>
          <w:sz w:val="20"/>
        </w:rPr>
      </w:pPr>
      <w:r>
        <w:rPr>
          <w:rFonts w:ascii="Times New Roman" w:hAnsi="Times New Roman"/>
          <w:b/>
          <w:i/>
          <w:sz w:val="20"/>
        </w:rPr>
        <w:t>General and Administrative Expenses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years ended December 31, 2020 and 2019, respectively, are as follows:</w:t>
      </w:r>
    </w:p>
    <w:p>
      <w:pPr>
        <w:pStyle w:val="TextBody"/>
        <w:spacing w:before="0" w:after="0"/>
        <w:rPr/>
      </w:pPr>
      <w:r>
        <w:rPr/>
        <w:t> </w:t>
      </w:r>
    </w:p>
    <w:tbl>
      <w:tblPr>
        <w:tblW w:w="6499" w:type="dxa"/>
        <w:jc w:val="left"/>
        <w:tblInd w:w="0" w:type="dxa"/>
        <w:tblCellMar>
          <w:top w:w="0" w:type="dxa"/>
          <w:left w:w="0" w:type="dxa"/>
          <w:bottom w:w="0" w:type="dxa"/>
          <w:right w:w="0" w:type="dxa"/>
        </w:tblCellMar>
      </w:tblPr>
      <w:tblGrid>
        <w:gridCol w:w="2240"/>
        <w:gridCol w:w="1217"/>
        <w:gridCol w:w="1217"/>
        <w:gridCol w:w="935"/>
        <w:gridCol w:w="890"/>
      </w:tblGrid>
      <w:tr>
        <w:trPr/>
        <w:tc>
          <w:tcPr>
            <w:tcW w:w="2240" w:type="dxa"/>
            <w:tcBorders/>
            <w:shd w:fill="auto" w:val="clear"/>
            <w:vAlign w:val="center"/>
          </w:tcPr>
          <w:p>
            <w:pPr>
              <w:pStyle w:val="TableContents"/>
              <w:spacing w:before="0" w:after="0"/>
              <w:ind w:left="0" w:right="0" w:hanging="0"/>
              <w:rPr/>
            </w:pPr>
            <w:r>
              <w:rPr/>
              <w:t> </w:t>
            </w:r>
          </w:p>
        </w:tc>
        <w:tc>
          <w:tcPr>
            <w:tcW w:w="2434"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For the year ended December 31,</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Increase/</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(Decrease)</w:t>
            </w:r>
          </w:p>
          <w:p>
            <w:pPr>
              <w:pStyle w:val="TableContents"/>
              <w:spacing w:before="0" w:after="0"/>
              <w:jc w:val="left"/>
              <w:rPr/>
            </w:pPr>
            <w:r>
              <w:rPr/>
              <w:t> </w:t>
            </w:r>
          </w:p>
        </w:tc>
        <w:tc>
          <w:tcPr>
            <w:tcW w:w="89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 Increase/</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(Decrease)</w:t>
            </w:r>
          </w:p>
          <w:p>
            <w:pPr>
              <w:pStyle w:val="TableContents"/>
              <w:spacing w:before="0" w:after="0"/>
              <w:jc w:val="left"/>
              <w:rPr/>
            </w:pPr>
            <w:r>
              <w:rPr/>
              <w:t> </w:t>
            </w:r>
          </w:p>
        </w:tc>
      </w:tr>
      <w:tr>
        <w:trPr/>
        <w:tc>
          <w:tcPr>
            <w:tcW w:w="2240" w:type="dxa"/>
            <w:tcBorders/>
            <w:shd w:fill="auto" w:val="clear"/>
            <w:vAlign w:val="center"/>
          </w:tcPr>
          <w:p>
            <w:pPr>
              <w:pStyle w:val="TableContents"/>
              <w:spacing w:before="0" w:after="0"/>
              <w:ind w:left="0" w:right="0" w:hanging="0"/>
              <w:rPr/>
            </w:pPr>
            <w:r>
              <w:rPr/>
              <w:t> </w:t>
            </w:r>
          </w:p>
        </w:tc>
        <w:tc>
          <w:tcPr>
            <w:tcW w:w="121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21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9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24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Personnel costs</w:t>
            </w:r>
          </w:p>
        </w:tc>
        <w:tc>
          <w:tcPr>
            <w:tcW w:w="12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$3,478,186</w:t>
            </w:r>
            <w:r>
              <w:rPr>
                <w:color w:val="000000"/>
              </w:rPr>
              <w:t> </w:t>
            </w:r>
          </w:p>
        </w:tc>
        <w:tc>
          <w:tcPr>
            <w:tcW w:w="12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$2,782,798</w:t>
            </w:r>
            <w:r>
              <w:rPr>
                <w:color w:val="000000"/>
              </w:rPr>
              <w:t> </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$695,388</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25%</w:t>
            </w:r>
          </w:p>
        </w:tc>
      </w:tr>
      <w:tr>
        <w:trPr/>
        <w:tc>
          <w:tcPr>
            <w:tcW w:w="22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Legal and professional fees</w:t>
            </w:r>
          </w:p>
        </w:tc>
        <w:tc>
          <w:tcPr>
            <w:tcW w:w="1217"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1,043,139</w:t>
            </w:r>
            <w:r>
              <w:rPr>
                <w:color w:val="000000"/>
              </w:rPr>
              <w:t> </w:t>
            </w:r>
          </w:p>
        </w:tc>
        <w:tc>
          <w:tcPr>
            <w:tcW w:w="1217"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1,545,890</w:t>
            </w:r>
            <w:r>
              <w:rPr>
                <w:color w:val="000000"/>
              </w:rPr>
              <w:t> </w:t>
            </w:r>
          </w:p>
        </w:tc>
        <w:tc>
          <w:tcPr>
            <w:tcW w:w="9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(502,751)</w:t>
            </w:r>
          </w:p>
        </w:tc>
        <w:tc>
          <w:tcPr>
            <w:tcW w:w="89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(33)%</w:t>
            </w:r>
          </w:p>
        </w:tc>
      </w:tr>
      <w:tr>
        <w:trPr/>
        <w:tc>
          <w:tcPr>
            <w:tcW w:w="224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Other costs</w:t>
            </w:r>
          </w:p>
        </w:tc>
        <w:tc>
          <w:tcPr>
            <w:tcW w:w="12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630,959</w:t>
            </w:r>
            <w:r>
              <w:rPr>
                <w:color w:val="000000"/>
              </w:rPr>
              <w:t> </w:t>
            </w:r>
          </w:p>
        </w:tc>
        <w:tc>
          <w:tcPr>
            <w:tcW w:w="12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602,611</w:t>
            </w:r>
            <w:r>
              <w:rPr>
                <w:color w:val="000000"/>
              </w:rPr>
              <w:t> </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28,348</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w:t>
            </w:r>
          </w:p>
        </w:tc>
      </w:tr>
      <w:tr>
        <w:trPr/>
        <w:tc>
          <w:tcPr>
            <w:tcW w:w="224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Facilities</w:t>
            </w:r>
          </w:p>
        </w:tc>
        <w:tc>
          <w:tcPr>
            <w:tcW w:w="1217"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154,922</w:t>
            </w:r>
            <w:r>
              <w:rPr>
                <w:color w:val="000000"/>
              </w:rPr>
              <w:t> </w:t>
            </w:r>
          </w:p>
        </w:tc>
        <w:tc>
          <w:tcPr>
            <w:tcW w:w="1217"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152,812</w:t>
            </w:r>
            <w:r>
              <w:rPr>
                <w:color w:val="000000"/>
              </w:rPr>
              <w:t> </w:t>
            </w:r>
          </w:p>
        </w:tc>
        <w:tc>
          <w:tcPr>
            <w:tcW w:w="9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2,110</w:t>
            </w:r>
            <w:r>
              <w:rPr>
                <w:color w:val="000000"/>
              </w:rPr>
              <w:t> </w:t>
            </w:r>
          </w:p>
        </w:tc>
        <w:tc>
          <w:tcPr>
            <w:tcW w:w="89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w:t>
            </w:r>
          </w:p>
        </w:tc>
      </w:tr>
    </w:tbl>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Personnel costs: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Personnel costs increased approximately $695,000 for the year ended December 31, 2020 compared to the prior year. This increase was due primarily to an increase of approximately $86,000 for the recognized expense for vested employee stock options, an increase of approximately $548,000 in bonuses paid and an overall increase of approximately $51,000 in salaries paid as compared to the same period in the prior year.</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Legal and professional fees: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Legal and professional fees consist of the costs incurred for legal fees, accounting fees, capital market expenses, consulting fees and investor relations services, as well as fees paid to our Board of Directors. Legal and professional fees decreased approximately $503,000 for the </w:t>
      </w:r>
      <w:r>
        <w:rPr>
          <w:rFonts w:ascii="Times New Roman" w:hAnsi="Times New Roman"/>
          <w:color w:val="000000"/>
          <w:sz w:val="20"/>
        </w:rPr>
        <w:t>year ended December 31, 2020</w:t>
      </w:r>
      <w:r>
        <w:rPr>
          <w:rFonts w:ascii="Times New Roman" w:hAnsi="Times New Roman"/>
          <w:sz w:val="20"/>
        </w:rPr>
        <w:t xml:space="preserve"> compared to the prior year. This decrease was due primarily to reimbursement of direct costs and legal fees incurred for arbitration proceedings related to our license agreement for levosimendan, and a decrease in costs incurred for investor relations services in the current period.</w:t>
      </w:r>
    </w:p>
    <w:p>
      <w:pPr>
        <w:pStyle w:val="TextBody"/>
        <w:spacing w:before="0" w:after="0"/>
        <w:rPr/>
      </w:pPr>
      <w:r>
        <w:rPr/>
        <w:t> </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Legal fees decreased approximately $369,000 in the current year. This decrease was due primarily to the reimbursement of approximately $358,000 in costs incurred for arbitration in the current period, as well as a decrease of approximately $170,000 in fees incurred for arbitration proceedings related to our license agreement for levosimendan and a decrease of approximately $34,000 in costs associated with our intellectual property portfolio, partially offset by an increase of approximately $192,000 in legal fees, primarily due to our acquisition of PHPM as compared to the prior year.</w:t>
      </w:r>
    </w:p>
    <w:p>
      <w:pPr>
        <w:pStyle w:val="TextBody"/>
        <w:spacing w:before="0" w:after="0"/>
        <w:ind w:left="360" w:right="0" w:hanging="0"/>
        <w:jc w:val="left"/>
        <w:rPr>
          <w:i/>
          <w:sz w:val="20"/>
        </w:rPr>
      </w:pPr>
      <w:r>
        <w:rPr>
          <w:i/>
          <w:sz w:val="20"/>
        </w:rPr>
        <w:t>-</w:t>
      </w:r>
    </w:p>
    <w:p>
      <w:pPr>
        <w:pStyle w:val="TextBody"/>
        <w:spacing w:before="0" w:after="0"/>
        <w:jc w:val="both"/>
        <w:rPr>
          <w:rFonts w:ascii="Times New Roman" w:hAnsi="Times New Roman"/>
          <w:sz w:val="20"/>
        </w:rPr>
      </w:pPr>
      <w:r>
        <w:rPr>
          <w:rFonts w:ascii="Times New Roman" w:hAnsi="Times New Roman"/>
          <w:sz w:val="20"/>
        </w:rPr>
        <w:t>Investor relations costs decreased approximately $111,000 in the current period. This decrease was primarily due to fees paid to a third-party investor relations firm for direct outreach and communications in the prior year that were not incurred in the current year as well as a decrease in fees paid for conferences and presentations in the current year as compared to the prior year.</w:t>
      </w:r>
    </w:p>
    <w:p>
      <w:pPr>
        <w:pStyle w:val="TextBody"/>
        <w:spacing w:before="0" w:after="0"/>
        <w:ind w:left="0" w:right="0" w:hanging="0"/>
        <w:jc w:val="both"/>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Other costs: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Other costs include costs incurred for franchise and other taxes, travel, supplies, insurance, depreciation and other miscellaneous charges. Other costs increased approximately $28,000 for the year </w:t>
      </w:r>
      <w:r>
        <w:rPr>
          <w:rFonts w:ascii="Times New Roman" w:hAnsi="Times New Roman"/>
          <w:color w:val="000000"/>
          <w:sz w:val="20"/>
        </w:rPr>
        <w:t>ended December 31, 2020</w:t>
      </w:r>
      <w:r>
        <w:rPr>
          <w:rFonts w:ascii="Times New Roman" w:hAnsi="Times New Roman"/>
          <w:sz w:val="20"/>
        </w:rPr>
        <w:t xml:space="preserve"> compared to the prior year. This increase was due primarily to an increase of approximately $171,000 for the cost of annual insurance premiums, partially offset by a reduction of approximately $65,000 in travel costs incurred and approximately $67,000 in taxes paid in the current year as compared to the same period in the prior year.</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Facilities: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Facilities expenses include costs paid for rent and utilities at our corporate headquarters in North Carolina. Facilities costs remained relatively consistent for the years </w:t>
      </w:r>
      <w:r>
        <w:rPr>
          <w:rFonts w:ascii="Times New Roman" w:hAnsi="Times New Roman"/>
          <w:color w:val="000000"/>
          <w:sz w:val="20"/>
        </w:rPr>
        <w:t>ended December 31, 2020 and 2019.</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6" w:name="pgbrk27"/>
      <w:bookmarkStart w:id="197" w:name="pgbrk27"/>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8" w:name="ftr26"/>
      <w:bookmarkEnd w:id="1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 w:name="pn24"/>
      <w:bookmarkEnd w:id="199"/>
      <w:r>
        <w:rPr>
          <w:rFonts w:ascii="Times New Roman" w:hAnsi="Times New Roman"/>
          <w:sz w:val="20"/>
        </w:rPr>
        <w:t>27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00" w:name="pb26"/>
      <w:bookmarkStart w:id="201" w:name="pb26"/>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2" w:name="hdr27"/>
      <w:bookmarkEnd w:id="2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360" w:right="0" w:hanging="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Research and development expenses include, but are not limited to, (i) expenses incurred under agreements with CROs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years ended December 31, 2020 and 2019, respectively, are as follows:</w:t>
      </w:r>
    </w:p>
    <w:p>
      <w:pPr>
        <w:pStyle w:val="TextBody"/>
        <w:spacing w:before="0" w:after="0"/>
        <w:rPr/>
      </w:pPr>
      <w:r>
        <w:rPr/>
        <w:t> </w:t>
      </w:r>
    </w:p>
    <w:tbl>
      <w:tblPr>
        <w:tblW w:w="7459" w:type="dxa"/>
        <w:jc w:val="left"/>
        <w:tblInd w:w="0" w:type="dxa"/>
        <w:tblCellMar>
          <w:top w:w="0" w:type="dxa"/>
          <w:left w:w="0" w:type="dxa"/>
          <w:bottom w:w="0" w:type="dxa"/>
          <w:right w:w="0" w:type="dxa"/>
        </w:tblCellMar>
      </w:tblPr>
      <w:tblGrid>
        <w:gridCol w:w="3065"/>
        <w:gridCol w:w="1217"/>
        <w:gridCol w:w="1217"/>
        <w:gridCol w:w="1070"/>
        <w:gridCol w:w="890"/>
      </w:tblGrid>
      <w:tr>
        <w:trPr/>
        <w:tc>
          <w:tcPr>
            <w:tcW w:w="3065" w:type="dxa"/>
            <w:tcBorders/>
            <w:shd w:fill="auto" w:val="clear"/>
            <w:vAlign w:val="center"/>
          </w:tcPr>
          <w:p>
            <w:pPr>
              <w:pStyle w:val="TableContents"/>
              <w:spacing w:before="0" w:after="0"/>
              <w:ind w:left="0" w:right="0" w:hanging="0"/>
              <w:rPr/>
            </w:pPr>
            <w:r>
              <w:rPr/>
              <w:t> </w:t>
            </w:r>
          </w:p>
        </w:tc>
        <w:tc>
          <w:tcPr>
            <w:tcW w:w="2434"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For the year ended December 31,</w:t>
            </w:r>
          </w:p>
          <w:p>
            <w:pPr>
              <w:pStyle w:val="TableContents"/>
              <w:spacing w:before="0" w:after="0"/>
              <w:jc w:val="left"/>
              <w:rPr/>
            </w:pPr>
            <w:r>
              <w:rPr/>
              <w:t> </w:t>
            </w:r>
          </w:p>
        </w:tc>
        <w:tc>
          <w:tcPr>
            <w:tcW w:w="107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Increase/</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(Decrease)</w:t>
            </w:r>
          </w:p>
          <w:p>
            <w:pPr>
              <w:pStyle w:val="TableContents"/>
              <w:spacing w:before="0" w:after="0"/>
              <w:jc w:val="left"/>
              <w:rPr/>
            </w:pPr>
            <w:r>
              <w:rPr/>
              <w:t> </w:t>
            </w:r>
          </w:p>
        </w:tc>
        <w:tc>
          <w:tcPr>
            <w:tcW w:w="89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 Increase/</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(Decrease)</w:t>
            </w:r>
          </w:p>
          <w:p>
            <w:pPr>
              <w:pStyle w:val="TableContents"/>
              <w:spacing w:before="0" w:after="0"/>
              <w:jc w:val="left"/>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121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21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c>
          <w:tcPr>
            <w:tcW w:w="107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9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Clinical and preclinical development</w:t>
            </w:r>
          </w:p>
        </w:tc>
        <w:tc>
          <w:tcPr>
            <w:tcW w:w="12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$4,281,884</w:t>
            </w:r>
            <w:r>
              <w:rPr>
                <w:color w:val="000000"/>
              </w:rPr>
              <w:t> </w:t>
            </w:r>
          </w:p>
        </w:tc>
        <w:tc>
          <w:tcPr>
            <w:tcW w:w="12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$3,217,596</w:t>
            </w:r>
            <w:r>
              <w:rPr>
                <w:color w:val="000000"/>
              </w:rPr>
              <w:t> </w:t>
            </w:r>
          </w:p>
        </w:tc>
        <w:tc>
          <w:tcPr>
            <w:tcW w:w="10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$1,064,288</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33%</w:t>
            </w:r>
          </w:p>
        </w:tc>
      </w:tr>
      <w:tr>
        <w:trPr/>
        <w:tc>
          <w:tcPr>
            <w:tcW w:w="306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Personnel costs</w:t>
            </w:r>
          </w:p>
        </w:tc>
        <w:tc>
          <w:tcPr>
            <w:tcW w:w="121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250,228</w:t>
            </w:r>
            <w:r>
              <w:rPr>
                <w:color w:val="000000"/>
              </w:rPr>
              <w:t> </w:t>
            </w:r>
          </w:p>
        </w:tc>
        <w:tc>
          <w:tcPr>
            <w:tcW w:w="121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215,907</w:t>
            </w:r>
            <w:r>
              <w:rPr>
                <w:color w:val="000000"/>
              </w:rPr>
              <w:t> </w:t>
            </w:r>
          </w:p>
        </w:tc>
        <w:tc>
          <w:tcPr>
            <w:tcW w:w="107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34,321</w:t>
            </w:r>
            <w:r>
              <w:rPr>
                <w:color w:val="000000"/>
              </w:rPr>
              <w:t> </w:t>
            </w:r>
          </w:p>
        </w:tc>
        <w:tc>
          <w:tcPr>
            <w:tcW w:w="89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16%</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Other costs</w:t>
            </w:r>
          </w:p>
        </w:tc>
        <w:tc>
          <w:tcPr>
            <w:tcW w:w="12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2,025</w:t>
            </w:r>
            <w:r>
              <w:rPr>
                <w:color w:val="000000"/>
              </w:rPr>
              <w:t> </w:t>
            </w:r>
          </w:p>
        </w:tc>
        <w:tc>
          <w:tcPr>
            <w:tcW w:w="12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21,050</w:t>
            </w:r>
            <w:r>
              <w:rPr>
                <w:color w:val="000000"/>
              </w:rPr>
              <w:t> </w:t>
            </w:r>
          </w:p>
        </w:tc>
        <w:tc>
          <w:tcPr>
            <w:tcW w:w="10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(19,025)</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(90)%</w:t>
            </w:r>
          </w:p>
        </w:tc>
      </w:tr>
      <w:tr>
        <w:trPr/>
        <w:tc>
          <w:tcPr>
            <w:tcW w:w="306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Consulting</w:t>
            </w:r>
          </w:p>
        </w:tc>
        <w:tc>
          <w:tcPr>
            <w:tcW w:w="121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26,587</w:t>
            </w:r>
            <w:r>
              <w:rPr>
                <w:color w:val="000000"/>
              </w:rPr>
              <w:t> </w:t>
            </w:r>
          </w:p>
        </w:tc>
        <w:tc>
          <w:tcPr>
            <w:tcW w:w="121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16,600</w:t>
            </w:r>
            <w:r>
              <w:rPr>
                <w:color w:val="000000"/>
              </w:rPr>
              <w:t> </w:t>
            </w:r>
          </w:p>
        </w:tc>
        <w:tc>
          <w:tcPr>
            <w:tcW w:w="107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9,987</w:t>
            </w:r>
            <w:r>
              <w:rPr>
                <w:color w:val="000000"/>
              </w:rPr>
              <w:t> </w:t>
            </w:r>
          </w:p>
        </w:tc>
        <w:tc>
          <w:tcPr>
            <w:tcW w:w="89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60%</w:t>
            </w:r>
          </w:p>
        </w:tc>
      </w:tr>
    </w:tbl>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Clinical and preclinical development: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Clinical and preclinical development costs include, primarily, the costs associated with our Phase 2 HELP Study for levosimendan, which was initiated during fiscal year 2018 and the trial was completed in the current year. The increase of approximately $1.1 million in clinical and preclinical development costs for the year ended December 31, 2020 compared to the prior year was primarily due to an increase of approximately $1.5 million in expenditures for CRO costs, partially offset by a reduction of approximately $210,000 in costs for clinical research associates to manage the Phase 2 HELP Study, as well as a decrease of approximately $216,000 in the direct costs associated with clinical sites, clinical drug delivery and enrolled patient costs.</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Personnel costs: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Personnel costs increased approximately $34,000 for the year ended December 31, 2020 primarily due to an increase in salaries and bonuses paid in the current year as compared to the prior year.</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Other costs: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Other costs decreased approximately $19,000 for the year </w:t>
      </w:r>
      <w:r>
        <w:rPr>
          <w:rFonts w:ascii="Times New Roman" w:hAnsi="Times New Roman"/>
          <w:color w:val="000000"/>
          <w:sz w:val="20"/>
        </w:rPr>
        <w:t>ended December 31, 2020 due primarily to reductions in costs incurred for travel in the current year as compared to the prior year.</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Consulting fees: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Consulting fees increased approximately $10,000 for the year ended December 31, 2020 due primarily to fees paid to an external consultant to assist in review and analysis of our Phase 2 clinical data in the current year as compared to the prior year</w:t>
      </w:r>
      <w:r>
        <w:rPr>
          <w:rFonts w:ascii="Times New Roman" w:hAnsi="Times New Roman"/>
          <w:color w:val="000000"/>
          <w:sz w:val="20"/>
        </w:rPr>
        <w:t>.</w:t>
      </w:r>
    </w:p>
    <w:p>
      <w:pPr>
        <w:pStyle w:val="TextBody"/>
        <w:spacing w:before="0" w:after="0"/>
        <w:rPr/>
      </w:pPr>
      <w:r>
        <w:rPr/>
        <w:t> </w:t>
      </w:r>
    </w:p>
    <w:p>
      <w:pPr>
        <w:pStyle w:val="TextBody"/>
        <w:spacing w:before="0" w:after="0"/>
        <w:ind w:left="360" w:right="0" w:hanging="0"/>
        <w:jc w:val="left"/>
        <w:rPr>
          <w:rFonts w:ascii="Times New Roman" w:hAnsi="Times New Roman"/>
          <w:b/>
          <w:i/>
          <w:sz w:val="20"/>
        </w:rPr>
      </w:pPr>
      <w:r>
        <w:rPr>
          <w:rFonts w:ascii="Times New Roman" w:hAnsi="Times New Roman"/>
          <w:b/>
          <w:i/>
          <w:sz w:val="20"/>
        </w:rPr>
        <w:t>Other income, net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Other income and expense include non-operating income and expense items not otherwise recorded in our</w:t>
      </w:r>
      <w:r>
        <w:rPr>
          <w:rFonts w:ascii="Times New Roman" w:hAnsi="Times New Roman"/>
          <w:color w:val="000000"/>
          <w:sz w:val="20"/>
        </w:rPr>
        <w:t> </w:t>
      </w:r>
      <w:r>
        <w:rPr>
          <w:rFonts w:ascii="Times New Roman" w:hAnsi="Times New Roman"/>
          <w:sz w:val="20"/>
        </w:rPr>
        <w:t xml:space="preserve">consolidated statement of </w:t>
      </w:r>
      <w:r>
        <w:rPr>
          <w:rFonts w:ascii="Times New Roman" w:hAnsi="Times New Roman"/>
          <w:color w:val="000000"/>
          <w:sz w:val="20"/>
        </w:rPr>
        <w:t>comprehensive loss</w:t>
      </w:r>
      <w:r>
        <w:rPr>
          <w:rFonts w:ascii="Times New Roman" w:hAnsi="Times New Roman"/>
          <w:sz w:val="20"/>
        </w:rPr>
        <w:t xml:space="preserve">. These items include, but are not limited to, changes in the fair value of financial assets and derivative liabilities, interest income earned and fixed asset disposals. Other income for the </w:t>
      </w:r>
      <w:r>
        <w:rPr>
          <w:rFonts w:ascii="Times New Roman" w:hAnsi="Times New Roman"/>
          <w:color w:val="000000"/>
          <w:sz w:val="20"/>
        </w:rPr>
        <w:t>years ended December 31, 2020</w:t>
      </w:r>
      <w:r>
        <w:rPr>
          <w:rFonts w:ascii="Times New Roman" w:hAnsi="Times New Roman"/>
          <w:sz w:val="20"/>
        </w:rPr>
        <w:t xml:space="preserve"> and 2019, respectively, is as follows:</w:t>
      </w:r>
    </w:p>
    <w:p>
      <w:pPr>
        <w:pStyle w:val="TextBody"/>
        <w:spacing w:before="0" w:after="0"/>
        <w:rPr/>
      </w:pPr>
      <w:r>
        <w:rPr/>
        <w:t> </w:t>
      </w:r>
    </w:p>
    <w:tbl>
      <w:tblPr>
        <w:tblW w:w="4844" w:type="dxa"/>
        <w:jc w:val="left"/>
        <w:tblInd w:w="0" w:type="dxa"/>
        <w:tblCellMar>
          <w:top w:w="0" w:type="dxa"/>
          <w:left w:w="0" w:type="dxa"/>
          <w:bottom w:w="0" w:type="dxa"/>
          <w:right w:w="0" w:type="dxa"/>
        </w:tblCellMar>
      </w:tblPr>
      <w:tblGrid>
        <w:gridCol w:w="1475"/>
        <w:gridCol w:w="1148"/>
        <w:gridCol w:w="1286"/>
        <w:gridCol w:w="935"/>
      </w:tblGrid>
      <w:tr>
        <w:trPr/>
        <w:tc>
          <w:tcPr>
            <w:tcW w:w="1475" w:type="dxa"/>
            <w:tcBorders/>
            <w:shd w:fill="auto" w:val="clear"/>
            <w:vAlign w:val="center"/>
          </w:tcPr>
          <w:p>
            <w:pPr>
              <w:pStyle w:val="TableContents"/>
              <w:spacing w:before="0" w:after="0"/>
              <w:ind w:left="0" w:right="0" w:hanging="0"/>
              <w:rPr/>
            </w:pPr>
            <w:r>
              <w:rPr/>
              <w:t> </w:t>
            </w:r>
          </w:p>
        </w:tc>
        <w:tc>
          <w:tcPr>
            <w:tcW w:w="2434"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For the year ended December 31,</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(Increase)/</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Decrease</w:t>
            </w:r>
          </w:p>
          <w:p>
            <w:pPr>
              <w:pStyle w:val="TableContents"/>
              <w:spacing w:before="0" w:after="0"/>
              <w:jc w:val="left"/>
              <w:rPr/>
            </w:pPr>
            <w:r>
              <w:rPr/>
              <w:t> </w:t>
            </w:r>
          </w:p>
        </w:tc>
      </w:tr>
      <w:tr>
        <w:trPr/>
        <w:tc>
          <w:tcPr>
            <w:tcW w:w="1475" w:type="dxa"/>
            <w:tcBorders/>
            <w:shd w:fill="auto" w:val="clear"/>
            <w:vAlign w:val="center"/>
          </w:tcPr>
          <w:p>
            <w:pPr>
              <w:pStyle w:val="TableContents"/>
              <w:spacing w:before="0" w:after="0"/>
              <w:ind w:left="0" w:right="0" w:hanging="0"/>
              <w:rPr/>
            </w:pPr>
            <w:r>
              <w:rPr/>
              <w:t> </w:t>
            </w:r>
          </w:p>
        </w:tc>
        <w:tc>
          <w:tcPr>
            <w:tcW w:w="1148"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286"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147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Other income, net</w:t>
            </w:r>
          </w:p>
        </w:tc>
        <w:tc>
          <w:tcPr>
            <w:tcW w:w="114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$(18,166)</w:t>
            </w:r>
          </w:p>
        </w:tc>
        <w:tc>
          <w:tcPr>
            <w:tcW w:w="128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$(160,901)</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$142,735</w:t>
            </w:r>
            <w:r>
              <w:rPr>
                <w:color w:val="000000"/>
              </w:rPr>
              <w:t> </w:t>
            </w:r>
          </w:p>
        </w:tc>
      </w:tr>
    </w:tbl>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 w:name="pgbrk28"/>
      <w:bookmarkStart w:id="204" w:name="pgbrk28"/>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5" w:name="ftr27"/>
      <w:bookmarkEnd w:id="2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6" w:name="pn25"/>
      <w:bookmarkEnd w:id="206"/>
      <w:r>
        <w:rPr>
          <w:rFonts w:ascii="Times New Roman" w:hAnsi="Times New Roman"/>
          <w:sz w:val="20"/>
        </w:rPr>
        <w:t>28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07" w:name="pb27"/>
      <w:bookmarkStart w:id="208" w:name="pb27"/>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9" w:name="hdr28"/>
      <w:bookmarkEnd w:id="20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Other income decreased approximately $143,000 for the year ended December 31, 2020 compared to the prior year. This decrease is due primarily to a decrease in the interest earned on our investment in marketable securities.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During the year ended December 31, 2020, we recorded interest income of approximately $24,000 from our investments in marketable securities. This income is derived from approximately $31,000 in bond interest paid and approximately $7,000 in fair-value adjustments for the year, which compares to approximately $144,000 in bond interest paid, net of charges for amortization of premiums paid and fair-value adjustments during the prior year.</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Liquidity, capital resources and plan of operation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incurred losses since our inception and as of December 31, 2020, we had an accumulated deficit of approximately $246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as well as identifying and developing other potential product candidates, and as a result, we will need to generate significant net product sales, royalty and other revenues to achieve profitability.</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Liquidity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financed our operations since September 1990 through the issuance of debt and equity securities and loans from stockholders. We had total current assets of $6,795,506 and $6,180,829 and working capital of $4,676,543 and $3,648,434 as of December 31, 2020 and December 31, 2019, respectively. Our practice is to invest excess cash, where available, in short-term money market investment instruments and high quality corporate and government bonds.</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Clinical and Preclinical Product Development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are currently developing a new formulation for imatinib and conducting a clinical trial to transition from an intravenous to oral formulation of levosimendan in North America for the treatment of pulmonary hypertension. Our ability to continue to pursue development of our products beyond the third quarter of calendar year 2021 will depend on obtaining license income or outside financial resources. There is no assurance that we will obtain any license agreement or outside financing or that we will otherwise succeed in obtaining any necessary resources.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The continued spread of COVID-19 globally could adversely affect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complete our clinical trials or release clinical trial results. See “</w:t>
      </w:r>
      <w:r>
        <w:rPr>
          <w:rFonts w:ascii="Times New Roman" w:hAnsi="Times New Roman"/>
          <w:i/>
          <w:color w:val="000000"/>
          <w:sz w:val="20"/>
        </w:rPr>
        <w:t>Item 1A – Risk Factors</w:t>
      </w:r>
      <w:r>
        <w:rPr>
          <w:rFonts w:ascii="Times New Roman" w:hAnsi="Times New Roman"/>
          <w:color w:val="000000"/>
          <w:sz w:val="20"/>
        </w:rPr>
        <w:t>” above for additional discussion.</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Financings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On July 6, 2020 entered into a definitive agreement with a single healthcare-focused institutional investor, or the Investor, for the issuance and sale of 2,523,611 shares of our common stock at a purchase price of $1.0278 per share and pre-funded warrants to purchase up to 652,313 shares of common stock, at a purchase price of $1.0277 per pre-funded warrant (which represents the per share offering price for the common stock less $0.0001, the exercise price of each pre-funded warrant), in a registered direct offering priced at-the-market under Nasdaq rules. Additionally, in a concurrent private placement, we agreed to issue to the Investor unregistered pre-funded warrants to purchase up to 4,607,692 shares of common stock, at the same purchase price as the registered pre-funded warrants, as well as unregistered warrants to purchase up to an aggregate of 7,783,616 shares of common stock.</w:t>
      </w:r>
      <w:r>
        <w:rPr>
          <w:rFonts w:ascii="Times New Roman" w:hAnsi="Times New Roman"/>
          <w:sz w:val="20"/>
        </w:rPr>
        <w:t xml:space="preserve"> The unregistered warrants have an exercise price of $0.903 per share, were immediately exercisable upon issuance, and expire five and one-half years from the date of issuance. </w:t>
      </w:r>
      <w:r>
        <w:rPr>
          <w:rFonts w:ascii="Times New Roman" w:hAnsi="Times New Roman"/>
          <w:color w:val="000000"/>
          <w:sz w:val="20"/>
        </w:rPr>
        <w:t>The aggregate gross proceeds to us of both offerings were approximately $8.0 million. As part of the offerings and subject to Nasdaq rules, the Investor will have the right to designate two directors to our Board of Directors. The offerings closed on July 8, 2020.</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agreed to pay H.C. Wainwright &amp; Co., LLC, or the Placement Agent, a cash fee equal to 7.5% of the gross proceeds of the July 2020 offering, totaling approximately $600,000. We also agreed to pay the Placement Agent $75,000 for non-accountable expenses, a management fee equal to 1.0% of the gross proceeds and up to $12,900 for clearing fees. In addition, we issued designees of the Placement Agent warrants to purchase 583,771 shares of common stock (representing 7.5% of the aggregate number of shares of common stock (or common stock equivalents) sold in the July 2020 offering). The Placement Agent warrants have substantially the same terms as the unregistered warrants, except that the Placement Agent warrants have an exercise price equal to $1.2848, or 125% of the offering price per share of common stock and will be exercisable for five years from the effective date of the July 2020 offering.</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 w:name="pgbrk29"/>
      <w:bookmarkStart w:id="211" w:name="pgbrk29"/>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2" w:name="ftr28"/>
      <w:bookmarkEnd w:id="2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3" w:name="pn26"/>
      <w:bookmarkEnd w:id="213"/>
      <w:r>
        <w:rPr>
          <w:rFonts w:ascii="Times New Roman" w:hAnsi="Times New Roman"/>
          <w:sz w:val="20"/>
        </w:rPr>
        <w:t>29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14" w:name="pb28"/>
      <w:bookmarkStart w:id="215" w:name="pb28"/>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6" w:name="hdr29"/>
      <w:bookmarkEnd w:id="2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shares of common stock and pre-funded warrants offered in the registered direct offering (including the shares of common stock underlying the pre-funded warrants) were offered and sold pursuant to a “shelf” registration statement on Form S-3 which was declared effective by the SEC on May 23, 2018. The unregistered pre-funded warrants and unregistered warrants described above were offered in a private placement under Section 4(a)(2) of the Securities Act and Regulation D promulgated thereunder and, along with the shares of common stock underlying the pre-funded warrants and the warrants, have not been registered under the Securities Act, or applicable state securities laws. The net proceeds from the July 2020 offering, after deducting placement agent fees and other direct offering expenses, were approximately $6.5 million. We are using the net proceeds to further our clinical trials of levosimendan, for research and development and general corporate purposes, including working capital and potential acquisitions.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March 11, 2020, we entered into a definitive agreement with the Investor for the issuance and sale of 750,000 shares of our common stock at a purchase price of $1.1651 per share and pre-funded warrants to purchase up to 1,610,313 shares of common stock, at a purchase price of $1.1650 per pre-funded warrant (which represents the per share offering price for the common stock less $0.0001, the exercise price of each pre-funded warrant), for gross proceeds of approximately $2.75 million, in a registered direct offering priced at-the-market under Nasdaq rules. Additionally, in a concurrent private placement, we also agreed to issue to the Investor unregistered warrants to purchase up to 2,360,313 shares of common stock. The unregistered warrants have an exercise price of $1.04 per share and exercise period commencing immediately upon the issuance date and a term of five and one-half years. The offering closed on March 13, 2020.</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agreed to pay the Placement Agent a cash fee equal to 7.5% of the gross proceeds of the March 2020 offering, totaling approximately $206,250. We also agreed to pay the Placement Agent $75,000 for non-accountable expenses, a management fee equal to 1.0% of the gross proceeds and up to $12,900 for clearing fees. In addition, we issued designees of the Placement Agent warrants to purchase 177,023 shares of common stock (representing 7.5% of the aggregate number of shares of common stock (or common stock equivalents) sold in the March 2020 offering). The Placement Agent warrants have substantially the same terms as the unregistered warrants, except that the Placement Agent warrants have an exercise price equal to $1.4564, or 125% of the offering price per share of common stock and will be exercisable for five years from the effective date of the March 2020 offering.</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shares of common stock and pre-funded warrants offered in the registered direct offering (including the shares of common stock underlying the pre-funded warrants) were offered and sold pursuant to a “shelf” registration statement on Form S-3, which was declared effective by the SEC on May 23, 2018. The unregistered warrants described above were offered in a private placement under Section 4(a)(2) of the Securities Act, and Regulation D promulgated thereunder and, along with the shares of common stock underlying the warrants, have not been registered under the Securities Act, or applicable state securities laws. The net proceeds from the March 2020 offering, after deducting placement agent fees and other direct offering expenses, were approximately $2.125 million. We intend to use the net proceeds to further our clinical trials of levosimendan, for research and development and general corporate purposes, including working capital and potential acquisitions.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We have an effective shelf registration statement on Form S-3 on file with the SEC that allows us to periodically offer and sell, individually or in any combination, shares of common stock, shares of preferred stock, debt securities, warrants to purchase shares of common stock or preferred stock or debt securities, and units consisting of any combination of the foregoing types of securities, up to a total of $75.0 million (of which approximately $69.0 million remains available), but not to exceed one-third of our public float in any 12-month period. As of March 25, 2021, our public float (which is the aggregate market value of our outstanding common stock held by non-affiliates) is approximately $23.9 million. Our ability to issue securities under the shelf registration statement is also subject to market conditions</w:t>
      </w:r>
      <w:r>
        <w:rPr>
          <w:rFonts w:ascii="Times New Roman" w:hAnsi="Times New Roman"/>
          <w:sz w:val="20"/>
        </w:rPr>
        <w:t>.</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 w:name="pgbrk30"/>
      <w:bookmarkStart w:id="218" w:name="pgbrk30"/>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9" w:name="ftr29"/>
      <w:bookmarkEnd w:id="2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0" w:name="pn27"/>
      <w:bookmarkEnd w:id="220"/>
      <w:r>
        <w:rPr>
          <w:rFonts w:ascii="Times New Roman" w:hAnsi="Times New Roman"/>
          <w:sz w:val="20"/>
        </w:rPr>
        <w:t>30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21" w:name="pb29"/>
      <w:bookmarkStart w:id="222" w:name="pb29"/>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3" w:name="hdr30"/>
      <w:bookmarkEnd w:id="2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Paycheck Protection Program Loan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April 30, 2020, we received the PPP Loan in the principal amount of $244,657. The PPP Loan has a two-year term and bears interest at a rate of 1.00% per annum. Monthly principal and interest payments are deferred for sixteen months. Beginning September 30, 2021, we are required to make monthly payments of principal and interest of approximately $31,100 to the Lender. We did not provide any collateral or guarantees for the PPP Loan, nor did we pay any facility charge to obtain the PPP Loan. The note governing the PPP Loan provides for customary events of default, including, among others, those relating to failure to make payment, bankruptcy, breaches of representations, and material adverse effects. We may prepay the principal of the PPP Loan at any time, subject to certain notice requirements.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Under the terms of the CARES Act, Paycheck Protection Program loan recipients can apply for and be granted forgiveness for all or a portion of a loan granted under the program. Such forgiveness will be determined, subject to limitations, based on the use of loan proceeds for payment of payroll costs and any payments of mortgage interest, rent, and utilities. We are using the proceeds from the PPP Loan to fund payroll costs in accordance with the relevant terms and conditions of the CARES Act. However, no assurance is provided that forgiveness for any portion of the PPP Loan will be obtained</w:t>
      </w:r>
      <w:r>
        <w:rPr>
          <w:rFonts w:ascii="Times New Roman" w:hAnsi="Times New Roman"/>
          <w:color w:val="000000"/>
          <w:sz w:val="20"/>
        </w:rPr>
        <w: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the current and long-term portions of the PPP Loan were $120,491 and $124,166, respectively.</w:t>
      </w:r>
    </w:p>
    <w:p>
      <w:pPr>
        <w:pStyle w:val="TextBody"/>
        <w:spacing w:before="0" w:after="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Cash Flows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shows a summary of our cash flows for the periods indicated:</w:t>
      </w:r>
    </w:p>
    <w:p>
      <w:pPr>
        <w:pStyle w:val="TextBody"/>
        <w:spacing w:before="0" w:after="0"/>
        <w:rPr/>
      </w:pPr>
      <w:r>
        <w:rPr/>
        <w:t> </w:t>
      </w:r>
    </w:p>
    <w:tbl>
      <w:tblPr>
        <w:tblW w:w="6924" w:type="dxa"/>
        <w:jc w:val="left"/>
        <w:tblInd w:w="0" w:type="dxa"/>
        <w:tblCellMar>
          <w:top w:w="0" w:type="dxa"/>
          <w:left w:w="0" w:type="dxa"/>
          <w:bottom w:w="0" w:type="dxa"/>
          <w:right w:w="0" w:type="dxa"/>
        </w:tblCellMar>
      </w:tblPr>
      <w:tblGrid>
        <w:gridCol w:w="4475"/>
        <w:gridCol w:w="1216"/>
        <w:gridCol w:w="1233"/>
      </w:tblGrid>
      <w:tr>
        <w:trPr/>
        <w:tc>
          <w:tcPr>
            <w:tcW w:w="4475" w:type="dxa"/>
            <w:tcBorders/>
            <w:shd w:fill="auto" w:val="clear"/>
            <w:vAlign w:val="center"/>
          </w:tcPr>
          <w:p>
            <w:pPr>
              <w:pStyle w:val="TableContents"/>
              <w:spacing w:before="0" w:after="0"/>
              <w:ind w:left="0" w:right="0" w:hanging="0"/>
              <w:rPr/>
            </w:pPr>
            <w:r>
              <w:rPr/>
              <w:t> </w:t>
            </w:r>
          </w:p>
        </w:tc>
        <w:tc>
          <w:tcPr>
            <w:tcW w:w="244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For the year ended December 31,</w:t>
            </w:r>
          </w:p>
          <w:p>
            <w:pPr>
              <w:pStyle w:val="TableContents"/>
              <w:spacing w:before="0" w:after="0"/>
              <w:jc w:val="left"/>
              <w:rPr/>
            </w:pPr>
            <w:r>
              <w:rPr/>
              <w:t> </w:t>
            </w:r>
          </w:p>
        </w:tc>
      </w:tr>
      <w:tr>
        <w:trPr/>
        <w:tc>
          <w:tcPr>
            <w:tcW w:w="4475" w:type="dxa"/>
            <w:tcBorders/>
            <w:shd w:fill="auto" w:val="clear"/>
            <w:vAlign w:val="center"/>
          </w:tcPr>
          <w:p>
            <w:pPr>
              <w:pStyle w:val="TableContents"/>
              <w:spacing w:before="0" w:after="0"/>
              <w:ind w:left="0" w:right="0" w:hanging="0"/>
              <w:rPr/>
            </w:pPr>
            <w:r>
              <w:rPr/>
              <w:t> </w:t>
            </w:r>
          </w:p>
        </w:tc>
        <w:tc>
          <w:tcPr>
            <w:tcW w:w="1216"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23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r>
      <w:tr>
        <w:trPr/>
        <w:tc>
          <w:tcPr>
            <w:tcW w:w="4475"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Net cash used in operating activities</w:t>
            </w:r>
          </w:p>
        </w:tc>
        <w:tc>
          <w:tcPr>
            <w:tcW w:w="121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$(9,272,856)</w:t>
            </w:r>
          </w:p>
        </w:tc>
        <w:tc>
          <w:tcPr>
            <w:tcW w:w="123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$(7,556,177)</w:t>
            </w:r>
          </w:p>
        </w:tc>
      </w:tr>
      <w:tr>
        <w:trPr/>
        <w:tc>
          <w:tcPr>
            <w:tcW w:w="447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21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20,109</w:t>
            </w:r>
            <w:r>
              <w:rPr>
                <w:color w:val="000000"/>
              </w:rPr>
              <w:t> </w:t>
            </w:r>
          </w:p>
        </w:tc>
        <w:tc>
          <w:tcPr>
            <w:tcW w:w="123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(1,651)</w:t>
            </w:r>
          </w:p>
        </w:tc>
      </w:tr>
      <w:tr>
        <w:trPr/>
        <w:tc>
          <w:tcPr>
            <w:tcW w:w="4475"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Net cash provided by financing activities</w:t>
            </w:r>
          </w:p>
        </w:tc>
        <w:tc>
          <w:tcPr>
            <w:tcW w:w="121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10,596,995</w:t>
            </w:r>
            <w:r>
              <w:rPr>
                <w:color w:val="000000"/>
              </w:rPr>
              <w:t> </w:t>
            </w:r>
          </w:p>
        </w:tc>
        <w:tc>
          <w:tcPr>
            <w:tcW w:w="123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96,500</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Net cash used in operating activities.</w:t>
      </w:r>
      <w:r>
        <w:rPr>
          <w:rFonts w:ascii="Times New Roman" w:hAnsi="Times New Roman"/>
          <w:sz w:val="20"/>
        </w:rPr>
        <w:t xml:space="preserve">  Net cash used in operating activities was approximately $9.3 million for the year ended December 31, 2020 compared to net cash used in operating activities of approximately $7.6 million for the year ended December 31, 2019. The increase in cash used for operating activities was due primarily to an increase in our accrued costs related to the Phase 2 clinical trial for levosimendan in the current period.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Net cash provided by (used in) investing activities</w:t>
      </w:r>
      <w:r>
        <w:rPr>
          <w:rFonts w:ascii="Times New Roman" w:hAnsi="Times New Roman"/>
          <w:sz w:val="20"/>
        </w:rPr>
        <w:t>. Net cash provided by investing activities was approximately $20,000 for the year ended December 31, 2020 compared to approximately $2,000 used in the year ended December 31, 2019. The increase in cash provided by investing activities was primarily due to a decrease in the purchase of marketable securities in the current period.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Net cash provided by financing activities</w:t>
      </w:r>
      <w:r>
        <w:rPr>
          <w:rFonts w:ascii="Times New Roman" w:hAnsi="Times New Roman"/>
          <w:sz w:val="20"/>
        </w:rPr>
        <w:t>. Net cash provided by financing activities was approximately $10.6 million for the year ended December 31, 2020 compared to approximately $97,000 for the year ended December 31, 2019. The increase in cash provided by financing activities was due to net proceeds of approximately $6.5 million from the July 2020 offering, net proceeds of approximately $2.1 million from the March 2020 offering, the issuance of 877,203 shares of common stock upon the exercise of approximately $1.7 million of outstanding warrants and the receipt of approximately $245,000 under the PPP Loan in the current period.</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4" w:name="pgbrk31"/>
      <w:bookmarkStart w:id="225" w:name="pgbrk31"/>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6" w:name="ftr30"/>
      <w:bookmarkEnd w:id="2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7" w:name="pn28"/>
      <w:bookmarkEnd w:id="227"/>
      <w:r>
        <w:rPr>
          <w:rFonts w:ascii="Times New Roman" w:hAnsi="Times New Roman"/>
          <w:sz w:val="20"/>
        </w:rPr>
        <w:t>31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28" w:name="pb30"/>
      <w:bookmarkStart w:id="229" w:name="pb3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0" w:name="hdr31"/>
      <w:bookmarkEnd w:id="2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Capital and Capital Expenditure Requirements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future capital requirements will depend on many factors that include, but are not limited to the following:</w:t>
      </w:r>
    </w:p>
    <w:p>
      <w:pPr>
        <w:pStyle w:val="TextBody"/>
        <w:spacing w:before="0" w:after="0"/>
        <w:rPr/>
      </w:pPr>
      <w:r>
        <w:rPr/>
        <w:t> </w:t>
      </w:r>
    </w:p>
    <w:tbl>
      <w:tblPr>
        <w:tblW w:w="9845" w:type="dxa"/>
        <w:jc w:val="left"/>
        <w:tblInd w:w="360" w:type="dxa"/>
        <w:tblCellMar>
          <w:top w:w="0" w:type="dxa"/>
          <w:left w:w="0" w:type="dxa"/>
          <w:bottom w:w="0" w:type="dxa"/>
          <w:right w:w="0" w:type="dxa"/>
        </w:tblCellMar>
      </w:tblPr>
      <w:tblGrid>
        <w:gridCol w:w="95"/>
        <w:gridCol w:w="9750"/>
      </w:tblGrid>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initiation, progress, timing and completion of clinical trials for our product candidates and potential product candidates;</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outcome, timing and cost of regulatory approvals and the regulatory approval process;</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delays that may be caused by the global coronavirus pandemic</w:t>
            </w:r>
            <w:r>
              <w:rPr>
                <w:rFonts w:ascii="Times New Roman" w:hAnsi="Times New Roman"/>
                <w:color w:val="000000"/>
                <w:sz w:val="20"/>
              </w:rPr>
              <w:t>;</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delays that may be caused by changing regulatory requirements;</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number of product candidates that we pursue;</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costs involved in filing and prosecuting patent applications and enforcing and defending patent claims;</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timing and terms of future collaboration, licensing, consulting or other arrangements that we may enter into;</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center"/>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cost and timing of establishing sales, marketing, manufacturing and distribution capabilities;</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center"/>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cost of procuring clinical and commercial supplies of our product candidates;</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center"/>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extent to which we acquire or invest in businesses, products or technologies; and</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center"/>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possible costs of litigation.</w:t>
            </w:r>
          </w:p>
          <w:p>
            <w:pPr>
              <w:pStyle w:val="TableContents"/>
              <w:spacing w:before="0" w:after="0"/>
              <w:ind w:left="0" w:right="0" w:hanging="0"/>
              <w:jc w:val="both"/>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Based on our working capital on December 31, 2020, we believe we have sufficient capital on hand to continue to fund operations through the third quarter of calendar year 2021.</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will need substantial additional capital beyond the third quarter of calendar year 2021 and in the future in order to complete the regulatory approval and commercialization of levosimendan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2020 consolidated financial statements includes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Off-Balance Sheet Arrangements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Since our inception, we have not engaged in any off-balance sheet arrangements, including the use of structured finance, special purpose entities or variable interest entities.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Summary of Critical Accounting Policies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Use of Estimates</w:t>
      </w:r>
      <w:r>
        <w:rPr>
          <w:rFonts w:ascii="Times New Roman" w:hAnsi="Times New Roman"/>
          <w:sz w:val="20"/>
        </w:rPr>
        <w:t>—The preparation of the accompanying consolidated financial statements in conformity with accounting principles generally accepted in the 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1" w:name="pgbrk32"/>
      <w:bookmarkStart w:id="232" w:name="pgbrk32"/>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3" w:name="ftr31"/>
      <w:bookmarkEnd w:id="2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4" w:name="pn29"/>
      <w:bookmarkEnd w:id="234"/>
      <w:r>
        <w:rPr>
          <w:rFonts w:ascii="Times New Roman" w:hAnsi="Times New Roman"/>
          <w:sz w:val="20"/>
        </w:rPr>
        <w:t>32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35" w:name="pb31"/>
      <w:bookmarkStart w:id="236" w:name="pb31"/>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7" w:name="hdr32"/>
      <w:bookmarkEnd w:id="2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Preclinical Study and Clinical Accruals</w:t>
      </w:r>
      <w:r>
        <w:rPr>
          <w:rFonts w:ascii="Times New Roman" w:hAnsi="Times New Roman"/>
          <w:sz w:val="20"/>
        </w:rPr>
        <w:t>—We estimate our preclinical study and clinical trial expenses based on the services received pursuant to contracts with 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pStyle w:val="TextBody"/>
        <w:spacing w:before="0" w:after="0"/>
        <w:rPr/>
      </w:pPr>
      <w:r>
        <w:rPr/>
        <w:t> </w:t>
      </w:r>
    </w:p>
    <w:tbl>
      <w:tblPr>
        <w:tblW w:w="9845" w:type="dxa"/>
        <w:jc w:val="left"/>
        <w:tblInd w:w="360" w:type="dxa"/>
        <w:tblCellMar>
          <w:top w:w="0" w:type="dxa"/>
          <w:left w:w="0" w:type="dxa"/>
          <w:bottom w:w="0" w:type="dxa"/>
          <w:right w:w="0" w:type="dxa"/>
        </w:tblCellMar>
      </w:tblPr>
      <w:tblGrid>
        <w:gridCol w:w="95"/>
        <w:gridCol w:w="9750"/>
      </w:tblGrid>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18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fees paid to CROs in connection with clinical trials;</w:t>
            </w:r>
          </w:p>
          <w:p>
            <w:pPr>
              <w:pStyle w:val="TableContents"/>
              <w:spacing w:before="0" w:after="0"/>
              <w:ind w:left="18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fees paid to research institutions in conjunction with preclinical research studies; and</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fees paid to contract manufacturers and service providers in connection with the production and testing of active pharmaceutical ingredients and drug materials for use in preclinical studies and clinical trials.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i/>
          <w:sz w:val="20"/>
        </w:rPr>
        <w:t>Stock-Based Compensation</w:t>
      </w:r>
      <w:r>
        <w:rPr>
          <w:rFonts w:ascii="Times New Roman" w:hAnsi="Times New Roman"/>
          <w:sz w:val="20"/>
        </w:rPr>
        <w:t>—We account for stock-based awards to employees in accordance with Accounting Standards Codification, or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our common stock. The values of these awards are based upon their grant-date fair value. That cost is recognized over the period during which the employee is required to provide service in exchange for the reward.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account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December 2019, the Financial Accounting Standards Board, or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We are currently evaluating this standard, but we do not believe the adoption of the new guidance will have a material impact on our consolidated financial statements.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February 2016, the FASB issued an accounting standard intended to improve financial reporting regarding leasing transactions. The standard requires us to recognize on our balance sheet the assets and liabilities for the rights and obligations created by all leased assets. The standard also requires us to provide enhanced disclosures designed to enable users of financial statements to understand the amount, timing, and uncertainty of cash flows arising from all leases, operating and capital, with lease terms greater than 12 months. The standard was effective for financial statements beginning after December 15, 2018, and interim periods within those annual periods. Early adoption was permitted.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We adopted this standard on January 1, 2019, using the required modified-retrospective approach as of the effective date. We elected the package of practical expedients permitted under the transition guidance within the new standard, which among other things, allows us to carryforward the historical lease classification. We made an accounting policy election to account for leases with an initial term of 12 months or less similar to previous guidance for operating leases, under which we recognize those lease payments in the consolidated statements of operations and comprehensive loss on a straight-line basis over the lease term. Results for the year ended December 31, 2019 continue to be reported in accordance with historical accounting under previous lease guidance, the ASC Topic 840, Leases</w:t>
      </w:r>
      <w:r>
        <w:rPr>
          <w:rFonts w:ascii="Times New Roman" w:hAnsi="Times New Roman"/>
          <w:sz w:val="20"/>
        </w:rPr>
        <w:t>.</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We do not believe the adoption of this standard will have a material impact on our consolidated financial statements and related disclosures.</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8" w:name="pgbrk33"/>
      <w:bookmarkStart w:id="239" w:name="pgbrk33"/>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0" w:name="ftr32"/>
      <w:bookmarkEnd w:id="2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1" w:name="pn30"/>
      <w:bookmarkEnd w:id="241"/>
      <w:r>
        <w:rPr>
          <w:rFonts w:ascii="Times New Roman" w:hAnsi="Times New Roman"/>
          <w:sz w:val="20"/>
        </w:rPr>
        <w:t>33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42" w:name="pb32"/>
      <w:bookmarkStart w:id="243" w:name="pb32"/>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4" w:name="hdr33"/>
      <w:bookmarkEnd w:id="2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7A—</w:t>
      </w:r>
      <w:bookmarkStart w:id="245" w:name="QUAN"/>
      <w:bookmarkEnd w:id="245"/>
      <w:r>
        <w:rPr>
          <w:rFonts w:ascii="Times New Roman" w:hAnsi="Times New Roman"/>
          <w:b/>
          <w:sz w:val="20"/>
        </w:rPr>
        <w:t>QUANTITATIVE AND QUALITATIVE DISCLOSURES ABOUT MARKET RISK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Not applicable.</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8—</w:t>
      </w:r>
      <w:bookmarkStart w:id="246" w:name="FINA"/>
      <w:bookmarkEnd w:id="246"/>
      <w:r>
        <w:rPr>
          <w:rFonts w:ascii="Times New Roman" w:hAnsi="Times New Roman"/>
          <w:b/>
          <w:sz w:val="20"/>
        </w:rPr>
        <w:t>FINANCIAL STATEMENTS AND SUPPLEMENTARY DATA</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INDEX TO CONSOLIDATED FINANCIAL STATEMENTS</w:t>
      </w:r>
    </w:p>
    <w:p>
      <w:pPr>
        <w:pStyle w:val="TextBody"/>
        <w:spacing w:before="0" w:after="0"/>
        <w:rPr/>
      </w:pPr>
      <w:r>
        <w:rPr/>
        <w:t> </w:t>
      </w:r>
    </w:p>
    <w:tbl>
      <w:tblPr>
        <w:tblW w:w="7195" w:type="dxa"/>
        <w:jc w:val="left"/>
        <w:tblInd w:w="0" w:type="dxa"/>
        <w:tblCellMar>
          <w:top w:w="0" w:type="dxa"/>
          <w:left w:w="0" w:type="dxa"/>
          <w:bottom w:w="0" w:type="dxa"/>
          <w:right w:w="0" w:type="dxa"/>
        </w:tblCellMar>
      </w:tblPr>
      <w:tblGrid>
        <w:gridCol w:w="6950"/>
        <w:gridCol w:w="245"/>
      </w:tblGrid>
      <w:tr>
        <w:trPr/>
        <w:tc>
          <w:tcPr>
            <w:tcW w:w="6950" w:type="dxa"/>
            <w:tcBorders/>
            <w:shd w:fill="CCEEFF" w:val="clear"/>
            <w:vAlign w:val="center"/>
          </w:tcPr>
          <w:p>
            <w:pPr>
              <w:pStyle w:val="TableContents"/>
              <w:spacing w:before="0" w:after="0"/>
              <w:ind w:left="360" w:right="0" w:hanging="0"/>
              <w:jc w:val="left"/>
              <w:rPr/>
            </w:pPr>
            <w:hyperlink w:anchor="BAL">
              <w:r>
                <w:rPr>
                  <w:rStyle w:val="InternetLink"/>
                  <w:rFonts w:ascii="Times New Roman" w:hAnsi="Times New Roman"/>
                  <w:sz w:val="20"/>
                </w:rPr>
                <w:t>CONSOLIDATED BALANCE SHEETS</w:t>
              </w:r>
            </w:hyperlink>
          </w:p>
        </w:tc>
        <w:tc>
          <w:tcPr>
            <w:tcW w:w="24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36</w:t>
            </w:r>
          </w:p>
        </w:tc>
      </w:tr>
      <w:tr>
        <w:trPr/>
        <w:tc>
          <w:tcPr>
            <w:tcW w:w="6950" w:type="dxa"/>
            <w:tcBorders/>
            <w:shd w:fill="auto" w:val="clear"/>
            <w:vAlign w:val="center"/>
          </w:tcPr>
          <w:p>
            <w:pPr>
              <w:pStyle w:val="TableContents"/>
              <w:spacing w:before="0" w:after="0"/>
              <w:ind w:left="360" w:right="0" w:hanging="0"/>
              <w:jc w:val="left"/>
              <w:rPr/>
            </w:pPr>
            <w:hyperlink w:anchor="STAT">
              <w:r>
                <w:rPr>
                  <w:rStyle w:val="InternetLink"/>
                  <w:rFonts w:ascii="Times New Roman" w:hAnsi="Times New Roman"/>
                  <w:sz w:val="20"/>
                </w:rPr>
                <w:t>CONSOLIDATED STATEMENTS OF OPERATIONS AND COMPREHENSIVE LOSS</w:t>
              </w:r>
            </w:hyperlink>
          </w:p>
        </w:tc>
        <w:tc>
          <w:tcPr>
            <w:tcW w:w="24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37</w:t>
            </w:r>
          </w:p>
        </w:tc>
      </w:tr>
      <w:tr>
        <w:trPr/>
        <w:tc>
          <w:tcPr>
            <w:tcW w:w="6950" w:type="dxa"/>
            <w:tcBorders/>
            <w:shd w:fill="CCEEFF" w:val="clear"/>
            <w:vAlign w:val="center"/>
          </w:tcPr>
          <w:p>
            <w:pPr>
              <w:pStyle w:val="TableContents"/>
              <w:spacing w:before="0" w:after="0"/>
              <w:ind w:left="360" w:right="0" w:hanging="0"/>
              <w:jc w:val="left"/>
              <w:rPr/>
            </w:pPr>
            <w:hyperlink w:anchor="EQUI">
              <w:r>
                <w:rPr>
                  <w:rStyle w:val="InternetLink"/>
                  <w:rFonts w:ascii="Times New Roman" w:hAnsi="Times New Roman"/>
                  <w:sz w:val="20"/>
                </w:rPr>
                <w:t>CONSOLIDATED STATEMENTS OF STOCKHOLDERS’ EQUITY</w:t>
              </w:r>
            </w:hyperlink>
          </w:p>
        </w:tc>
        <w:tc>
          <w:tcPr>
            <w:tcW w:w="24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w:t>
            </w:r>
          </w:p>
        </w:tc>
      </w:tr>
      <w:tr>
        <w:trPr/>
        <w:tc>
          <w:tcPr>
            <w:tcW w:w="6950" w:type="dxa"/>
            <w:tcBorders/>
            <w:shd w:fill="auto" w:val="clear"/>
            <w:vAlign w:val="center"/>
          </w:tcPr>
          <w:p>
            <w:pPr>
              <w:pStyle w:val="TableContents"/>
              <w:spacing w:before="0" w:after="0"/>
              <w:ind w:left="360" w:right="0" w:hanging="0"/>
              <w:jc w:val="left"/>
              <w:rPr/>
            </w:pPr>
            <w:hyperlink w:anchor="CASH">
              <w:r>
                <w:rPr>
                  <w:rStyle w:val="InternetLink"/>
                  <w:rFonts w:ascii="Times New Roman" w:hAnsi="Times New Roman"/>
                  <w:sz w:val="20"/>
                </w:rPr>
                <w:t>CONSOLIDATED STATEMENTS OF CASH FLOWS</w:t>
              </w:r>
            </w:hyperlink>
          </w:p>
        </w:tc>
        <w:tc>
          <w:tcPr>
            <w:tcW w:w="24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39</w:t>
            </w:r>
          </w:p>
        </w:tc>
      </w:tr>
      <w:tr>
        <w:trPr/>
        <w:tc>
          <w:tcPr>
            <w:tcW w:w="6950" w:type="dxa"/>
            <w:tcBorders/>
            <w:shd w:fill="CCEEFF" w:val="clear"/>
            <w:vAlign w:val="center"/>
          </w:tcPr>
          <w:p>
            <w:pPr>
              <w:pStyle w:val="TableContents"/>
              <w:spacing w:before="0" w:after="0"/>
              <w:ind w:left="360" w:right="0" w:hanging="0"/>
              <w:jc w:val="left"/>
              <w:rPr/>
            </w:pPr>
            <w:hyperlink w:anchor="NOTE">
              <w:r>
                <w:rPr>
                  <w:rStyle w:val="InternetLink"/>
                  <w:rFonts w:ascii="Times New Roman" w:hAnsi="Times New Roman"/>
                  <w:sz w:val="20"/>
                </w:rPr>
                <w:t>NOTES TO CONSOLIDATED FINANCIAL STATEMENTS</w:t>
              </w:r>
            </w:hyperlink>
          </w:p>
        </w:tc>
        <w:tc>
          <w:tcPr>
            <w:tcW w:w="24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40</w:t>
            </w:r>
          </w:p>
        </w:tc>
      </w:tr>
    </w:tbl>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7" w:name="pgbrk34"/>
      <w:bookmarkStart w:id="248" w:name="pgbrk34"/>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9" w:name="ftr33"/>
      <w:bookmarkEnd w:id="2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0" w:name="pn31"/>
      <w:bookmarkEnd w:id="250"/>
      <w:r>
        <w:rPr>
          <w:rFonts w:ascii="Times New Roman" w:hAnsi="Times New Roman"/>
          <w:sz w:val="20"/>
        </w:rPr>
        <w:t>34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51" w:name="pb33"/>
      <w:bookmarkStart w:id="252" w:name="pb33"/>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253" w:name="hdr34"/>
      <w:bookmarkEnd w:id="253"/>
      <w:r>
        <w:rPr>
          <w:rFonts w:ascii="Times New Roman" w:hAnsi="Times New Roman"/>
          <w:b/>
          <w:sz w:val="20"/>
        </w:rPr>
        <w:t>TENAX THERAPEUTICS, INC.</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jc w:val="both"/>
        <w:rPr>
          <w:rFonts w:ascii="Times New Roman" w:hAnsi="Times New Roman"/>
          <w:sz w:val="20"/>
        </w:rPr>
      </w:pPr>
      <w:r>
        <w:rPr>
          <w:rFonts w:ascii="Times New Roman" w:hAnsi="Times New Roman"/>
          <w:sz w:val="20"/>
        </w:rPr>
        <w:t>To the Board of Directors and Stockholders</w:t>
      </w:r>
    </w:p>
    <w:p>
      <w:pPr>
        <w:pStyle w:val="TextBody"/>
        <w:spacing w:before="0" w:after="0"/>
        <w:ind w:left="0" w:right="0" w:hanging="0"/>
        <w:jc w:val="both"/>
        <w:rPr>
          <w:rFonts w:ascii="Times New Roman" w:hAnsi="Times New Roman"/>
          <w:sz w:val="20"/>
        </w:rPr>
      </w:pPr>
      <w:r>
        <w:rPr>
          <w:rFonts w:ascii="Times New Roman" w:hAnsi="Times New Roman"/>
          <w:sz w:val="20"/>
        </w:rPr>
        <w:t>Tenax Therapeutics, Inc.</w:t>
      </w:r>
    </w:p>
    <w:p>
      <w:pPr>
        <w:pStyle w:val="TextBody"/>
        <w:spacing w:before="0" w:after="0"/>
        <w:ind w:left="0" w:right="0" w:hanging="0"/>
        <w:jc w:val="both"/>
        <w:rPr>
          <w:rFonts w:ascii="Times New Roman" w:hAnsi="Times New Roman"/>
          <w:sz w:val="20"/>
        </w:rPr>
      </w:pPr>
      <w:r>
        <w:rPr>
          <w:rFonts w:ascii="Times New Roman" w:hAnsi="Times New Roman"/>
          <w:sz w:val="20"/>
        </w:rPr>
        <w:t>Raleigh, North Carolina</w:t>
      </w:r>
    </w:p>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Opinion on the Financial Statements</w:t>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Tenax Therapeutics, Inc. and Subsidiary (the “Company”) as of December 31, 2020 and 2019, and the related consolidated statements of operations and comprehensive loss, stockholders’ equity, and cash flows for each of the years in the two-year period ended December 31, 2020,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two-year period ended December 31, 2020, in conformity with accounting principles generally accepted in the United States of America.</w:t>
      </w:r>
    </w:p>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Going Concern Uncertainty</w:t>
      </w:r>
    </w:p>
    <w:p>
      <w:pPr>
        <w:pStyle w:val="TextBody"/>
        <w:spacing w:before="0" w:after="0"/>
        <w:rPr>
          <w:rFonts w:ascii="Times New Roman" w:hAnsi="Times New Roman"/>
          <w:sz w:val="20"/>
        </w:rPr>
      </w:pPr>
      <w:r>
        <w:rPr>
          <w:rFonts w:ascii="Times New Roman" w:hAnsi="Times New Roman"/>
          <w:sz w:val="20"/>
        </w:rPr>
        <w:t>The accompanying consolidated financial statements have been prepared assuming that the Company will continue as a going concern. As discussed in Note A and Note B to the consolidated financial statements, the Company has suffered recurring losses from operations and negative cash flows from operations. These conditions raise substantial doubt about the Company’s ability to continue as a going concern. Management’s plans concerning these matters are described in Note A and Note B to the consolidated financial statements. The consolidated financial statements do not include any adjustments that might result from the outcome of this uncertainty.</w:t>
      </w:r>
    </w:p>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Basis for Opinion</w:t>
      </w:r>
    </w:p>
    <w:p>
      <w:pPr>
        <w:pStyle w:val="TextBody"/>
        <w:spacing w:before="0" w:after="0"/>
        <w:rPr>
          <w:rFonts w:ascii="Times New Roman" w:hAnsi="Times New Roman"/>
          <w:sz w:val="20"/>
        </w:rPr>
      </w:pPr>
      <w:r>
        <w:rPr>
          <w:rFonts w:ascii="Times New Roman" w:hAnsi="Times New Roman"/>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Critical Audit Matters</w:t>
      </w:r>
    </w:p>
    <w:p>
      <w:pPr>
        <w:pStyle w:val="TextBody"/>
        <w:spacing w:before="0" w:after="0"/>
        <w:rPr>
          <w:rFonts w:ascii="Times New Roman" w:hAnsi="Times New Roman"/>
          <w:sz w:val="20"/>
        </w:rPr>
      </w:pPr>
      <w:r>
        <w:rPr>
          <w:rFonts w:ascii="Times New Roman" w:hAnsi="Times New Roman"/>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pacing w:before="0" w:after="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Capital Raise Transactions Involving Equity Instruments</w:t>
      </w:r>
    </w:p>
    <w:p>
      <w:pPr>
        <w:pStyle w:val="TextBody"/>
        <w:spacing w:before="0" w:after="0"/>
        <w:rPr/>
      </w:pPr>
      <w:r>
        <w:rPr/>
        <w:t>  </w:t>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As disclosed in Note E to the consolidated financial statements, the Company participated in two significant capital raise transactions during the year which involved the issuance of shares of the Company’s common stock, registered pre-funded warrants, unregistered pre-funded warrants, unregistered common stock warrants, and placement agent warrants to purchase shares of the Company’s common stock. The accounting for the transactions were complex as they required valuation of the freestanding warrants, which involved estimation of the fair value, and evaluation of the appropriate classification of both the pre-funded warrants and common stock warrants in the financial statements.</w:t>
      </w:r>
    </w:p>
    <w:p>
      <w:pPr>
        <w:pStyle w:val="TextBody"/>
        <w:spacing w:before="0" w:after="0"/>
        <w:rPr/>
      </w:pPr>
      <w:r>
        <w:rPr/>
        <w:t> </w:t>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Our audit procedures included the following:</w:t>
      </w:r>
    </w:p>
    <w:p>
      <w:pPr>
        <w:pStyle w:val="TextBody"/>
        <w:spacing w:before="0" w:after="0"/>
        <w:rPr/>
      </w:pPr>
      <w:r>
        <w:rPr/>
        <w:t> </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obtained an understanding of the internal controls and processes in place over management’s process for recording transactions involving equity instruments.</w:t>
      </w:r>
    </w:p>
    <w:p>
      <w:pPr>
        <w:pStyle w:val="TextBody"/>
        <w:spacing w:before="0" w:after="0"/>
        <w:rPr/>
      </w:pPr>
      <w:r>
        <w:rPr/>
        <w:t> </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obtained and read the underlying agreements.</w:t>
      </w:r>
    </w:p>
    <w:p>
      <w:pPr>
        <w:pStyle w:val="TextBody"/>
        <w:spacing w:before="0" w:after="0"/>
        <w:rPr/>
      </w:pPr>
      <w:r>
        <w:rPr/>
        <w:t> </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confirmed shares outstanding with the stock transfer agent as of December 31, 2020.</w:t>
      </w:r>
    </w:p>
    <w:p>
      <w:pPr>
        <w:pStyle w:val="TextBody"/>
        <w:spacing w:before="0" w:after="0"/>
        <w:rPr/>
      </w:pPr>
      <w:r>
        <w:rPr/>
        <w:t> </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verified proper approval of equity transactions by the Board of Directors.</w:t>
      </w:r>
    </w:p>
    <w:p>
      <w:pPr>
        <w:pStyle w:val="TextBody"/>
        <w:spacing w:before="0" w:after="0"/>
        <w:rPr/>
      </w:pPr>
      <w:r>
        <w:rPr/>
        <w:t> </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evaluated the Company’s selection of the valuation methodology and significant assumption used by the Company, and evaluated the completeness and accuracy of the underlying data supporting the significant assumptions. Specifically, when assessing the key assumptions, we evaluated the appropriateness of the Company’s estimates of its credit risk, volatility, dividend yield, and the market risk free rate.</w:t>
      </w:r>
    </w:p>
    <w:p>
      <w:pPr>
        <w:pStyle w:val="TextBody"/>
        <w:spacing w:before="0" w:after="0"/>
        <w:rPr/>
      </w:pPr>
      <w:r>
        <w:rPr/>
        <w:t> </w:t>
      </w:r>
    </w:p>
    <w:p>
      <w:pPr>
        <w:pStyle w:val="TextBody"/>
        <w:spacing w:before="0" w:after="0"/>
        <w:ind w:left="360" w:right="0" w:hanging="0"/>
        <w:jc w:val="left"/>
        <w:rPr>
          <w:sz w:val="20"/>
        </w:rPr>
      </w:pPr>
      <w:r>
        <w:rPr>
          <w:sz w:val="20"/>
        </w:rPr>
        <w:t>-</w:t>
      </w:r>
    </w:p>
    <w:p>
      <w:pPr>
        <w:pStyle w:val="TextBody"/>
        <w:spacing w:before="0" w:after="0"/>
        <w:jc w:val="both"/>
        <w:rPr>
          <w:rFonts w:ascii="Times New Roman" w:hAnsi="Times New Roman"/>
          <w:sz w:val="20"/>
        </w:rPr>
      </w:pPr>
      <w:r>
        <w:rPr>
          <w:rFonts w:ascii="Times New Roman" w:hAnsi="Times New Roman"/>
          <w:sz w:val="20"/>
        </w:rPr>
        <w:t>We tested management’s application of the relevant accounting guidance.</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 Cherry Bekaert LLP</w:t>
      </w:r>
    </w:p>
    <w:tbl>
      <w:tblPr>
        <w:tblW w:w="4414" w:type="dxa"/>
        <w:jc w:val="left"/>
        <w:tblInd w:w="0" w:type="dxa"/>
        <w:tblCellMar>
          <w:top w:w="0" w:type="dxa"/>
          <w:left w:w="0" w:type="dxa"/>
          <w:bottom w:w="0" w:type="dxa"/>
          <w:right w:w="0" w:type="dxa"/>
        </w:tblCellMar>
      </w:tblPr>
      <w:tblGrid>
        <w:gridCol w:w="4291"/>
        <w:gridCol w:w="123"/>
      </w:tblGrid>
      <w:tr>
        <w:trPr/>
        <w:tc>
          <w:tcPr>
            <w:tcW w:w="4414" w:type="dxa"/>
            <w:gridSpan w:val="2"/>
            <w:tcBorders/>
            <w:shd w:fill="auto" w:val="clear"/>
            <w:vAlign w:val="center"/>
          </w:tcPr>
          <w:p>
            <w:pPr>
              <w:pStyle w:val="TableContents"/>
              <w:spacing w:before="0" w:after="0"/>
              <w:rPr/>
            </w:pPr>
            <w:r>
              <w:rPr/>
              <w:t> </w:t>
            </w:r>
          </w:p>
        </w:tc>
      </w:tr>
      <w:tr>
        <w:trPr/>
        <w:tc>
          <w:tcPr>
            <w:tcW w:w="4414" w:type="dxa"/>
            <w:gridSpan w:val="2"/>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have served as the Company’s auditor since 2009.</w:t>
            </w:r>
          </w:p>
        </w:tc>
      </w:tr>
      <w:tr>
        <w:trPr/>
        <w:tc>
          <w:tcPr>
            <w:tcW w:w="4414" w:type="dxa"/>
            <w:gridSpan w:val="2"/>
            <w:tcBorders/>
            <w:shd w:fill="auto" w:val="clear"/>
            <w:vAlign w:val="center"/>
          </w:tcPr>
          <w:p>
            <w:pPr>
              <w:pStyle w:val="TableContents"/>
              <w:spacing w:before="0" w:after="0"/>
              <w:ind w:left="0" w:right="0" w:hanging="0"/>
              <w:jc w:val="left"/>
              <w:rPr/>
            </w:pPr>
            <w:r>
              <w:rPr/>
              <w:t> </w:t>
            </w:r>
          </w:p>
        </w:tc>
      </w:tr>
      <w:tr>
        <w:trPr/>
        <w:tc>
          <w:tcPr>
            <w:tcW w:w="4414" w:type="dxa"/>
            <w:gridSpan w:val="2"/>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Raleigh, North Carolina</w:t>
            </w:r>
          </w:p>
        </w:tc>
      </w:tr>
      <w:tr>
        <w:trPr/>
        <w:tc>
          <w:tcPr>
            <w:tcW w:w="42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March 31, 2021</w:t>
            </w:r>
          </w:p>
        </w:tc>
        <w:tc>
          <w:tcPr>
            <w:tcW w:w="12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4" w:name="pgbrk35"/>
      <w:bookmarkStart w:id="255" w:name="pgbrk35"/>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6" w:name="ftr34"/>
      <w:bookmarkEnd w:id="2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7" w:name="pn32"/>
      <w:bookmarkEnd w:id="257"/>
      <w:r>
        <w:rPr>
          <w:rFonts w:ascii="Times New Roman" w:hAnsi="Times New Roman"/>
          <w:sz w:val="20"/>
        </w:rPr>
        <w:t>35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58" w:name="pb34"/>
      <w:bookmarkStart w:id="259" w:name="pb34"/>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260" w:name="hdr35"/>
      <w:bookmarkEnd w:id="260"/>
      <w:r>
        <w:rPr>
          <w:rFonts w:ascii="Times New Roman" w:hAnsi="Times New Roman"/>
          <w:b/>
          <w:sz w:val="20"/>
        </w:rPr>
        <w:t>TENAX THERAPEUTICS, INC.</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CONSOLIDATED </w:t>
      </w:r>
      <w:bookmarkStart w:id="261" w:name="BAL"/>
      <w:bookmarkEnd w:id="261"/>
      <w:r>
        <w:rPr>
          <w:rFonts w:ascii="Times New Roman" w:hAnsi="Times New Roman"/>
          <w:b/>
          <w:sz w:val="20"/>
        </w:rPr>
        <w:t>BALANCE SHEETS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03"/>
        <w:gridCol w:w="1343"/>
        <w:gridCol w:w="1359"/>
      </w:tblGrid>
      <w:tr>
        <w:trPr/>
        <w:tc>
          <w:tcPr>
            <w:tcW w:w="7503" w:type="dxa"/>
            <w:tcBorders/>
            <w:shd w:fill="auto" w:val="clear"/>
            <w:vAlign w:val="center"/>
          </w:tcPr>
          <w:p>
            <w:pPr>
              <w:pStyle w:val="TableContents"/>
              <w:spacing w:before="0" w:after="0"/>
              <w:ind w:left="0" w:right="0" w:hanging="0"/>
              <w:rPr/>
            </w:pPr>
            <w:r>
              <w:rPr/>
              <w:t> </w:t>
            </w:r>
          </w:p>
        </w:tc>
        <w:tc>
          <w:tcPr>
            <w:tcW w:w="134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2020</w:t>
            </w:r>
          </w:p>
          <w:p>
            <w:pPr>
              <w:pStyle w:val="TableContents"/>
              <w:spacing w:before="0" w:after="0"/>
              <w:jc w:val="left"/>
              <w:rPr/>
            </w:pPr>
            <w:r>
              <w:rPr/>
              <w:t> </w:t>
            </w:r>
          </w:p>
        </w:tc>
        <w:tc>
          <w:tcPr>
            <w:tcW w:w="1359"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2019</w:t>
            </w:r>
          </w:p>
          <w:p>
            <w:pPr>
              <w:pStyle w:val="TableContents"/>
              <w:spacing w:before="0" w:after="0"/>
              <w:jc w:val="left"/>
              <w:rPr/>
            </w:pPr>
            <w:r>
              <w:rPr/>
              <w:t> </w:t>
            </w:r>
          </w:p>
        </w:tc>
      </w:tr>
      <w:tr>
        <w:trPr/>
        <w:tc>
          <w:tcPr>
            <w:tcW w:w="7503" w:type="dxa"/>
            <w:tcBorders/>
            <w:shd w:fill="auto" w:val="clear"/>
            <w:vAlign w:val="center"/>
          </w:tcPr>
          <w:p>
            <w:pPr>
              <w:pStyle w:val="TableContents"/>
              <w:spacing w:before="0" w:after="0"/>
              <w:ind w:left="0" w:right="0" w:hanging="0"/>
              <w:rPr/>
            </w:pPr>
            <w:r>
              <w:rPr/>
              <w:t> </w:t>
            </w:r>
          </w:p>
        </w:tc>
        <w:tc>
          <w:tcPr>
            <w:tcW w:w="134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359"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7503" w:type="dxa"/>
            <w:tcBorders/>
            <w:shd w:fill="auto" w:val="clear"/>
            <w:vAlign w:val="center"/>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ASSETS</w:t>
            </w:r>
          </w:p>
        </w:tc>
        <w:tc>
          <w:tcPr>
            <w:tcW w:w="134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359"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7503"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Current assets</w:t>
            </w:r>
          </w:p>
        </w:tc>
        <w:tc>
          <w:tcPr>
            <w:tcW w:w="134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359"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7503" w:type="dxa"/>
            <w:tcBorders/>
            <w:shd w:fill="CCEE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$6,250,241</w:t>
            </w:r>
            <w:r>
              <w:rPr>
                <w:color w:val="000000"/>
              </w:rPr>
              <w:t> </w:t>
            </w:r>
          </w:p>
        </w:tc>
        <w:tc>
          <w:tcPr>
            <w:tcW w:w="135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$4,905,993</w:t>
            </w:r>
            <w:r>
              <w:rPr>
                <w:color w:val="000000"/>
              </w:rPr>
              <w:t> </w:t>
            </w:r>
          </w:p>
        </w:tc>
      </w:tr>
      <w:tr>
        <w:trPr/>
        <w:tc>
          <w:tcPr>
            <w:tcW w:w="7503" w:type="dxa"/>
            <w:tcBorders/>
            <w:shd w:fill="FFFF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Marketable securities</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462,687</w:t>
            </w:r>
            <w:r>
              <w:rPr>
                <w:color w:val="000000"/>
              </w:rPr>
              <w:t> </w:t>
            </w:r>
          </w:p>
        </w:tc>
        <w:tc>
          <w:tcPr>
            <w:tcW w:w="135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493,884</w:t>
            </w:r>
            <w:r>
              <w:rPr>
                <w:color w:val="000000"/>
              </w:rPr>
              <w:t> </w:t>
            </w:r>
          </w:p>
        </w:tc>
      </w:tr>
      <w:tr>
        <w:trPr/>
        <w:tc>
          <w:tcPr>
            <w:tcW w:w="7503" w:type="dxa"/>
            <w:tcBorders/>
            <w:shd w:fill="CCEE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Prepaid expenses</w:t>
            </w:r>
          </w:p>
        </w:tc>
        <w:tc>
          <w:tcPr>
            <w:tcW w:w="134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82,578</w:t>
            </w:r>
            <w:r>
              <w:rPr>
                <w:color w:val="000000"/>
              </w:rPr>
              <w:t> </w:t>
            </w:r>
          </w:p>
        </w:tc>
        <w:tc>
          <w:tcPr>
            <w:tcW w:w="1359"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780,952</w:t>
            </w:r>
            <w:r>
              <w:rPr>
                <w:color w:val="000000"/>
              </w:rPr>
              <w:t> </w:t>
            </w:r>
          </w:p>
        </w:tc>
      </w:tr>
      <w:tr>
        <w:trPr/>
        <w:tc>
          <w:tcPr>
            <w:tcW w:w="7503" w:type="dxa"/>
            <w:tcBorders/>
            <w:shd w:fill="FFFFFF" w:val="clear"/>
            <w:vAlign w:val="center"/>
          </w:tcPr>
          <w:p>
            <w:pPr>
              <w:pStyle w:val="TableContents"/>
              <w:spacing w:before="0" w:after="0"/>
              <w:ind w:left="360" w:right="0" w:hanging="0"/>
              <w:jc w:val="left"/>
              <w:rPr>
                <w:rFonts w:ascii="Times New Roman" w:hAnsi="Times New Roman"/>
                <w:color w:val="000000"/>
                <w:sz w:val="20"/>
              </w:rPr>
            </w:pPr>
            <w:r>
              <w:rPr>
                <w:rFonts w:ascii="Times New Roman" w:hAnsi="Times New Roman"/>
                <w:color w:val="000000"/>
                <w:sz w:val="20"/>
              </w:rPr>
              <w:t>Total current assets</w:t>
            </w:r>
          </w:p>
        </w:tc>
        <w:tc>
          <w:tcPr>
            <w:tcW w:w="134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6,795,506</w:t>
            </w:r>
            <w:r>
              <w:rPr>
                <w:color w:val="000000"/>
              </w:rPr>
              <w:t> </w:t>
            </w:r>
          </w:p>
        </w:tc>
        <w:tc>
          <w:tcPr>
            <w:tcW w:w="1359"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6,180,829</w:t>
            </w:r>
            <w:r>
              <w:rPr>
                <w:color w:val="000000"/>
              </w:rPr>
              <w:t> </w:t>
            </w:r>
          </w:p>
        </w:tc>
      </w:tr>
      <w:tr>
        <w:trPr/>
        <w:tc>
          <w:tcPr>
            <w:tcW w:w="7503"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Right of use asset</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58,778</w:t>
            </w:r>
            <w:r>
              <w:rPr>
                <w:color w:val="000000"/>
              </w:rPr>
              <w:t> </w:t>
            </w:r>
          </w:p>
        </w:tc>
        <w:tc>
          <w:tcPr>
            <w:tcW w:w="135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169,448</w:t>
            </w:r>
            <w:r>
              <w:rPr>
                <w:color w:val="000000"/>
              </w:rPr>
              <w:t> </w:t>
            </w:r>
          </w:p>
        </w:tc>
      </w:tr>
      <w:tr>
        <w:trPr/>
        <w:tc>
          <w:tcPr>
            <w:tcW w:w="7503"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Property and equipment, net</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5,972</w:t>
            </w:r>
            <w:r>
              <w:rPr>
                <w:color w:val="000000"/>
              </w:rPr>
              <w:t> </w:t>
            </w:r>
          </w:p>
        </w:tc>
        <w:tc>
          <w:tcPr>
            <w:tcW w:w="135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6,559</w:t>
            </w:r>
            <w:r>
              <w:rPr>
                <w:color w:val="000000"/>
              </w:rPr>
              <w:t> </w:t>
            </w:r>
          </w:p>
        </w:tc>
      </w:tr>
      <w:tr>
        <w:trPr/>
        <w:tc>
          <w:tcPr>
            <w:tcW w:w="7503"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Other assets</w:t>
            </w:r>
          </w:p>
        </w:tc>
        <w:tc>
          <w:tcPr>
            <w:tcW w:w="134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8,435</w:t>
            </w:r>
            <w:r>
              <w:rPr>
                <w:color w:val="000000"/>
              </w:rPr>
              <w:t> </w:t>
            </w:r>
          </w:p>
        </w:tc>
        <w:tc>
          <w:tcPr>
            <w:tcW w:w="1359"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8,435</w:t>
            </w:r>
            <w:r>
              <w:rPr>
                <w:color w:val="000000"/>
              </w:rPr>
              <w:t> </w:t>
            </w:r>
          </w:p>
        </w:tc>
      </w:tr>
      <w:tr>
        <w:trPr/>
        <w:tc>
          <w:tcPr>
            <w:tcW w:w="7503"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Total assets</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$6,868,691</w:t>
            </w:r>
            <w:r>
              <w:rPr>
                <w:color w:val="000000"/>
              </w:rPr>
              <w:t> </w:t>
            </w:r>
          </w:p>
        </w:tc>
        <w:tc>
          <w:tcPr>
            <w:tcW w:w="135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$6,365,271</w:t>
            </w:r>
            <w:r>
              <w:rPr>
                <w:color w:val="000000"/>
              </w:rPr>
              <w:t> </w:t>
            </w:r>
          </w:p>
        </w:tc>
      </w:tr>
      <w:tr>
        <w:trPr/>
        <w:tc>
          <w:tcPr>
            <w:tcW w:w="7503"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0"/>
              <w:jc w:val="left"/>
              <w:rPr/>
            </w:pPr>
            <w:r>
              <w:rPr/>
              <w:t>    </w:t>
            </w:r>
          </w:p>
        </w:tc>
        <w:tc>
          <w:tcPr>
            <w:tcW w:w="1359" w:type="dxa"/>
            <w:tcBorders/>
            <w:shd w:fill="CCEEFF" w:val="clear"/>
            <w:vAlign w:val="center"/>
          </w:tcPr>
          <w:p>
            <w:pPr>
              <w:pStyle w:val="TableContents"/>
              <w:spacing w:before="0" w:after="0"/>
              <w:jc w:val="left"/>
              <w:rPr/>
            </w:pPr>
            <w:r>
              <w:rPr/>
              <w:t>    </w:t>
            </w:r>
          </w:p>
        </w:tc>
      </w:tr>
      <w:tr>
        <w:trPr/>
        <w:tc>
          <w:tcPr>
            <w:tcW w:w="7503" w:type="dxa"/>
            <w:tcBorders/>
            <w:shd w:fill="FFFFFF" w:val="clear"/>
            <w:vAlign w:val="center"/>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343" w:type="dxa"/>
            <w:tcBorders/>
            <w:shd w:fill="FFFFFF" w:val="clear"/>
            <w:vAlign w:val="center"/>
          </w:tcPr>
          <w:p>
            <w:pPr>
              <w:pStyle w:val="TableContents"/>
              <w:spacing w:before="0" w:after="0"/>
              <w:jc w:val="left"/>
              <w:rPr/>
            </w:pPr>
            <w:r>
              <w:rPr/>
              <w:t>    </w:t>
            </w:r>
          </w:p>
        </w:tc>
        <w:tc>
          <w:tcPr>
            <w:tcW w:w="1359" w:type="dxa"/>
            <w:tcBorders/>
            <w:shd w:fill="FFFFFF" w:val="clear"/>
            <w:vAlign w:val="center"/>
          </w:tcPr>
          <w:p>
            <w:pPr>
              <w:pStyle w:val="TableContents"/>
              <w:spacing w:before="0" w:after="0"/>
              <w:jc w:val="left"/>
              <w:rPr/>
            </w:pPr>
            <w:r>
              <w:rPr/>
              <w:t>    </w:t>
            </w:r>
          </w:p>
        </w:tc>
      </w:tr>
      <w:tr>
        <w:trPr/>
        <w:tc>
          <w:tcPr>
            <w:tcW w:w="7503"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Current liabilities</w:t>
            </w:r>
          </w:p>
        </w:tc>
        <w:tc>
          <w:tcPr>
            <w:tcW w:w="1343" w:type="dxa"/>
            <w:tcBorders/>
            <w:shd w:fill="CCEEFF" w:val="clear"/>
            <w:vAlign w:val="center"/>
          </w:tcPr>
          <w:p>
            <w:pPr>
              <w:pStyle w:val="TableContents"/>
              <w:spacing w:before="0" w:after="0"/>
              <w:jc w:val="left"/>
              <w:rPr/>
            </w:pPr>
            <w:r>
              <w:rPr/>
              <w:t>    </w:t>
            </w:r>
          </w:p>
        </w:tc>
        <w:tc>
          <w:tcPr>
            <w:tcW w:w="1359" w:type="dxa"/>
            <w:tcBorders/>
            <w:shd w:fill="CCEEFF" w:val="clear"/>
            <w:vAlign w:val="center"/>
          </w:tcPr>
          <w:p>
            <w:pPr>
              <w:pStyle w:val="TableContents"/>
              <w:spacing w:before="0" w:after="0"/>
              <w:jc w:val="left"/>
              <w:rPr/>
            </w:pPr>
            <w:r>
              <w:rPr/>
              <w:t>    </w:t>
            </w:r>
          </w:p>
        </w:tc>
      </w:tr>
      <w:tr>
        <w:trPr/>
        <w:tc>
          <w:tcPr>
            <w:tcW w:w="7503" w:type="dxa"/>
            <w:tcBorders/>
            <w:shd w:fill="FFFF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Accounts payable</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$757,856</w:t>
            </w:r>
            <w:r>
              <w:rPr>
                <w:color w:val="000000"/>
              </w:rPr>
              <w:t> </w:t>
            </w:r>
          </w:p>
        </w:tc>
        <w:tc>
          <w:tcPr>
            <w:tcW w:w="135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$1,661,054</w:t>
            </w:r>
            <w:r>
              <w:rPr>
                <w:color w:val="000000"/>
              </w:rPr>
              <w:t> </w:t>
            </w:r>
          </w:p>
        </w:tc>
      </w:tr>
      <w:tr>
        <w:trPr/>
        <w:tc>
          <w:tcPr>
            <w:tcW w:w="7503" w:type="dxa"/>
            <w:tcBorders/>
            <w:shd w:fill="CCEE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Accrued liabilities</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1,240,616</w:t>
            </w:r>
            <w:r>
              <w:rPr>
                <w:color w:val="000000"/>
              </w:rPr>
              <w:t> </w:t>
            </w:r>
          </w:p>
        </w:tc>
        <w:tc>
          <w:tcPr>
            <w:tcW w:w="135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871,341</w:t>
            </w:r>
            <w:r>
              <w:rPr>
                <w:color w:val="000000"/>
              </w:rPr>
              <w:t> </w:t>
            </w:r>
          </w:p>
        </w:tc>
      </w:tr>
      <w:tr>
        <w:trPr/>
        <w:tc>
          <w:tcPr>
            <w:tcW w:w="7503" w:type="dxa"/>
            <w:tcBorders/>
            <w:shd w:fill="FFFF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Note payable</w:t>
            </w:r>
          </w:p>
        </w:tc>
        <w:tc>
          <w:tcPr>
            <w:tcW w:w="134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120,491</w:t>
            </w:r>
            <w:r>
              <w:rPr>
                <w:color w:val="000000"/>
              </w:rPr>
              <w:t> </w:t>
            </w:r>
          </w:p>
        </w:tc>
        <w:tc>
          <w:tcPr>
            <w:tcW w:w="1359"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w:t>
            </w:r>
            <w:r>
              <w:rPr>
                <w:color w:val="000000"/>
              </w:rPr>
              <w:t> </w:t>
            </w:r>
          </w:p>
        </w:tc>
      </w:tr>
      <w:tr>
        <w:trPr/>
        <w:tc>
          <w:tcPr>
            <w:tcW w:w="7503" w:type="dxa"/>
            <w:tcBorders/>
            <w:shd w:fill="CCEEFF" w:val="clear"/>
            <w:vAlign w:val="center"/>
          </w:tcPr>
          <w:p>
            <w:pPr>
              <w:pStyle w:val="TableContents"/>
              <w:spacing w:before="0" w:after="0"/>
              <w:ind w:left="36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2,118,963</w:t>
            </w:r>
            <w:r>
              <w:rPr>
                <w:color w:val="000000"/>
              </w:rPr>
              <w:t> </w:t>
            </w:r>
          </w:p>
        </w:tc>
        <w:tc>
          <w:tcPr>
            <w:tcW w:w="135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2,532,395</w:t>
            </w:r>
            <w:r>
              <w:rPr>
                <w:color w:val="000000"/>
              </w:rPr>
              <w:t> </w:t>
            </w:r>
          </w:p>
        </w:tc>
      </w:tr>
      <w:tr>
        <w:trPr/>
        <w:tc>
          <w:tcPr>
            <w:tcW w:w="7503"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Long term liabilities</w:t>
            </w:r>
          </w:p>
        </w:tc>
        <w:tc>
          <w:tcPr>
            <w:tcW w:w="1343" w:type="dxa"/>
            <w:tcBorders/>
            <w:shd w:fill="FFFFFF" w:val="clear"/>
            <w:vAlign w:val="center"/>
          </w:tcPr>
          <w:p>
            <w:pPr>
              <w:pStyle w:val="TableContents"/>
              <w:spacing w:before="0" w:after="0"/>
              <w:jc w:val="left"/>
              <w:rPr/>
            </w:pPr>
            <w:r>
              <w:rPr/>
              <w:t>    </w:t>
            </w:r>
          </w:p>
        </w:tc>
        <w:tc>
          <w:tcPr>
            <w:tcW w:w="1359" w:type="dxa"/>
            <w:tcBorders/>
            <w:shd w:fill="FFFFFF" w:val="clear"/>
            <w:vAlign w:val="center"/>
          </w:tcPr>
          <w:p>
            <w:pPr>
              <w:pStyle w:val="TableContents"/>
              <w:spacing w:before="0" w:after="0"/>
              <w:jc w:val="left"/>
              <w:rPr/>
            </w:pPr>
            <w:r>
              <w:rPr/>
              <w:t>    </w:t>
            </w:r>
          </w:p>
        </w:tc>
      </w:tr>
      <w:tr>
        <w:trPr/>
        <w:tc>
          <w:tcPr>
            <w:tcW w:w="7503" w:type="dxa"/>
            <w:tcBorders/>
            <w:shd w:fill="CCEE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Lease liability</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135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60,379</w:t>
            </w:r>
            <w:r>
              <w:rPr>
                <w:color w:val="000000"/>
              </w:rPr>
              <w:t> </w:t>
            </w:r>
          </w:p>
        </w:tc>
      </w:tr>
      <w:tr>
        <w:trPr/>
        <w:tc>
          <w:tcPr>
            <w:tcW w:w="7503" w:type="dxa"/>
            <w:tcBorders/>
            <w:shd w:fill="FFFF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Note payable</w:t>
            </w:r>
          </w:p>
        </w:tc>
        <w:tc>
          <w:tcPr>
            <w:tcW w:w="134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124,166</w:t>
            </w:r>
            <w:r>
              <w:rPr>
                <w:color w:val="000000"/>
              </w:rPr>
              <w:t> </w:t>
            </w:r>
          </w:p>
        </w:tc>
        <w:tc>
          <w:tcPr>
            <w:tcW w:w="1359"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w:t>
            </w:r>
            <w:r>
              <w:rPr>
                <w:color w:val="000000"/>
              </w:rPr>
              <w:t> </w:t>
            </w:r>
          </w:p>
        </w:tc>
      </w:tr>
      <w:tr>
        <w:trPr/>
        <w:tc>
          <w:tcPr>
            <w:tcW w:w="7503" w:type="dxa"/>
            <w:tcBorders/>
            <w:shd w:fill="CCEEFF" w:val="clear"/>
            <w:vAlign w:val="center"/>
          </w:tcPr>
          <w:p>
            <w:pPr>
              <w:pStyle w:val="TableContents"/>
              <w:spacing w:before="0" w:after="0"/>
              <w:ind w:left="360" w:right="0" w:hanging="0"/>
              <w:jc w:val="left"/>
              <w:rPr>
                <w:rFonts w:ascii="Times New Roman" w:hAnsi="Times New Roman"/>
                <w:color w:val="000000"/>
                <w:sz w:val="20"/>
              </w:rPr>
            </w:pPr>
            <w:r>
              <w:rPr>
                <w:rFonts w:ascii="Times New Roman" w:hAnsi="Times New Roman"/>
                <w:color w:val="000000"/>
                <w:sz w:val="20"/>
              </w:rPr>
              <w:t>Total long term liabilities</w:t>
            </w:r>
          </w:p>
        </w:tc>
        <w:tc>
          <w:tcPr>
            <w:tcW w:w="134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124,166</w:t>
            </w:r>
            <w:r>
              <w:rPr>
                <w:color w:val="000000"/>
              </w:rPr>
              <w:t> </w:t>
            </w:r>
          </w:p>
        </w:tc>
        <w:tc>
          <w:tcPr>
            <w:tcW w:w="1359"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60,379</w:t>
            </w:r>
            <w:r>
              <w:rPr>
                <w:color w:val="000000"/>
              </w:rPr>
              <w:t> </w:t>
            </w:r>
          </w:p>
        </w:tc>
      </w:tr>
      <w:tr>
        <w:trPr/>
        <w:tc>
          <w:tcPr>
            <w:tcW w:w="7503"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Total liabilities</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2,243,129</w:t>
            </w:r>
            <w:r>
              <w:rPr>
                <w:color w:val="000000"/>
              </w:rPr>
              <w:t> </w:t>
            </w:r>
          </w:p>
        </w:tc>
        <w:tc>
          <w:tcPr>
            <w:tcW w:w="135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2,592,774</w:t>
            </w:r>
            <w:r>
              <w:rPr>
                <w:color w:val="000000"/>
              </w:rPr>
              <w:t> </w:t>
            </w:r>
          </w:p>
        </w:tc>
      </w:tr>
      <w:tr>
        <w:trPr/>
        <w:tc>
          <w:tcPr>
            <w:tcW w:w="7503" w:type="dxa"/>
            <w:tcBorders/>
            <w:shd w:fill="CCEEFF" w:val="clear"/>
            <w:vAlign w:val="center"/>
          </w:tcPr>
          <w:p>
            <w:pPr>
              <w:pStyle w:val="TableContents"/>
              <w:spacing w:before="0" w:after="0"/>
              <w:ind w:left="0" w:right="0" w:hanging="0"/>
              <w:rPr/>
            </w:pPr>
            <w:r>
              <w:rPr/>
              <w:t> </w:t>
            </w:r>
          </w:p>
        </w:tc>
        <w:tc>
          <w:tcPr>
            <w:tcW w:w="1343" w:type="dxa"/>
            <w:tcBorders/>
            <w:shd w:fill="CCEEFF" w:val="clear"/>
            <w:vAlign w:val="center"/>
          </w:tcPr>
          <w:p>
            <w:pPr>
              <w:pStyle w:val="TableContents"/>
              <w:spacing w:before="0" w:after="0"/>
              <w:jc w:val="left"/>
              <w:rPr/>
            </w:pPr>
            <w:r>
              <w:rPr/>
              <w:t>    </w:t>
            </w:r>
          </w:p>
        </w:tc>
        <w:tc>
          <w:tcPr>
            <w:tcW w:w="1359" w:type="dxa"/>
            <w:tcBorders/>
            <w:shd w:fill="CCEEFF" w:val="clear"/>
            <w:vAlign w:val="center"/>
          </w:tcPr>
          <w:p>
            <w:pPr>
              <w:pStyle w:val="TableContents"/>
              <w:spacing w:before="0" w:after="0"/>
              <w:jc w:val="left"/>
              <w:rPr/>
            </w:pPr>
            <w:r>
              <w:rPr/>
              <w:t>    </w:t>
            </w:r>
          </w:p>
        </w:tc>
      </w:tr>
      <w:tr>
        <w:trPr/>
        <w:tc>
          <w:tcPr>
            <w:tcW w:w="7503" w:type="dxa"/>
            <w:tcBorders/>
            <w:shd w:fill="FFFFFF" w:val="clear"/>
            <w:vAlign w:val="center"/>
          </w:tcPr>
          <w:p>
            <w:pPr>
              <w:pStyle w:val="TableContents"/>
              <w:spacing w:before="0" w:after="0"/>
              <w:ind w:left="0" w:right="0" w:hanging="0"/>
              <w:rPr/>
            </w:pPr>
            <w:r>
              <w:rPr/>
              <w:t> </w:t>
            </w:r>
          </w:p>
        </w:tc>
        <w:tc>
          <w:tcPr>
            <w:tcW w:w="1343" w:type="dxa"/>
            <w:tcBorders/>
            <w:shd w:fill="FFFFFF" w:val="clear"/>
            <w:vAlign w:val="center"/>
          </w:tcPr>
          <w:p>
            <w:pPr>
              <w:pStyle w:val="TableContents"/>
              <w:spacing w:before="0" w:after="0"/>
              <w:jc w:val="left"/>
              <w:rPr/>
            </w:pPr>
            <w:r>
              <w:rPr/>
              <w:t>    </w:t>
            </w:r>
          </w:p>
        </w:tc>
        <w:tc>
          <w:tcPr>
            <w:tcW w:w="1359" w:type="dxa"/>
            <w:tcBorders/>
            <w:shd w:fill="FFFFFF" w:val="clear"/>
            <w:vAlign w:val="center"/>
          </w:tcPr>
          <w:p>
            <w:pPr>
              <w:pStyle w:val="TableContents"/>
              <w:spacing w:before="0" w:after="0"/>
              <w:jc w:val="left"/>
              <w:rPr/>
            </w:pPr>
            <w:r>
              <w:rPr/>
              <w:t>    </w:t>
            </w:r>
          </w:p>
        </w:tc>
      </w:tr>
      <w:tr>
        <w:trPr/>
        <w:tc>
          <w:tcPr>
            <w:tcW w:w="7503"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Commitments and contingencies; see Note F</w:t>
            </w:r>
          </w:p>
        </w:tc>
        <w:tc>
          <w:tcPr>
            <w:tcW w:w="1343" w:type="dxa"/>
            <w:tcBorders/>
            <w:shd w:fill="CCEEFF" w:val="clear"/>
            <w:vAlign w:val="center"/>
          </w:tcPr>
          <w:p>
            <w:pPr>
              <w:pStyle w:val="TableContents"/>
              <w:spacing w:before="0" w:after="0"/>
              <w:jc w:val="left"/>
              <w:rPr/>
            </w:pPr>
            <w:r>
              <w:rPr/>
              <w:t>    </w:t>
            </w:r>
          </w:p>
        </w:tc>
        <w:tc>
          <w:tcPr>
            <w:tcW w:w="1359" w:type="dxa"/>
            <w:tcBorders/>
            <w:shd w:fill="CCEEFF" w:val="clear"/>
            <w:vAlign w:val="center"/>
          </w:tcPr>
          <w:p>
            <w:pPr>
              <w:pStyle w:val="TableContents"/>
              <w:spacing w:before="0" w:after="0"/>
              <w:jc w:val="left"/>
              <w:rPr/>
            </w:pPr>
            <w:r>
              <w:rPr/>
              <w:t>    </w:t>
            </w:r>
          </w:p>
        </w:tc>
      </w:tr>
      <w:tr>
        <w:trPr/>
        <w:tc>
          <w:tcPr>
            <w:tcW w:w="7503"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Stockholders' equity</w:t>
            </w:r>
          </w:p>
        </w:tc>
        <w:tc>
          <w:tcPr>
            <w:tcW w:w="1343" w:type="dxa"/>
            <w:tcBorders/>
            <w:shd w:fill="FFFFFF" w:val="clear"/>
            <w:vAlign w:val="center"/>
          </w:tcPr>
          <w:p>
            <w:pPr>
              <w:pStyle w:val="TableContents"/>
              <w:spacing w:before="0" w:after="0"/>
              <w:jc w:val="left"/>
              <w:rPr/>
            </w:pPr>
            <w:r>
              <w:rPr/>
              <w:t>    </w:t>
            </w:r>
          </w:p>
        </w:tc>
        <w:tc>
          <w:tcPr>
            <w:tcW w:w="1359" w:type="dxa"/>
            <w:tcBorders/>
            <w:shd w:fill="FFFFFF" w:val="clear"/>
            <w:vAlign w:val="center"/>
          </w:tcPr>
          <w:p>
            <w:pPr>
              <w:pStyle w:val="TableContents"/>
              <w:spacing w:before="0" w:after="0"/>
              <w:jc w:val="left"/>
              <w:rPr/>
            </w:pPr>
            <w:r>
              <w:rPr/>
              <w:t>    </w:t>
            </w:r>
          </w:p>
        </w:tc>
      </w:tr>
      <w:tr>
        <w:trPr/>
        <w:tc>
          <w:tcPr>
            <w:tcW w:w="7503"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Preferred stock, undesignated, authorized 4,818,654 shares; See Note E</w:t>
            </w:r>
          </w:p>
        </w:tc>
        <w:tc>
          <w:tcPr>
            <w:tcW w:w="1343" w:type="dxa"/>
            <w:tcBorders/>
            <w:shd w:fill="CCEEFF" w:val="clear"/>
            <w:vAlign w:val="center"/>
          </w:tcPr>
          <w:p>
            <w:pPr>
              <w:pStyle w:val="TableContents"/>
              <w:spacing w:before="0" w:after="0"/>
              <w:jc w:val="left"/>
              <w:rPr/>
            </w:pPr>
            <w:r>
              <w:rPr/>
              <w:t>    </w:t>
            </w:r>
          </w:p>
        </w:tc>
        <w:tc>
          <w:tcPr>
            <w:tcW w:w="1359" w:type="dxa"/>
            <w:tcBorders/>
            <w:shd w:fill="CCEEFF" w:val="clear"/>
            <w:vAlign w:val="center"/>
          </w:tcPr>
          <w:p>
            <w:pPr>
              <w:pStyle w:val="TableContents"/>
              <w:spacing w:before="0" w:after="0"/>
              <w:jc w:val="left"/>
              <w:rPr/>
            </w:pPr>
            <w:r>
              <w:rPr/>
              <w:t>    </w:t>
            </w:r>
          </w:p>
        </w:tc>
      </w:tr>
      <w:tr>
        <w:trPr/>
        <w:tc>
          <w:tcPr>
            <w:tcW w:w="7503" w:type="dxa"/>
            <w:tcBorders/>
            <w:shd w:fill="FFFFFF" w:val="clear"/>
            <w:vAlign w:val="center"/>
          </w:tcPr>
          <w:p>
            <w:pPr>
              <w:pStyle w:val="TableContents"/>
              <w:spacing w:before="0" w:after="0"/>
              <w:ind w:left="0" w:right="0" w:hanging="0"/>
              <w:jc w:val="left"/>
              <w:rPr/>
            </w:pPr>
            <w:r>
              <w:rPr/>
              <w:t>  </w:t>
            </w:r>
            <w:r>
              <w:rPr>
                <w:rFonts w:ascii="Times New Roman" w:hAnsi="Times New Roman"/>
                <w:sz w:val="20"/>
              </w:rPr>
              <w:t>Series A Preferred stock, par value $.0001, issued 5,181,346 shares; outstanding 210 and 38,606, respectively</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135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w:t>
            </w:r>
            <w:r>
              <w:rPr>
                <w:color w:val="000000"/>
              </w:rPr>
              <w:t> </w:t>
            </w:r>
          </w:p>
        </w:tc>
      </w:tr>
      <w:tr>
        <w:trPr/>
        <w:tc>
          <w:tcPr>
            <w:tcW w:w="7503"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Common stock, par value $.0001 per share; authorized 400,000,000 shares; issued and outstanding 12,619,369 and 6,741,860, respectively</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1,262</w:t>
            </w:r>
            <w:r>
              <w:rPr>
                <w:color w:val="000000"/>
              </w:rPr>
              <w:t> </w:t>
            </w:r>
          </w:p>
        </w:tc>
        <w:tc>
          <w:tcPr>
            <w:tcW w:w="135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674</w:t>
            </w:r>
            <w:r>
              <w:rPr>
                <w:color w:val="000000"/>
              </w:rPr>
              <w:t> </w:t>
            </w:r>
          </w:p>
        </w:tc>
      </w:tr>
      <w:tr>
        <w:trPr/>
        <w:tc>
          <w:tcPr>
            <w:tcW w:w="7503"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Additional paid-in capital</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250,644,197</w:t>
            </w:r>
            <w:r>
              <w:rPr>
                <w:color w:val="000000"/>
              </w:rPr>
              <w:t> </w:t>
            </w:r>
          </w:p>
        </w:tc>
        <w:tc>
          <w:tcPr>
            <w:tcW w:w="135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239,939,797</w:t>
            </w:r>
            <w:r>
              <w:rPr>
                <w:color w:val="000000"/>
              </w:rPr>
              <w:t> </w:t>
            </w:r>
          </w:p>
        </w:tc>
      </w:tr>
      <w:tr>
        <w:trPr/>
        <w:tc>
          <w:tcPr>
            <w:tcW w:w="7503"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Accumulated other comprehensive (loss) gain</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(70)</w:t>
            </w:r>
          </w:p>
        </w:tc>
        <w:tc>
          <w:tcPr>
            <w:tcW w:w="135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458</w:t>
            </w:r>
            <w:r>
              <w:rPr>
                <w:color w:val="000000"/>
              </w:rPr>
              <w:t> </w:t>
            </w:r>
          </w:p>
        </w:tc>
      </w:tr>
      <w:tr>
        <w:trPr/>
        <w:tc>
          <w:tcPr>
            <w:tcW w:w="7503"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Accumulated deficit</w:t>
            </w:r>
          </w:p>
        </w:tc>
        <w:tc>
          <w:tcPr>
            <w:tcW w:w="134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(246,019,827</w:t>
            </w:r>
            <w:r>
              <w:rPr>
                <w:rFonts w:ascii="Times New Roman" w:hAnsi="Times New Roman"/>
                <w:color w:val="000000"/>
                <w:sz w:val="20"/>
              </w:rPr>
              <w:t>)</w:t>
            </w:r>
          </w:p>
        </w:tc>
        <w:tc>
          <w:tcPr>
            <w:tcW w:w="1359"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(236,168,436</w:t>
            </w:r>
            <w:r>
              <w:rPr>
                <w:rFonts w:ascii="Times New Roman" w:hAnsi="Times New Roman"/>
                <w:color w:val="000000"/>
                <w:sz w:val="20"/>
              </w:rPr>
              <w:t>)</w:t>
            </w:r>
          </w:p>
        </w:tc>
      </w:tr>
      <w:tr>
        <w:trPr/>
        <w:tc>
          <w:tcPr>
            <w:tcW w:w="7503"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Total stockholders’ equity</w:t>
            </w:r>
          </w:p>
        </w:tc>
        <w:tc>
          <w:tcPr>
            <w:tcW w:w="134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4,625,562</w:t>
            </w:r>
            <w:r>
              <w:rPr>
                <w:color w:val="000000"/>
              </w:rPr>
              <w:t> </w:t>
            </w:r>
          </w:p>
        </w:tc>
        <w:tc>
          <w:tcPr>
            <w:tcW w:w="1359"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3,772,497</w:t>
            </w:r>
            <w:r>
              <w:rPr>
                <w:color w:val="000000"/>
              </w:rPr>
              <w:t> </w:t>
            </w:r>
          </w:p>
        </w:tc>
      </w:tr>
      <w:tr>
        <w:trPr/>
        <w:tc>
          <w:tcPr>
            <w:tcW w:w="7503"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Total liabilities and stockholders' equity</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$6,868,691</w:t>
            </w:r>
            <w:r>
              <w:rPr>
                <w:color w:val="000000"/>
              </w:rPr>
              <w:t> </w:t>
            </w:r>
          </w:p>
        </w:tc>
        <w:tc>
          <w:tcPr>
            <w:tcW w:w="135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$6,365,271</w:t>
            </w:r>
            <w:r>
              <w:rPr>
                <w:color w:val="000000"/>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2" w:name="pgbrk36"/>
      <w:bookmarkStart w:id="263" w:name="pgbrk36"/>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264" w:name="ftr35"/>
      <w:bookmarkEnd w:id="264"/>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5" w:name="pn33"/>
      <w:bookmarkEnd w:id="265"/>
      <w:r>
        <w:rPr>
          <w:rFonts w:ascii="Times New Roman" w:hAnsi="Times New Roman"/>
          <w:sz w:val="20"/>
        </w:rPr>
        <w:t>36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66" w:name="pb35"/>
      <w:bookmarkStart w:id="267" w:name="pb35"/>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268" w:name="hdr36"/>
      <w:bookmarkEnd w:id="268"/>
      <w:r>
        <w:rPr>
          <w:rFonts w:ascii="Times New Roman" w:hAnsi="Times New Roman"/>
          <w:b/>
          <w:sz w:val="20"/>
        </w:rPr>
        <w:t>TENAX THERAPEUTICS, INC.</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CONSOLIDATED </w:t>
      </w:r>
      <w:bookmarkStart w:id="269" w:name="STAT"/>
      <w:bookmarkEnd w:id="269"/>
      <w:r>
        <w:rPr>
          <w:rFonts w:ascii="Times New Roman" w:hAnsi="Times New Roman"/>
          <w:b/>
          <w:sz w:val="20"/>
        </w:rPr>
        <w:t>STATEMENTS OF OPERATIONS AND COMPREHENSIVE LOSS</w:t>
      </w:r>
    </w:p>
    <w:p>
      <w:pPr>
        <w:pStyle w:val="TextBody"/>
        <w:spacing w:before="0" w:after="0"/>
        <w:rPr/>
      </w:pPr>
      <w:r>
        <w:rPr/>
        <w:t> </w:t>
      </w:r>
    </w:p>
    <w:tbl>
      <w:tblPr>
        <w:tblW w:w="8325" w:type="dxa"/>
        <w:jc w:val="left"/>
        <w:tblInd w:w="0" w:type="dxa"/>
        <w:tblCellMar>
          <w:top w:w="0" w:type="dxa"/>
          <w:left w:w="0" w:type="dxa"/>
          <w:bottom w:w="0" w:type="dxa"/>
          <w:right w:w="0" w:type="dxa"/>
        </w:tblCellMar>
      </w:tblPr>
      <w:tblGrid>
        <w:gridCol w:w="6170"/>
        <w:gridCol w:w="1070"/>
        <w:gridCol w:w="1085"/>
      </w:tblGrid>
      <w:tr>
        <w:trPr/>
        <w:tc>
          <w:tcPr>
            <w:tcW w:w="6170" w:type="dxa"/>
            <w:tcBorders/>
            <w:shd w:fill="auto" w:val="clear"/>
            <w:vAlign w:val="center"/>
          </w:tcPr>
          <w:p>
            <w:pPr>
              <w:pStyle w:val="TableContents"/>
              <w:spacing w:before="0" w:after="0"/>
              <w:ind w:left="0" w:right="0" w:hanging="0"/>
              <w:rPr/>
            </w:pPr>
            <w:r>
              <w:rPr/>
              <w:t> </w:t>
            </w:r>
          </w:p>
        </w:tc>
        <w:tc>
          <w:tcPr>
            <w:tcW w:w="2155"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Year ended December 31,</w:t>
            </w:r>
          </w:p>
          <w:p>
            <w:pPr>
              <w:pStyle w:val="TableContents"/>
              <w:spacing w:before="0" w:after="0"/>
              <w:jc w:val="left"/>
              <w:rPr/>
            </w:pPr>
            <w:r>
              <w:rPr/>
              <w:t> </w:t>
            </w:r>
          </w:p>
        </w:tc>
      </w:tr>
      <w:tr>
        <w:trPr/>
        <w:tc>
          <w:tcPr>
            <w:tcW w:w="6170" w:type="dxa"/>
            <w:tcBorders/>
            <w:shd w:fill="auto" w:val="clear"/>
            <w:vAlign w:val="center"/>
          </w:tcPr>
          <w:p>
            <w:pPr>
              <w:pStyle w:val="TableContents"/>
              <w:spacing w:before="0" w:after="0"/>
              <w:ind w:left="0" w:right="0" w:hanging="0"/>
              <w:rPr/>
            </w:pPr>
            <w:r>
              <w:rPr/>
              <w:t> </w:t>
            </w:r>
          </w:p>
        </w:tc>
        <w:tc>
          <w:tcPr>
            <w:tcW w:w="107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08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r>
      <w:tr>
        <w:trPr/>
        <w:tc>
          <w:tcPr>
            <w:tcW w:w="6170" w:type="dxa"/>
            <w:tcBorders/>
            <w:shd w:fill="auto" w:val="clear"/>
            <w:vAlign w:val="center"/>
          </w:tcPr>
          <w:p>
            <w:pPr>
              <w:pStyle w:val="TableContents"/>
              <w:spacing w:before="0" w:after="0"/>
              <w:ind w:left="0" w:right="0" w:hanging="0"/>
              <w:rPr/>
            </w:pPr>
            <w:r>
              <w:rPr/>
              <w:t> </w:t>
            </w:r>
          </w:p>
        </w:tc>
        <w:tc>
          <w:tcPr>
            <w:tcW w:w="107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8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617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Operating expenses</w:t>
            </w:r>
          </w:p>
        </w:tc>
        <w:tc>
          <w:tcPr>
            <w:tcW w:w="107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8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6170" w:type="dxa"/>
            <w:tcBorders/>
            <w:shd w:fill="CCEEFF" w:val="clear"/>
            <w:vAlign w:val="center"/>
          </w:tcPr>
          <w:p>
            <w:pPr>
              <w:pStyle w:val="TableContents"/>
              <w:spacing w:before="0" w:after="0"/>
              <w:ind w:left="360" w:right="0" w:hanging="0"/>
              <w:jc w:val="left"/>
              <w:rPr>
                <w:rFonts w:ascii="Times New Roman" w:hAnsi="Times New Roman"/>
                <w:color w:val="000000"/>
                <w:sz w:val="20"/>
              </w:rPr>
            </w:pPr>
            <w:r>
              <w:rPr>
                <w:rFonts w:ascii="Times New Roman" w:hAnsi="Times New Roman"/>
                <w:color w:val="000000"/>
                <w:sz w:val="20"/>
              </w:rPr>
              <w:t>General and administrative</w:t>
            </w:r>
          </w:p>
        </w:tc>
        <w:tc>
          <w:tcPr>
            <w:tcW w:w="10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$5,307,206</w:t>
            </w:r>
            <w:r>
              <w:rPr>
                <w:color w:val="000000"/>
              </w:rPr>
              <w:t> </w:t>
            </w:r>
          </w:p>
        </w:tc>
        <w:tc>
          <w:tcPr>
            <w:tcW w:w="108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$5,084,111</w:t>
            </w:r>
            <w:r>
              <w:rPr>
                <w:color w:val="000000"/>
              </w:rPr>
              <w:t> </w:t>
            </w:r>
          </w:p>
        </w:tc>
      </w:tr>
      <w:tr>
        <w:trPr/>
        <w:tc>
          <w:tcPr>
            <w:tcW w:w="6170" w:type="dxa"/>
            <w:tcBorders/>
            <w:shd w:fill="FFFFFF" w:val="clear"/>
            <w:vAlign w:val="center"/>
          </w:tcPr>
          <w:p>
            <w:pPr>
              <w:pStyle w:val="TableContents"/>
              <w:spacing w:before="0" w:after="0"/>
              <w:ind w:left="360" w:right="0" w:hanging="0"/>
              <w:jc w:val="left"/>
              <w:rPr>
                <w:rFonts w:ascii="Times New Roman" w:hAnsi="Times New Roman"/>
                <w:color w:val="000000"/>
                <w:sz w:val="20"/>
              </w:rPr>
            </w:pPr>
            <w:r>
              <w:rPr>
                <w:rFonts w:ascii="Times New Roman" w:hAnsi="Times New Roman"/>
                <w:color w:val="000000"/>
                <w:sz w:val="20"/>
              </w:rPr>
              <w:t>Research and development</w:t>
            </w:r>
          </w:p>
        </w:tc>
        <w:tc>
          <w:tcPr>
            <w:tcW w:w="107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4,560,724</w:t>
            </w:r>
            <w:r>
              <w:rPr>
                <w:color w:val="000000"/>
              </w:rPr>
              <w:t> </w:t>
            </w:r>
          </w:p>
        </w:tc>
        <w:tc>
          <w:tcPr>
            <w:tcW w:w="108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3,471,153</w:t>
            </w:r>
            <w:r>
              <w:rPr>
                <w:color w:val="000000"/>
              </w:rPr>
              <w:t> </w:t>
            </w:r>
          </w:p>
        </w:tc>
      </w:tr>
      <w:tr>
        <w:trPr/>
        <w:tc>
          <w:tcPr>
            <w:tcW w:w="6170" w:type="dxa"/>
            <w:tcBorders/>
            <w:shd w:fill="CCEE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Total operating expenses</w:t>
            </w:r>
          </w:p>
        </w:tc>
        <w:tc>
          <w:tcPr>
            <w:tcW w:w="10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9,867,930</w:t>
            </w:r>
            <w:r>
              <w:rPr>
                <w:color w:val="000000"/>
              </w:rPr>
              <w:t> </w:t>
            </w:r>
          </w:p>
        </w:tc>
        <w:tc>
          <w:tcPr>
            <w:tcW w:w="108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8,555,264</w:t>
            </w:r>
            <w:r>
              <w:rPr>
                <w:color w:val="000000"/>
              </w:rPr>
              <w:t> </w:t>
            </w:r>
          </w:p>
        </w:tc>
      </w:tr>
      <w:tr>
        <w:trPr/>
        <w:tc>
          <w:tcPr>
            <w:tcW w:w="6170" w:type="dxa"/>
            <w:tcBorders/>
            <w:shd w:fill="FFFFFF" w:val="clear"/>
            <w:vAlign w:val="center"/>
          </w:tcPr>
          <w:p>
            <w:pPr>
              <w:pStyle w:val="TableContents"/>
              <w:spacing w:before="0" w:after="0"/>
              <w:ind w:left="180" w:right="0" w:hanging="0"/>
              <w:jc w:val="left"/>
              <w:rPr/>
            </w:pPr>
            <w:r>
              <w:rPr/>
              <w:t> </w:t>
            </w:r>
          </w:p>
        </w:tc>
        <w:tc>
          <w:tcPr>
            <w:tcW w:w="1070" w:type="dxa"/>
            <w:tcBorders/>
            <w:shd w:fill="FFFFFF" w:val="clear"/>
            <w:vAlign w:val="center"/>
          </w:tcPr>
          <w:p>
            <w:pPr>
              <w:pStyle w:val="TableContents"/>
              <w:spacing w:before="0" w:after="0"/>
              <w:jc w:val="left"/>
              <w:rPr/>
            </w:pPr>
            <w:r>
              <w:rPr/>
              <w:t>    </w:t>
            </w:r>
          </w:p>
        </w:tc>
        <w:tc>
          <w:tcPr>
            <w:tcW w:w="1085" w:type="dxa"/>
            <w:tcBorders/>
            <w:shd w:fill="FFFFFF" w:val="clear"/>
            <w:vAlign w:val="center"/>
          </w:tcPr>
          <w:p>
            <w:pPr>
              <w:pStyle w:val="TableContents"/>
              <w:spacing w:before="0" w:after="0"/>
              <w:jc w:val="left"/>
              <w:rPr/>
            </w:pPr>
            <w:r>
              <w:rPr/>
              <w:t>    </w:t>
            </w:r>
          </w:p>
        </w:tc>
      </w:tr>
      <w:tr>
        <w:trPr/>
        <w:tc>
          <w:tcPr>
            <w:tcW w:w="6170" w:type="dxa"/>
            <w:tcBorders/>
            <w:shd w:fill="CCEEFF" w:val="clear"/>
            <w:vAlign w:val="center"/>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Net operating loss</w:t>
            </w:r>
          </w:p>
        </w:tc>
        <w:tc>
          <w:tcPr>
            <w:tcW w:w="10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9,867,930</w:t>
            </w:r>
            <w:r>
              <w:rPr>
                <w:color w:val="000000"/>
              </w:rPr>
              <w:t> </w:t>
            </w:r>
          </w:p>
        </w:tc>
        <w:tc>
          <w:tcPr>
            <w:tcW w:w="108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8,555,264</w:t>
            </w:r>
            <w:r>
              <w:rPr>
                <w:color w:val="000000"/>
              </w:rPr>
              <w:t> </w:t>
            </w:r>
          </w:p>
        </w:tc>
      </w:tr>
      <w:tr>
        <w:trPr/>
        <w:tc>
          <w:tcPr>
            <w:tcW w:w="6170" w:type="dxa"/>
            <w:tcBorders/>
            <w:shd w:fill="FFFFFF" w:val="clear"/>
            <w:vAlign w:val="center"/>
          </w:tcPr>
          <w:p>
            <w:pPr>
              <w:pStyle w:val="TableContents"/>
              <w:spacing w:before="0" w:after="0"/>
              <w:ind w:left="0" w:right="0" w:hanging="0"/>
              <w:rPr/>
            </w:pPr>
            <w:r>
              <w:rPr/>
              <w:t> </w:t>
            </w:r>
          </w:p>
        </w:tc>
        <w:tc>
          <w:tcPr>
            <w:tcW w:w="1070" w:type="dxa"/>
            <w:tcBorders/>
            <w:shd w:fill="FFFFFF" w:val="clear"/>
            <w:vAlign w:val="center"/>
          </w:tcPr>
          <w:p>
            <w:pPr>
              <w:pStyle w:val="TableContents"/>
              <w:spacing w:before="0" w:after="0"/>
              <w:jc w:val="left"/>
              <w:rPr/>
            </w:pPr>
            <w:r>
              <w:rPr/>
              <w:t>    </w:t>
            </w:r>
          </w:p>
        </w:tc>
        <w:tc>
          <w:tcPr>
            <w:tcW w:w="1085" w:type="dxa"/>
            <w:tcBorders/>
            <w:shd w:fill="FFFFFF" w:val="clear"/>
            <w:vAlign w:val="center"/>
          </w:tcPr>
          <w:p>
            <w:pPr>
              <w:pStyle w:val="TableContents"/>
              <w:spacing w:before="0" w:after="0"/>
              <w:jc w:val="left"/>
              <w:rPr/>
            </w:pPr>
            <w:r>
              <w:rPr/>
              <w:t>    </w:t>
            </w:r>
          </w:p>
        </w:tc>
      </w:tr>
      <w:tr>
        <w:trPr/>
        <w:tc>
          <w:tcPr>
            <w:tcW w:w="617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Interest expense</w:t>
            </w:r>
          </w:p>
        </w:tc>
        <w:tc>
          <w:tcPr>
            <w:tcW w:w="10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1,627</w:t>
            </w:r>
            <w:r>
              <w:rPr>
                <w:color w:val="000000"/>
              </w:rPr>
              <w:t> </w:t>
            </w:r>
          </w:p>
        </w:tc>
        <w:tc>
          <w:tcPr>
            <w:tcW w:w="108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r>
        <w:trPr/>
        <w:tc>
          <w:tcPr>
            <w:tcW w:w="617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Other income, net</w:t>
            </w:r>
          </w:p>
        </w:tc>
        <w:tc>
          <w:tcPr>
            <w:tcW w:w="107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(18,166</w:t>
            </w:r>
            <w:r>
              <w:rPr>
                <w:rFonts w:ascii="Times New Roman" w:hAnsi="Times New Roman"/>
                <w:color w:val="000000"/>
                <w:sz w:val="20"/>
              </w:rPr>
              <w:t>)</w:t>
            </w:r>
          </w:p>
        </w:tc>
        <w:tc>
          <w:tcPr>
            <w:tcW w:w="108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(160,901</w:t>
            </w:r>
            <w:r>
              <w:rPr>
                <w:rFonts w:ascii="Times New Roman" w:hAnsi="Times New Roman"/>
                <w:color w:val="000000"/>
                <w:sz w:val="20"/>
              </w:rPr>
              <w:t>)</w:t>
            </w:r>
          </w:p>
        </w:tc>
      </w:tr>
      <w:tr>
        <w:trPr/>
        <w:tc>
          <w:tcPr>
            <w:tcW w:w="617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Net loss</w:t>
            </w:r>
          </w:p>
        </w:tc>
        <w:tc>
          <w:tcPr>
            <w:tcW w:w="10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$9,851,391</w:t>
            </w:r>
            <w:r>
              <w:rPr>
                <w:color w:val="000000"/>
              </w:rPr>
              <w:t> </w:t>
            </w:r>
          </w:p>
        </w:tc>
        <w:tc>
          <w:tcPr>
            <w:tcW w:w="108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$8,394,363</w:t>
            </w:r>
            <w:r>
              <w:rPr>
                <w:color w:val="000000"/>
              </w:rPr>
              <w:t> </w:t>
            </w:r>
          </w:p>
        </w:tc>
      </w:tr>
      <w:tr>
        <w:trPr/>
        <w:tc>
          <w:tcPr>
            <w:tcW w:w="6170" w:type="dxa"/>
            <w:tcBorders/>
            <w:shd w:fill="FFFFFF" w:val="clear"/>
            <w:vAlign w:val="center"/>
          </w:tcPr>
          <w:p>
            <w:pPr>
              <w:pStyle w:val="TableContents"/>
              <w:spacing w:before="0" w:after="0"/>
              <w:ind w:left="0" w:right="0" w:hanging="0"/>
              <w:rPr/>
            </w:pPr>
            <w:r>
              <w:rPr/>
              <w:t> </w:t>
            </w:r>
          </w:p>
        </w:tc>
        <w:tc>
          <w:tcPr>
            <w:tcW w:w="1070" w:type="dxa"/>
            <w:tcBorders/>
            <w:shd w:fill="FFFFFF" w:val="clear"/>
            <w:vAlign w:val="center"/>
          </w:tcPr>
          <w:p>
            <w:pPr>
              <w:pStyle w:val="TableContents"/>
              <w:spacing w:before="0" w:after="0"/>
              <w:jc w:val="left"/>
              <w:rPr/>
            </w:pPr>
            <w:r>
              <w:rPr/>
              <w:t>    </w:t>
            </w:r>
          </w:p>
        </w:tc>
        <w:tc>
          <w:tcPr>
            <w:tcW w:w="1085" w:type="dxa"/>
            <w:tcBorders/>
            <w:shd w:fill="FFFFFF" w:val="clear"/>
            <w:vAlign w:val="center"/>
          </w:tcPr>
          <w:p>
            <w:pPr>
              <w:pStyle w:val="TableContents"/>
              <w:spacing w:before="0" w:after="0"/>
              <w:jc w:val="left"/>
              <w:rPr/>
            </w:pPr>
            <w:r>
              <w:rPr/>
              <w:t>    </w:t>
            </w:r>
          </w:p>
        </w:tc>
      </w:tr>
      <w:tr>
        <w:trPr/>
        <w:tc>
          <w:tcPr>
            <w:tcW w:w="617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Unrealized loss on marketable securities</w:t>
            </w:r>
          </w:p>
        </w:tc>
        <w:tc>
          <w:tcPr>
            <w:tcW w:w="107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528</w:t>
            </w:r>
            <w:r>
              <w:rPr>
                <w:color w:val="000000"/>
              </w:rPr>
              <w:t> </w:t>
            </w:r>
          </w:p>
        </w:tc>
        <w:tc>
          <w:tcPr>
            <w:tcW w:w="108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58</w:t>
            </w:r>
            <w:r>
              <w:rPr>
                <w:color w:val="000000"/>
              </w:rPr>
              <w:t> </w:t>
            </w:r>
          </w:p>
        </w:tc>
      </w:tr>
      <w:tr>
        <w:trPr/>
        <w:tc>
          <w:tcPr>
            <w:tcW w:w="617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Total comprehensive loss</w:t>
            </w:r>
          </w:p>
        </w:tc>
        <w:tc>
          <w:tcPr>
            <w:tcW w:w="107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$9,851,919</w:t>
            </w:r>
            <w:r>
              <w:rPr>
                <w:color w:val="000000"/>
              </w:rPr>
              <w:t> </w:t>
            </w:r>
          </w:p>
        </w:tc>
        <w:tc>
          <w:tcPr>
            <w:tcW w:w="108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$8,394,421</w:t>
            </w:r>
            <w:r>
              <w:rPr>
                <w:color w:val="000000"/>
              </w:rPr>
              <w:t> </w:t>
            </w:r>
          </w:p>
        </w:tc>
      </w:tr>
      <w:tr>
        <w:trPr/>
        <w:tc>
          <w:tcPr>
            <w:tcW w:w="6170" w:type="dxa"/>
            <w:tcBorders/>
            <w:shd w:fill="CCEEFF" w:val="clear"/>
            <w:vAlign w:val="center"/>
          </w:tcPr>
          <w:p>
            <w:pPr>
              <w:pStyle w:val="TableContents"/>
              <w:spacing w:before="0" w:after="0"/>
              <w:ind w:left="0" w:right="0" w:hanging="0"/>
              <w:rPr/>
            </w:pPr>
            <w:r>
              <w:rPr/>
              <w:t> </w:t>
            </w:r>
          </w:p>
        </w:tc>
        <w:tc>
          <w:tcPr>
            <w:tcW w:w="1070" w:type="dxa"/>
            <w:tcBorders/>
            <w:shd w:fill="CCEEFF" w:val="clear"/>
            <w:vAlign w:val="center"/>
          </w:tcPr>
          <w:p>
            <w:pPr>
              <w:pStyle w:val="TableContents"/>
              <w:spacing w:before="0" w:after="0"/>
              <w:jc w:val="left"/>
              <w:rPr/>
            </w:pPr>
            <w:r>
              <w:rPr/>
              <w:t>    </w:t>
            </w:r>
          </w:p>
        </w:tc>
        <w:tc>
          <w:tcPr>
            <w:tcW w:w="1085" w:type="dxa"/>
            <w:tcBorders/>
            <w:shd w:fill="CCEEFF" w:val="clear"/>
            <w:vAlign w:val="center"/>
          </w:tcPr>
          <w:p>
            <w:pPr>
              <w:pStyle w:val="TableContents"/>
              <w:spacing w:before="0" w:after="0"/>
              <w:jc w:val="left"/>
              <w:rPr/>
            </w:pPr>
            <w:r>
              <w:rPr/>
              <w:t>    </w:t>
            </w:r>
          </w:p>
        </w:tc>
      </w:tr>
      <w:tr>
        <w:trPr/>
        <w:tc>
          <w:tcPr>
            <w:tcW w:w="617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Net loss per share, basic and diluted</w:t>
            </w:r>
          </w:p>
        </w:tc>
        <w:tc>
          <w:tcPr>
            <w:tcW w:w="107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$(1.33)</w:t>
            </w:r>
          </w:p>
        </w:tc>
        <w:tc>
          <w:tcPr>
            <w:tcW w:w="108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$(1.35)</w:t>
            </w:r>
          </w:p>
        </w:tc>
      </w:tr>
      <w:tr>
        <w:trPr/>
        <w:tc>
          <w:tcPr>
            <w:tcW w:w="617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Weighted average number of common shares outstanding, basic and diluted</w:t>
            </w:r>
          </w:p>
        </w:tc>
        <w:tc>
          <w:tcPr>
            <w:tcW w:w="10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7,416,215</w:t>
            </w:r>
            <w:r>
              <w:rPr>
                <w:color w:val="000000"/>
              </w:rPr>
              <w:t> </w:t>
            </w:r>
          </w:p>
        </w:tc>
        <w:tc>
          <w:tcPr>
            <w:tcW w:w="108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6,195,444</w:t>
            </w:r>
            <w:r>
              <w:rPr>
                <w:color w:val="000000"/>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0" w:name="pgbrk37"/>
      <w:bookmarkStart w:id="271" w:name="pgbrk37"/>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272" w:name="ftr36"/>
      <w:bookmarkEnd w:id="272"/>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3" w:name="pn34"/>
      <w:bookmarkEnd w:id="273"/>
      <w:r>
        <w:rPr>
          <w:rFonts w:ascii="Times New Roman" w:hAnsi="Times New Roman"/>
          <w:sz w:val="20"/>
        </w:rPr>
        <w:t>37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74" w:name="pb36"/>
      <w:bookmarkStart w:id="275" w:name="pb36"/>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276" w:name="hdr37"/>
      <w:bookmarkEnd w:id="276"/>
      <w:r>
        <w:rPr>
          <w:rFonts w:ascii="Times New Roman" w:hAnsi="Times New Roman"/>
          <w:b/>
          <w:sz w:val="20"/>
        </w:rPr>
        <w:t>TENAX THERAPEUTICS, INC.</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CONSOLIDATED STATEMENTS OF STOCKHOLDERS’ </w:t>
      </w:r>
      <w:bookmarkStart w:id="277" w:name="EQUI"/>
      <w:bookmarkEnd w:id="277"/>
      <w:r>
        <w:rPr>
          <w:rFonts w:ascii="Times New Roman" w:hAnsi="Times New Roman"/>
          <w:b/>
          <w:sz w:val="20"/>
        </w:rPr>
        <w:t>EQUITY</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1713"/>
        <w:gridCol w:w="996"/>
        <w:gridCol w:w="605"/>
        <w:gridCol w:w="1069"/>
        <w:gridCol w:w="635"/>
        <w:gridCol w:w="1272"/>
        <w:gridCol w:w="1503"/>
        <w:gridCol w:w="1192"/>
        <w:gridCol w:w="1220"/>
      </w:tblGrid>
      <w:tr>
        <w:trPr/>
        <w:tc>
          <w:tcPr>
            <w:tcW w:w="1713" w:type="dxa"/>
            <w:tcBorders/>
            <w:shd w:fill="auto" w:val="clear"/>
            <w:vAlign w:val="center"/>
          </w:tcPr>
          <w:p>
            <w:pPr>
              <w:pStyle w:val="TableContents"/>
              <w:spacing w:before="0" w:after="0"/>
              <w:ind w:left="0" w:right="0" w:hanging="0"/>
              <w:rPr/>
            </w:pPr>
            <w:r>
              <w:rPr/>
              <w:t> </w:t>
            </w:r>
          </w:p>
        </w:tc>
        <w:tc>
          <w:tcPr>
            <w:tcW w:w="1601"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Preferred Stock</w:t>
            </w:r>
          </w:p>
          <w:p>
            <w:pPr>
              <w:pStyle w:val="TableContents"/>
              <w:spacing w:before="0" w:after="0"/>
              <w:jc w:val="left"/>
              <w:rPr/>
            </w:pPr>
            <w:r>
              <w:rPr/>
              <w:t> </w:t>
            </w:r>
          </w:p>
        </w:tc>
        <w:tc>
          <w:tcPr>
            <w:tcW w:w="1704"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Common Stock</w:t>
            </w:r>
          </w:p>
          <w:p>
            <w:pPr>
              <w:pStyle w:val="TableContents"/>
              <w:spacing w:before="0" w:after="0"/>
              <w:jc w:val="left"/>
              <w:rPr/>
            </w:pPr>
            <w:r>
              <w:rPr/>
              <w:t> </w:t>
            </w:r>
          </w:p>
        </w:tc>
        <w:tc>
          <w:tcPr>
            <w:tcW w:w="1272"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50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192"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22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1713" w:type="dxa"/>
            <w:tcBorders/>
            <w:shd w:fill="auto" w:val="clear"/>
            <w:vAlign w:val="center"/>
          </w:tcPr>
          <w:p>
            <w:pPr>
              <w:pStyle w:val="TableContents"/>
              <w:spacing w:before="0" w:after="0"/>
              <w:ind w:left="0" w:right="0" w:hanging="0"/>
              <w:rPr/>
            </w:pPr>
            <w:r>
              <w:rPr/>
              <w:t> </w:t>
            </w:r>
          </w:p>
        </w:tc>
        <w:tc>
          <w:tcPr>
            <w:tcW w:w="996"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Number of Shares</w:t>
            </w:r>
          </w:p>
          <w:p>
            <w:pPr>
              <w:pStyle w:val="TableContents"/>
              <w:spacing w:before="0" w:after="0"/>
              <w:jc w:val="left"/>
              <w:rPr/>
            </w:pPr>
            <w:r>
              <w:rPr/>
              <w:t> </w:t>
            </w:r>
          </w:p>
        </w:tc>
        <w:tc>
          <w:tcPr>
            <w:tcW w:w="60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Amount</w:t>
            </w:r>
          </w:p>
          <w:p>
            <w:pPr>
              <w:pStyle w:val="TableContents"/>
              <w:spacing w:before="0" w:after="0"/>
              <w:jc w:val="left"/>
              <w:rPr/>
            </w:pPr>
            <w:r>
              <w:rPr/>
              <w:t> </w:t>
            </w:r>
          </w:p>
        </w:tc>
        <w:tc>
          <w:tcPr>
            <w:tcW w:w="1069"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Number of Shares</w:t>
            </w:r>
          </w:p>
          <w:p>
            <w:pPr>
              <w:pStyle w:val="TableContents"/>
              <w:spacing w:before="0" w:after="0"/>
              <w:jc w:val="left"/>
              <w:rPr/>
            </w:pPr>
            <w:r>
              <w:rPr/>
              <w:t> </w:t>
            </w:r>
          </w:p>
        </w:tc>
        <w:tc>
          <w:tcPr>
            <w:tcW w:w="6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Amount</w:t>
            </w:r>
          </w:p>
          <w:p>
            <w:pPr>
              <w:pStyle w:val="TableContents"/>
              <w:spacing w:before="0" w:after="0"/>
              <w:jc w:val="left"/>
              <w:rPr/>
            </w:pPr>
            <w:r>
              <w:rPr/>
              <w:t> </w:t>
            </w:r>
          </w:p>
        </w:tc>
        <w:tc>
          <w:tcPr>
            <w:tcW w:w="1272"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Additional paid-in capital</w:t>
            </w:r>
          </w:p>
          <w:p>
            <w:pPr>
              <w:pStyle w:val="TableContents"/>
              <w:spacing w:before="0" w:after="0"/>
              <w:jc w:val="left"/>
              <w:rPr/>
            </w:pPr>
            <w:r>
              <w:rPr/>
              <w:t> </w:t>
            </w:r>
          </w:p>
        </w:tc>
        <w:tc>
          <w:tcPr>
            <w:tcW w:w="150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Accumulated other comprehensive gain (loss)</w:t>
            </w:r>
          </w:p>
          <w:p>
            <w:pPr>
              <w:pStyle w:val="TableContents"/>
              <w:spacing w:before="0" w:after="0"/>
              <w:jc w:val="left"/>
              <w:rPr/>
            </w:pPr>
            <w:r>
              <w:rPr/>
              <w:t> </w:t>
            </w:r>
          </w:p>
        </w:tc>
        <w:tc>
          <w:tcPr>
            <w:tcW w:w="1192"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Accumulated deficit</w:t>
            </w:r>
          </w:p>
          <w:p>
            <w:pPr>
              <w:pStyle w:val="TableContents"/>
              <w:spacing w:before="0" w:after="0"/>
              <w:jc w:val="left"/>
              <w:rPr/>
            </w:pPr>
            <w:r>
              <w:rPr/>
              <w:t> </w:t>
            </w:r>
          </w:p>
        </w:tc>
        <w:tc>
          <w:tcPr>
            <w:tcW w:w="122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Total stockholders' equity</w:t>
            </w:r>
          </w:p>
          <w:p>
            <w:pPr>
              <w:pStyle w:val="TableContents"/>
              <w:spacing w:before="0" w:after="0"/>
              <w:jc w:val="left"/>
              <w:rPr/>
            </w:pPr>
            <w:r>
              <w:rPr/>
              <w:t> </w:t>
            </w:r>
          </w:p>
        </w:tc>
      </w:tr>
      <w:tr>
        <w:trPr/>
        <w:tc>
          <w:tcPr>
            <w:tcW w:w="1713" w:type="dxa"/>
            <w:tcBorders/>
            <w:shd w:fill="auto" w:val="clear"/>
            <w:vAlign w:val="center"/>
          </w:tcPr>
          <w:p>
            <w:pPr>
              <w:pStyle w:val="TableContents"/>
              <w:spacing w:before="0" w:after="0"/>
              <w:ind w:left="0" w:right="0" w:hanging="0"/>
              <w:rPr/>
            </w:pPr>
            <w:r>
              <w:rPr/>
              <w:t> </w:t>
            </w:r>
          </w:p>
        </w:tc>
        <w:tc>
          <w:tcPr>
            <w:tcW w:w="996"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0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69"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272"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50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192"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22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b/>
                <w:sz w:val="17"/>
              </w:rPr>
            </w:pPr>
            <w:r>
              <w:rPr>
                <w:rFonts w:ascii="Times New Roman" w:hAnsi="Times New Roman"/>
                <w:b/>
                <w:sz w:val="17"/>
              </w:rPr>
              <w:t>Balance at December 31, 2018</w:t>
            </w:r>
          </w:p>
        </w:tc>
        <w:tc>
          <w:tcPr>
            <w:tcW w:w="996" w:type="dxa"/>
            <w:tcBorders/>
            <w:shd w:fill="CCEEFF" w:val="clear"/>
            <w:vAlign w:val="center"/>
          </w:tcPr>
          <w:p>
            <w:pPr>
              <w:pStyle w:val="TableContents"/>
              <w:spacing w:before="0" w:after="0"/>
              <w:jc w:val="left"/>
              <w:rPr/>
            </w:pPr>
            <w:r>
              <w:rPr/>
              <w:t>  </w:t>
            </w:r>
            <w:r>
              <w:rPr>
                <w:rFonts w:ascii="Times New Roman" w:hAnsi="Times New Roman"/>
                <w:b/>
                <w:sz w:val="17"/>
              </w:rPr>
              <w:t>2,854,593</w:t>
            </w:r>
            <w:r>
              <w:rPr/>
              <w:t> </w:t>
            </w:r>
          </w:p>
        </w:tc>
        <w:tc>
          <w:tcPr>
            <w:tcW w:w="60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rPr>
              <w:t>$285</w:t>
            </w:r>
            <w:r>
              <w:rPr>
                <w:color w:val="000000"/>
              </w:rPr>
              <w:t> </w:t>
            </w:r>
          </w:p>
        </w:tc>
        <w:tc>
          <w:tcPr>
            <w:tcW w:w="1069" w:type="dxa"/>
            <w:tcBorders/>
            <w:shd w:fill="CCEEFF" w:val="clear"/>
            <w:vAlign w:val="center"/>
          </w:tcPr>
          <w:p>
            <w:pPr>
              <w:pStyle w:val="TableContents"/>
              <w:spacing w:before="0" w:after="0"/>
              <w:jc w:val="left"/>
              <w:rPr/>
            </w:pPr>
            <w:r>
              <w:rPr/>
              <w:t>  </w:t>
            </w:r>
            <w:r>
              <w:rPr>
                <w:rFonts w:ascii="Times New Roman" w:hAnsi="Times New Roman"/>
                <w:b/>
                <w:sz w:val="17"/>
              </w:rPr>
              <w:t>3,792,249</w:t>
            </w:r>
            <w:r>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rPr>
              <w:t>$379</w:t>
            </w:r>
            <w:r>
              <w:rPr>
                <w:color w:val="000000"/>
              </w:rPr>
              <w:t> </w:t>
            </w:r>
          </w:p>
        </w:tc>
        <w:tc>
          <w:tcPr>
            <w:tcW w:w="1272"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rPr>
              <w:t>$239,572,094</w:t>
            </w:r>
            <w:r>
              <w:rPr>
                <w:color w:val="000000"/>
              </w:rPr>
              <w:t> </w:t>
            </w:r>
          </w:p>
        </w:tc>
        <w:tc>
          <w:tcPr>
            <w:tcW w:w="1503"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rPr>
              <w:t>$516</w:t>
            </w:r>
            <w:r>
              <w:rPr>
                <w:color w:val="000000"/>
              </w:rPr>
              <w:t> </w:t>
            </w:r>
          </w:p>
        </w:tc>
        <w:tc>
          <w:tcPr>
            <w:tcW w:w="1192"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rPr>
              <w:t>$(227,801,743)</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rPr>
              <w:t>$11,771,531</w:t>
            </w:r>
            <w:r>
              <w:rPr>
                <w:color w:val="000000"/>
              </w:rPr>
              <w:t> </w:t>
            </w:r>
          </w:p>
        </w:tc>
      </w:tr>
      <w:tr>
        <w:trPr/>
        <w:tc>
          <w:tcPr>
            <w:tcW w:w="1713" w:type="dxa"/>
            <w:tcBorders/>
            <w:shd w:fill="FFFF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Compensation on options and restricted stock issued</w:t>
            </w:r>
          </w:p>
        </w:tc>
        <w:tc>
          <w:tcPr>
            <w:tcW w:w="996" w:type="dxa"/>
            <w:tcBorders/>
            <w:shd w:fill="FFFFFF" w:val="clear"/>
            <w:vAlign w:val="center"/>
          </w:tcPr>
          <w:p>
            <w:pPr>
              <w:pStyle w:val="TableContents"/>
              <w:spacing w:before="0" w:after="0"/>
              <w:jc w:val="left"/>
              <w:rPr/>
            </w:pPr>
            <w:r>
              <w:rPr/>
              <w:t>    </w:t>
            </w:r>
          </w:p>
        </w:tc>
        <w:tc>
          <w:tcPr>
            <w:tcW w:w="605" w:type="dxa"/>
            <w:tcBorders/>
            <w:shd w:fill="FFFFFF" w:val="clear"/>
            <w:vAlign w:val="center"/>
          </w:tcPr>
          <w:p>
            <w:pPr>
              <w:pStyle w:val="TableContents"/>
              <w:spacing w:before="0" w:after="0"/>
              <w:jc w:val="left"/>
              <w:rPr/>
            </w:pPr>
            <w:r>
              <w:rPr/>
              <w:t>    </w:t>
            </w:r>
          </w:p>
        </w:tc>
        <w:tc>
          <w:tcPr>
            <w:tcW w:w="106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12,195</w:t>
            </w:r>
            <w:r>
              <w:rPr>
                <w:color w:val="000000"/>
              </w:rPr>
              <w:t> </w:t>
            </w:r>
          </w:p>
        </w:tc>
        <w:tc>
          <w:tcPr>
            <w:tcW w:w="6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w:t>
            </w:r>
            <w:r>
              <w:rPr>
                <w:color w:val="000000"/>
              </w:rPr>
              <w:t> </w:t>
            </w:r>
          </w:p>
        </w:tc>
        <w:tc>
          <w:tcPr>
            <w:tcW w:w="1272"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171,215</w:t>
            </w:r>
            <w:r>
              <w:rPr>
                <w:color w:val="000000"/>
              </w:rPr>
              <w:t> </w:t>
            </w:r>
          </w:p>
        </w:tc>
        <w:tc>
          <w:tcPr>
            <w:tcW w:w="1503" w:type="dxa"/>
            <w:tcBorders/>
            <w:shd w:fill="FFFFFF" w:val="clear"/>
            <w:vAlign w:val="center"/>
          </w:tcPr>
          <w:p>
            <w:pPr>
              <w:pStyle w:val="TableContents"/>
              <w:spacing w:before="0" w:after="0"/>
              <w:jc w:val="left"/>
              <w:rPr/>
            </w:pPr>
            <w:r>
              <w:rPr/>
              <w:t>    </w:t>
            </w:r>
          </w:p>
        </w:tc>
        <w:tc>
          <w:tcPr>
            <w:tcW w:w="1192" w:type="dxa"/>
            <w:tcBorders/>
            <w:shd w:fill="FFFFFF" w:val="clear"/>
            <w:vAlign w:val="center"/>
          </w:tcPr>
          <w:p>
            <w:pPr>
              <w:pStyle w:val="TableContents"/>
              <w:spacing w:before="0" w:after="0"/>
              <w:jc w:val="left"/>
              <w:rPr/>
            </w:pPr>
            <w:r>
              <w:rPr/>
              <w:t>    </w:t>
            </w:r>
          </w:p>
        </w:tc>
        <w:tc>
          <w:tcPr>
            <w:tcW w:w="12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171,216</w:t>
            </w:r>
            <w:r>
              <w:rPr>
                <w:color w:val="000000"/>
              </w:rPr>
              <w:t> </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Common stock issued for services rendered</w:t>
            </w:r>
          </w:p>
        </w:tc>
        <w:tc>
          <w:tcPr>
            <w:tcW w:w="996" w:type="dxa"/>
            <w:tcBorders/>
            <w:shd w:fill="CCEEFF" w:val="clear"/>
            <w:vAlign w:val="center"/>
          </w:tcPr>
          <w:p>
            <w:pPr>
              <w:pStyle w:val="TableContents"/>
              <w:spacing w:before="0" w:after="0"/>
              <w:jc w:val="left"/>
              <w:rPr/>
            </w:pPr>
            <w:r>
              <w:rPr/>
              <w:t>    </w:t>
            </w:r>
          </w:p>
        </w:tc>
        <w:tc>
          <w:tcPr>
            <w:tcW w:w="605" w:type="dxa"/>
            <w:tcBorders/>
            <w:shd w:fill="CCEEFF" w:val="clear"/>
            <w:vAlign w:val="center"/>
          </w:tcPr>
          <w:p>
            <w:pPr>
              <w:pStyle w:val="TableContents"/>
              <w:spacing w:before="0" w:after="0"/>
              <w:jc w:val="left"/>
              <w:rPr/>
            </w:pPr>
            <w:r>
              <w:rPr/>
              <w:t>    </w:t>
            </w:r>
          </w:p>
        </w:tc>
        <w:tc>
          <w:tcPr>
            <w:tcW w:w="106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71,429</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7</w:t>
            </w:r>
            <w:r>
              <w:rPr>
                <w:color w:val="000000"/>
              </w:rPr>
              <w:t> </w:t>
            </w:r>
          </w:p>
        </w:tc>
        <w:tc>
          <w:tcPr>
            <w:tcW w:w="127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99,993</w:t>
            </w:r>
            <w:r>
              <w:rPr>
                <w:color w:val="000000"/>
              </w:rPr>
              <w:t> </w:t>
            </w:r>
          </w:p>
        </w:tc>
        <w:tc>
          <w:tcPr>
            <w:tcW w:w="1503" w:type="dxa"/>
            <w:tcBorders/>
            <w:shd w:fill="CCEEFF" w:val="clear"/>
            <w:vAlign w:val="center"/>
          </w:tcPr>
          <w:p>
            <w:pPr>
              <w:pStyle w:val="TableContents"/>
              <w:spacing w:before="0" w:after="0"/>
              <w:jc w:val="left"/>
              <w:rPr/>
            </w:pPr>
            <w:r>
              <w:rPr/>
              <w:t>    </w:t>
            </w:r>
          </w:p>
        </w:tc>
        <w:tc>
          <w:tcPr>
            <w:tcW w:w="1192" w:type="dxa"/>
            <w:tcBorders/>
            <w:shd w:fill="CCEEFF" w:val="clear"/>
            <w:vAlign w:val="center"/>
          </w:tcPr>
          <w:p>
            <w:pPr>
              <w:pStyle w:val="TableContents"/>
              <w:spacing w:before="0" w:after="0"/>
              <w:jc w:val="left"/>
              <w:rPr/>
            </w:pPr>
            <w:r>
              <w:rPr/>
              <w:t>    </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100,000</w:t>
            </w:r>
            <w:r>
              <w:rPr>
                <w:color w:val="000000"/>
              </w:rPr>
              <w:t> </w:t>
            </w:r>
          </w:p>
        </w:tc>
      </w:tr>
      <w:tr>
        <w:trPr/>
        <w:tc>
          <w:tcPr>
            <w:tcW w:w="1713" w:type="dxa"/>
            <w:tcBorders/>
            <w:shd w:fill="FFFF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Common stock issued for convertible preferred stock</w:t>
            </w:r>
          </w:p>
        </w:tc>
        <w:tc>
          <w:tcPr>
            <w:tcW w:w="99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(2,815,987)</w:t>
            </w:r>
          </w:p>
        </w:tc>
        <w:tc>
          <w:tcPr>
            <w:tcW w:w="60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(281)</w:t>
            </w:r>
          </w:p>
        </w:tc>
        <w:tc>
          <w:tcPr>
            <w:tcW w:w="106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2,815,987</w:t>
            </w:r>
            <w:r>
              <w:rPr>
                <w:color w:val="000000"/>
              </w:rPr>
              <w:t> </w:t>
            </w:r>
          </w:p>
        </w:tc>
        <w:tc>
          <w:tcPr>
            <w:tcW w:w="6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282</w:t>
            </w:r>
            <w:r>
              <w:rPr>
                <w:color w:val="000000"/>
              </w:rPr>
              <w:t> </w:t>
            </w:r>
          </w:p>
        </w:tc>
        <w:tc>
          <w:tcPr>
            <w:tcW w:w="1272" w:type="dxa"/>
            <w:tcBorders/>
            <w:shd w:fill="FFFFFF" w:val="clear"/>
            <w:vAlign w:val="center"/>
          </w:tcPr>
          <w:p>
            <w:pPr>
              <w:pStyle w:val="TableContents"/>
              <w:spacing w:before="0" w:after="0"/>
              <w:jc w:val="left"/>
              <w:rPr/>
            </w:pPr>
            <w:r>
              <w:rPr/>
              <w:t>    </w:t>
            </w:r>
          </w:p>
        </w:tc>
        <w:tc>
          <w:tcPr>
            <w:tcW w:w="1503" w:type="dxa"/>
            <w:tcBorders/>
            <w:shd w:fill="FFFFFF" w:val="clear"/>
            <w:vAlign w:val="center"/>
          </w:tcPr>
          <w:p>
            <w:pPr>
              <w:pStyle w:val="TableContents"/>
              <w:spacing w:before="0" w:after="0"/>
              <w:jc w:val="left"/>
              <w:rPr/>
            </w:pPr>
            <w:r>
              <w:rPr/>
              <w:t>    </w:t>
            </w:r>
          </w:p>
        </w:tc>
        <w:tc>
          <w:tcPr>
            <w:tcW w:w="1192" w:type="dxa"/>
            <w:tcBorders/>
            <w:shd w:fill="FFFFFF" w:val="clear"/>
            <w:vAlign w:val="center"/>
          </w:tcPr>
          <w:p>
            <w:pPr>
              <w:pStyle w:val="TableContents"/>
              <w:spacing w:before="0" w:after="0"/>
              <w:jc w:val="left"/>
              <w:rPr/>
            </w:pPr>
            <w:r>
              <w:rPr/>
              <w:t>    </w:t>
            </w:r>
          </w:p>
        </w:tc>
        <w:tc>
          <w:tcPr>
            <w:tcW w:w="12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w:t>
            </w:r>
            <w:r>
              <w:rPr>
                <w:color w:val="000000"/>
              </w:rPr>
              <w:t> </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Exercise of warrants</w:t>
            </w:r>
          </w:p>
        </w:tc>
        <w:tc>
          <w:tcPr>
            <w:tcW w:w="996" w:type="dxa"/>
            <w:tcBorders/>
            <w:shd w:fill="CCEEFF" w:val="clear"/>
            <w:vAlign w:val="center"/>
          </w:tcPr>
          <w:p>
            <w:pPr>
              <w:pStyle w:val="TableContents"/>
              <w:spacing w:before="0" w:after="0"/>
              <w:jc w:val="left"/>
              <w:rPr/>
            </w:pPr>
            <w:r>
              <w:rPr/>
              <w:t>    </w:t>
            </w:r>
          </w:p>
        </w:tc>
        <w:tc>
          <w:tcPr>
            <w:tcW w:w="605" w:type="dxa"/>
            <w:tcBorders/>
            <w:shd w:fill="CCEEFF" w:val="clear"/>
            <w:vAlign w:val="center"/>
          </w:tcPr>
          <w:p>
            <w:pPr>
              <w:pStyle w:val="TableContents"/>
              <w:spacing w:before="0" w:after="0"/>
              <w:jc w:val="left"/>
              <w:rPr/>
            </w:pPr>
            <w:r>
              <w:rPr/>
              <w:t>    </w:t>
            </w:r>
          </w:p>
        </w:tc>
        <w:tc>
          <w:tcPr>
            <w:tcW w:w="106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50,000</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5</w:t>
            </w:r>
            <w:r>
              <w:rPr>
                <w:color w:val="000000"/>
              </w:rPr>
              <w:t> </w:t>
            </w:r>
          </w:p>
        </w:tc>
        <w:tc>
          <w:tcPr>
            <w:tcW w:w="127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96,495</w:t>
            </w:r>
            <w:r>
              <w:rPr>
                <w:color w:val="000000"/>
              </w:rPr>
              <w:t> </w:t>
            </w:r>
          </w:p>
        </w:tc>
        <w:tc>
          <w:tcPr>
            <w:tcW w:w="1503" w:type="dxa"/>
            <w:tcBorders/>
            <w:shd w:fill="CCEEFF" w:val="clear"/>
            <w:vAlign w:val="center"/>
          </w:tcPr>
          <w:p>
            <w:pPr>
              <w:pStyle w:val="TableContents"/>
              <w:spacing w:before="0" w:after="0"/>
              <w:jc w:val="left"/>
              <w:rPr/>
            </w:pPr>
            <w:r>
              <w:rPr/>
              <w:t>    </w:t>
            </w:r>
          </w:p>
        </w:tc>
        <w:tc>
          <w:tcPr>
            <w:tcW w:w="1192" w:type="dxa"/>
            <w:tcBorders/>
            <w:shd w:fill="CCEEFF" w:val="clear"/>
            <w:vAlign w:val="center"/>
          </w:tcPr>
          <w:p>
            <w:pPr>
              <w:pStyle w:val="TableContents"/>
              <w:spacing w:before="0" w:after="0"/>
              <w:jc w:val="left"/>
              <w:rPr/>
            </w:pPr>
            <w:r>
              <w:rPr/>
              <w:t>    </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96,500</w:t>
            </w:r>
            <w:r>
              <w:rPr>
                <w:color w:val="000000"/>
              </w:rPr>
              <w:t> </w:t>
            </w:r>
          </w:p>
        </w:tc>
      </w:tr>
      <w:tr>
        <w:trPr/>
        <w:tc>
          <w:tcPr>
            <w:tcW w:w="1713" w:type="dxa"/>
            <w:tcBorders/>
            <w:shd w:fill="FFFF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Adoption of ASC Topic 842: Leases</w:t>
            </w:r>
          </w:p>
        </w:tc>
        <w:tc>
          <w:tcPr>
            <w:tcW w:w="996" w:type="dxa"/>
            <w:tcBorders/>
            <w:shd w:fill="FFFFFF" w:val="clear"/>
            <w:vAlign w:val="center"/>
          </w:tcPr>
          <w:p>
            <w:pPr>
              <w:pStyle w:val="TableContents"/>
              <w:spacing w:before="0" w:after="0"/>
              <w:jc w:val="left"/>
              <w:rPr/>
            </w:pPr>
            <w:r>
              <w:rPr/>
              <w:t>    </w:t>
            </w:r>
          </w:p>
        </w:tc>
        <w:tc>
          <w:tcPr>
            <w:tcW w:w="605" w:type="dxa"/>
            <w:tcBorders/>
            <w:shd w:fill="FFFFFF" w:val="clear"/>
            <w:vAlign w:val="center"/>
          </w:tcPr>
          <w:p>
            <w:pPr>
              <w:pStyle w:val="TableContents"/>
              <w:spacing w:before="0" w:after="0"/>
              <w:jc w:val="left"/>
              <w:rPr/>
            </w:pPr>
            <w:r>
              <w:rPr/>
              <w:t>    </w:t>
            </w:r>
          </w:p>
        </w:tc>
        <w:tc>
          <w:tcPr>
            <w:tcW w:w="1069" w:type="dxa"/>
            <w:tcBorders/>
            <w:shd w:fill="FFFFFF" w:val="clear"/>
            <w:vAlign w:val="center"/>
          </w:tcPr>
          <w:p>
            <w:pPr>
              <w:pStyle w:val="TableContents"/>
              <w:spacing w:before="0" w:after="0"/>
              <w:jc w:val="left"/>
              <w:rPr/>
            </w:pPr>
            <w:r>
              <w:rPr/>
              <w:t>    </w:t>
            </w:r>
          </w:p>
        </w:tc>
        <w:tc>
          <w:tcPr>
            <w:tcW w:w="635" w:type="dxa"/>
            <w:tcBorders/>
            <w:shd w:fill="FFFFFF" w:val="clear"/>
            <w:vAlign w:val="center"/>
          </w:tcPr>
          <w:p>
            <w:pPr>
              <w:pStyle w:val="TableContents"/>
              <w:spacing w:before="0" w:after="0"/>
              <w:jc w:val="left"/>
              <w:rPr/>
            </w:pPr>
            <w:r>
              <w:rPr/>
              <w:t>    </w:t>
            </w:r>
          </w:p>
        </w:tc>
        <w:tc>
          <w:tcPr>
            <w:tcW w:w="1272" w:type="dxa"/>
            <w:tcBorders/>
            <w:shd w:fill="FFFFFF" w:val="clear"/>
            <w:vAlign w:val="center"/>
          </w:tcPr>
          <w:p>
            <w:pPr>
              <w:pStyle w:val="TableContents"/>
              <w:spacing w:before="0" w:after="0"/>
              <w:jc w:val="left"/>
              <w:rPr/>
            </w:pPr>
            <w:r>
              <w:rPr/>
              <w:t>    </w:t>
            </w:r>
          </w:p>
        </w:tc>
        <w:tc>
          <w:tcPr>
            <w:tcW w:w="1503" w:type="dxa"/>
            <w:tcBorders/>
            <w:shd w:fill="FFFFFF" w:val="clear"/>
            <w:vAlign w:val="center"/>
          </w:tcPr>
          <w:p>
            <w:pPr>
              <w:pStyle w:val="TableContents"/>
              <w:spacing w:before="0" w:after="0"/>
              <w:jc w:val="left"/>
              <w:rPr/>
            </w:pPr>
            <w:r>
              <w:rPr/>
              <w:t>    </w:t>
            </w:r>
          </w:p>
        </w:tc>
        <w:tc>
          <w:tcPr>
            <w:tcW w:w="1192"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27,670</w:t>
            </w:r>
            <w:r>
              <w:rPr>
                <w:color w:val="000000"/>
              </w:rPr>
              <w:t> </w:t>
            </w:r>
          </w:p>
        </w:tc>
        <w:tc>
          <w:tcPr>
            <w:tcW w:w="12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27,670</w:t>
            </w:r>
            <w:r>
              <w:rPr>
                <w:color w:val="000000"/>
              </w:rPr>
              <w:t> </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Unrealized loss on marketable securities</w:t>
            </w:r>
          </w:p>
        </w:tc>
        <w:tc>
          <w:tcPr>
            <w:tcW w:w="996" w:type="dxa"/>
            <w:tcBorders/>
            <w:shd w:fill="CCEEFF" w:val="clear"/>
            <w:vAlign w:val="center"/>
          </w:tcPr>
          <w:p>
            <w:pPr>
              <w:pStyle w:val="TableContents"/>
              <w:spacing w:before="0" w:after="0"/>
              <w:jc w:val="left"/>
              <w:rPr/>
            </w:pPr>
            <w:r>
              <w:rPr/>
              <w:t>    </w:t>
            </w:r>
          </w:p>
        </w:tc>
        <w:tc>
          <w:tcPr>
            <w:tcW w:w="605" w:type="dxa"/>
            <w:tcBorders/>
            <w:shd w:fill="CCEEFF" w:val="clear"/>
            <w:vAlign w:val="center"/>
          </w:tcPr>
          <w:p>
            <w:pPr>
              <w:pStyle w:val="TableContents"/>
              <w:spacing w:before="0" w:after="0"/>
              <w:jc w:val="left"/>
              <w:rPr/>
            </w:pPr>
            <w:r>
              <w:rPr/>
              <w:t>    </w:t>
            </w:r>
          </w:p>
        </w:tc>
        <w:tc>
          <w:tcPr>
            <w:tcW w:w="1069" w:type="dxa"/>
            <w:tcBorders/>
            <w:shd w:fill="CCEEFF" w:val="clear"/>
            <w:vAlign w:val="center"/>
          </w:tcPr>
          <w:p>
            <w:pPr>
              <w:pStyle w:val="TableContents"/>
              <w:spacing w:before="0" w:after="0"/>
              <w:jc w:val="left"/>
              <w:rPr/>
            </w:pPr>
            <w:r>
              <w:rPr/>
              <w:t>    </w:t>
            </w:r>
          </w:p>
        </w:tc>
        <w:tc>
          <w:tcPr>
            <w:tcW w:w="635" w:type="dxa"/>
            <w:tcBorders/>
            <w:shd w:fill="CCEEFF" w:val="clear"/>
            <w:vAlign w:val="center"/>
          </w:tcPr>
          <w:p>
            <w:pPr>
              <w:pStyle w:val="TableContents"/>
              <w:spacing w:before="0" w:after="0"/>
              <w:jc w:val="left"/>
              <w:rPr/>
            </w:pPr>
            <w:r>
              <w:rPr/>
              <w:t>    </w:t>
            </w:r>
          </w:p>
        </w:tc>
        <w:tc>
          <w:tcPr>
            <w:tcW w:w="1272" w:type="dxa"/>
            <w:tcBorders/>
            <w:shd w:fill="CCEEFF" w:val="clear"/>
            <w:vAlign w:val="center"/>
          </w:tcPr>
          <w:p>
            <w:pPr>
              <w:pStyle w:val="TableContents"/>
              <w:spacing w:before="0" w:after="0"/>
              <w:jc w:val="left"/>
              <w:rPr/>
            </w:pPr>
            <w:r>
              <w:rPr/>
              <w:t>    </w:t>
            </w:r>
          </w:p>
        </w:tc>
        <w:tc>
          <w:tcPr>
            <w:tcW w:w="150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(58)</w:t>
            </w:r>
          </w:p>
        </w:tc>
        <w:tc>
          <w:tcPr>
            <w:tcW w:w="1192" w:type="dxa"/>
            <w:tcBorders/>
            <w:shd w:fill="CCEEFF" w:val="clear"/>
            <w:vAlign w:val="center"/>
          </w:tcPr>
          <w:p>
            <w:pPr>
              <w:pStyle w:val="TableContents"/>
              <w:spacing w:before="0" w:after="0"/>
              <w:jc w:val="left"/>
              <w:rPr/>
            </w:pPr>
            <w:r>
              <w:rPr/>
              <w:t>    </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(58)</w:t>
            </w:r>
          </w:p>
        </w:tc>
      </w:tr>
      <w:tr>
        <w:trPr/>
        <w:tc>
          <w:tcPr>
            <w:tcW w:w="1713" w:type="dxa"/>
            <w:tcBorders/>
            <w:shd w:fill="FFFF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Net loss</w:t>
            </w:r>
          </w:p>
        </w:tc>
        <w:tc>
          <w:tcPr>
            <w:tcW w:w="996" w:type="dxa"/>
            <w:tcBorders/>
            <w:shd w:fill="FFFFFF" w:val="clear"/>
            <w:vAlign w:val="center"/>
          </w:tcPr>
          <w:p>
            <w:pPr>
              <w:pStyle w:val="TableContents"/>
              <w:spacing w:before="0" w:after="0"/>
              <w:jc w:val="left"/>
              <w:rPr/>
            </w:pPr>
            <w:r>
              <w:rPr/>
              <w:t> </w:t>
            </w:r>
            <w:r>
              <w:rPr>
                <w:bdr w:val="single" w:sz="12" w:space="1" w:color="000000"/>
              </w:rPr>
              <w:t>  </w:t>
            </w:r>
            <w:r>
              <w:rPr/>
              <w:t> </w:t>
            </w:r>
          </w:p>
        </w:tc>
        <w:tc>
          <w:tcPr>
            <w:tcW w:w="605" w:type="dxa"/>
            <w:tcBorders/>
            <w:shd w:fill="FFFFFF" w:val="clear"/>
            <w:vAlign w:val="center"/>
          </w:tcPr>
          <w:p>
            <w:pPr>
              <w:pStyle w:val="TableContents"/>
              <w:spacing w:before="0" w:after="0"/>
              <w:jc w:val="left"/>
              <w:rPr/>
            </w:pPr>
            <w:r>
              <w:rPr/>
              <w:t> </w:t>
            </w:r>
            <w:r>
              <w:rPr>
                <w:bdr w:val="single" w:sz="12" w:space="1" w:color="000000"/>
              </w:rPr>
              <w:t>  </w:t>
            </w:r>
            <w:r>
              <w:rPr/>
              <w:t> </w:t>
            </w:r>
          </w:p>
        </w:tc>
        <w:tc>
          <w:tcPr>
            <w:tcW w:w="1069" w:type="dxa"/>
            <w:tcBorders/>
            <w:shd w:fill="FFFFFF" w:val="clear"/>
            <w:vAlign w:val="center"/>
          </w:tcPr>
          <w:p>
            <w:pPr>
              <w:pStyle w:val="TableContents"/>
              <w:spacing w:before="0" w:after="0"/>
              <w:jc w:val="left"/>
              <w:rPr/>
            </w:pPr>
            <w:r>
              <w:rPr/>
              <w:t> </w:t>
            </w:r>
            <w:r>
              <w:rPr>
                <w:bdr w:val="single" w:sz="12" w:space="1" w:color="000000"/>
              </w:rPr>
              <w:t>  </w:t>
            </w:r>
            <w:r>
              <w:rPr/>
              <w:t> </w:t>
            </w:r>
          </w:p>
        </w:tc>
        <w:tc>
          <w:tcPr>
            <w:tcW w:w="635" w:type="dxa"/>
            <w:tcBorders/>
            <w:shd w:fill="FFFFFF" w:val="clear"/>
            <w:vAlign w:val="center"/>
          </w:tcPr>
          <w:p>
            <w:pPr>
              <w:pStyle w:val="TableContents"/>
              <w:spacing w:before="0" w:after="0"/>
              <w:jc w:val="left"/>
              <w:rPr/>
            </w:pPr>
            <w:r>
              <w:rPr/>
              <w:t> </w:t>
            </w:r>
            <w:r>
              <w:rPr>
                <w:bdr w:val="single" w:sz="12" w:space="1" w:color="000000"/>
              </w:rPr>
              <w:t>  </w:t>
            </w:r>
            <w:r>
              <w:rPr/>
              <w:t> </w:t>
            </w:r>
          </w:p>
        </w:tc>
        <w:tc>
          <w:tcPr>
            <w:tcW w:w="1272" w:type="dxa"/>
            <w:tcBorders/>
            <w:shd w:fill="FFFFFF" w:val="clear"/>
            <w:vAlign w:val="center"/>
          </w:tcPr>
          <w:p>
            <w:pPr>
              <w:pStyle w:val="TableContents"/>
              <w:spacing w:before="0" w:after="0"/>
              <w:jc w:val="left"/>
              <w:rPr/>
            </w:pPr>
            <w:r>
              <w:rPr/>
              <w:t> </w:t>
            </w:r>
            <w:r>
              <w:rPr>
                <w:bdr w:val="single" w:sz="12" w:space="1" w:color="000000"/>
              </w:rPr>
              <w:t>  </w:t>
            </w:r>
            <w:r>
              <w:rPr/>
              <w:t> </w:t>
            </w:r>
          </w:p>
        </w:tc>
        <w:tc>
          <w:tcPr>
            <w:tcW w:w="1503" w:type="dxa"/>
            <w:tcBorders/>
            <w:shd w:fill="FFFFFF" w:val="clear"/>
            <w:vAlign w:val="center"/>
          </w:tcPr>
          <w:p>
            <w:pPr>
              <w:pStyle w:val="TableContents"/>
              <w:spacing w:before="0" w:after="0"/>
              <w:jc w:val="left"/>
              <w:rPr/>
            </w:pPr>
            <w:r>
              <w:rPr/>
              <w:t> </w:t>
            </w:r>
            <w:r>
              <w:rPr>
                <w:bdr w:val="single" w:sz="12" w:space="1" w:color="000000"/>
              </w:rPr>
              <w:t>  </w:t>
            </w:r>
            <w:r>
              <w:rPr/>
              <w:t> </w:t>
            </w:r>
          </w:p>
        </w:tc>
        <w:tc>
          <w:tcPr>
            <w:tcW w:w="1192"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7"/>
                <w:bdr w:val="single" w:sz="12" w:space="1" w:color="000000"/>
              </w:rPr>
              <w:t>(8,394,363</w:t>
            </w:r>
            <w:r>
              <w:rPr>
                <w:rFonts w:ascii="Times New Roman" w:hAnsi="Times New Roman"/>
                <w:color w:val="000000"/>
                <w:sz w:val="17"/>
              </w:rPr>
              <w:t>)</w:t>
            </w:r>
          </w:p>
        </w:tc>
        <w:tc>
          <w:tcPr>
            <w:tcW w:w="122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7"/>
                <w:bdr w:val="single" w:sz="12" w:space="1" w:color="000000"/>
              </w:rPr>
              <w:t>(8,394,363</w:t>
            </w:r>
            <w:r>
              <w:rPr>
                <w:rFonts w:ascii="Times New Roman" w:hAnsi="Times New Roman"/>
                <w:color w:val="000000"/>
                <w:sz w:val="17"/>
              </w:rPr>
              <w:t>)</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b/>
                <w:sz w:val="17"/>
              </w:rPr>
            </w:pPr>
            <w:r>
              <w:rPr>
                <w:rFonts w:ascii="Times New Roman" w:hAnsi="Times New Roman"/>
                <w:b/>
                <w:sz w:val="17"/>
              </w:rPr>
              <w:t>Balance at December 31, 2019</w:t>
            </w:r>
          </w:p>
        </w:tc>
        <w:tc>
          <w:tcPr>
            <w:tcW w:w="996"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b/>
                <w:sz w:val="17"/>
                <w:bdr w:val="double" w:sz="8" w:space="1" w:color="000000"/>
              </w:rPr>
              <w:t>38,606</w:t>
            </w:r>
            <w:r>
              <w:rPr/>
              <w:t> </w:t>
            </w:r>
          </w:p>
        </w:tc>
        <w:tc>
          <w:tcPr>
            <w:tcW w:w="60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$4</w:t>
            </w:r>
            <w:r>
              <w:rPr>
                <w:color w:val="000000"/>
              </w:rPr>
              <w:t> </w:t>
            </w:r>
          </w:p>
        </w:tc>
        <w:tc>
          <w:tcPr>
            <w:tcW w:w="1069"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b/>
                <w:sz w:val="17"/>
                <w:bdr w:val="double" w:sz="8" w:space="1" w:color="000000"/>
              </w:rPr>
              <w:t>6,741,860</w:t>
            </w:r>
            <w:r>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$674</w:t>
            </w:r>
            <w:r>
              <w:rPr>
                <w:color w:val="000000"/>
              </w:rPr>
              <w:t> </w:t>
            </w:r>
          </w:p>
        </w:tc>
        <w:tc>
          <w:tcPr>
            <w:tcW w:w="1272"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$239,939,797</w:t>
            </w:r>
            <w:r>
              <w:rPr>
                <w:color w:val="000000"/>
              </w:rPr>
              <w:t> </w:t>
            </w:r>
          </w:p>
        </w:tc>
        <w:tc>
          <w:tcPr>
            <w:tcW w:w="1503"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$458</w:t>
            </w:r>
            <w:r>
              <w:rPr>
                <w:color w:val="000000"/>
              </w:rPr>
              <w:t> </w:t>
            </w:r>
          </w:p>
        </w:tc>
        <w:tc>
          <w:tcPr>
            <w:tcW w:w="1192"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$(236,168,436</w:t>
            </w:r>
            <w:r>
              <w:rPr>
                <w:rFonts w:ascii="Times New Roman" w:hAnsi="Times New Roman"/>
                <w:b/>
                <w:color w:val="000000"/>
                <w:sz w:val="17"/>
              </w:rPr>
              <w:t>)</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$3,772,497</w:t>
            </w:r>
            <w:r>
              <w:rPr>
                <w:color w:val="000000"/>
              </w:rPr>
              <w:t> </w:t>
            </w:r>
          </w:p>
        </w:tc>
      </w:tr>
      <w:tr>
        <w:trPr/>
        <w:tc>
          <w:tcPr>
            <w:tcW w:w="1713" w:type="dxa"/>
            <w:tcBorders/>
            <w:shd w:fill="FFFFFF" w:val="clear"/>
            <w:vAlign w:val="center"/>
          </w:tcPr>
          <w:p>
            <w:pPr>
              <w:pStyle w:val="TableContents"/>
              <w:spacing w:before="0" w:after="0"/>
              <w:ind w:left="0" w:right="0" w:hanging="0"/>
              <w:rPr/>
            </w:pPr>
            <w:r>
              <w:rPr/>
              <w:t> </w:t>
            </w:r>
          </w:p>
        </w:tc>
        <w:tc>
          <w:tcPr>
            <w:tcW w:w="996" w:type="dxa"/>
            <w:tcBorders/>
            <w:shd w:fill="FFFFFF" w:val="clear"/>
            <w:vAlign w:val="center"/>
          </w:tcPr>
          <w:p>
            <w:pPr>
              <w:pStyle w:val="TableContents"/>
              <w:spacing w:before="0" w:after="0"/>
              <w:jc w:val="left"/>
              <w:rPr/>
            </w:pPr>
            <w:r>
              <w:rPr/>
              <w:t>    </w:t>
            </w:r>
          </w:p>
        </w:tc>
        <w:tc>
          <w:tcPr>
            <w:tcW w:w="605" w:type="dxa"/>
            <w:tcBorders/>
            <w:shd w:fill="FFFFFF" w:val="clear"/>
            <w:vAlign w:val="center"/>
          </w:tcPr>
          <w:p>
            <w:pPr>
              <w:pStyle w:val="TableContents"/>
              <w:spacing w:before="0" w:after="0"/>
              <w:jc w:val="left"/>
              <w:rPr/>
            </w:pPr>
            <w:r>
              <w:rPr/>
              <w:t>    </w:t>
            </w:r>
          </w:p>
        </w:tc>
        <w:tc>
          <w:tcPr>
            <w:tcW w:w="1069" w:type="dxa"/>
            <w:tcBorders/>
            <w:shd w:fill="FFFFFF" w:val="clear"/>
            <w:vAlign w:val="center"/>
          </w:tcPr>
          <w:p>
            <w:pPr>
              <w:pStyle w:val="TableContents"/>
              <w:spacing w:before="0" w:after="0"/>
              <w:jc w:val="left"/>
              <w:rPr/>
            </w:pPr>
            <w:r>
              <w:rPr/>
              <w:t>    </w:t>
            </w:r>
          </w:p>
        </w:tc>
        <w:tc>
          <w:tcPr>
            <w:tcW w:w="635" w:type="dxa"/>
            <w:tcBorders/>
            <w:shd w:fill="FFFFFF" w:val="clear"/>
            <w:vAlign w:val="center"/>
          </w:tcPr>
          <w:p>
            <w:pPr>
              <w:pStyle w:val="TableContents"/>
              <w:spacing w:before="0" w:after="0"/>
              <w:jc w:val="left"/>
              <w:rPr/>
            </w:pPr>
            <w:r>
              <w:rPr/>
              <w:t>    </w:t>
            </w:r>
          </w:p>
        </w:tc>
        <w:tc>
          <w:tcPr>
            <w:tcW w:w="1272" w:type="dxa"/>
            <w:tcBorders/>
            <w:shd w:fill="FFFFFF" w:val="clear"/>
            <w:vAlign w:val="center"/>
          </w:tcPr>
          <w:p>
            <w:pPr>
              <w:pStyle w:val="TableContents"/>
              <w:spacing w:before="0" w:after="0"/>
              <w:jc w:val="left"/>
              <w:rPr/>
            </w:pPr>
            <w:r>
              <w:rPr/>
              <w:t>    </w:t>
            </w:r>
          </w:p>
        </w:tc>
        <w:tc>
          <w:tcPr>
            <w:tcW w:w="1503" w:type="dxa"/>
            <w:tcBorders/>
            <w:shd w:fill="FFFFFF" w:val="clear"/>
            <w:vAlign w:val="center"/>
          </w:tcPr>
          <w:p>
            <w:pPr>
              <w:pStyle w:val="TableContents"/>
              <w:spacing w:before="0" w:after="0"/>
              <w:jc w:val="left"/>
              <w:rPr/>
            </w:pPr>
            <w:r>
              <w:rPr/>
              <w:t>    </w:t>
            </w:r>
          </w:p>
        </w:tc>
        <w:tc>
          <w:tcPr>
            <w:tcW w:w="1192" w:type="dxa"/>
            <w:tcBorders/>
            <w:shd w:fill="FFFFFF" w:val="clear"/>
            <w:vAlign w:val="center"/>
          </w:tcPr>
          <w:p>
            <w:pPr>
              <w:pStyle w:val="TableContents"/>
              <w:spacing w:before="0" w:after="0"/>
              <w:jc w:val="left"/>
              <w:rPr/>
            </w:pPr>
            <w:r>
              <w:rPr/>
              <w:t>    </w:t>
            </w:r>
          </w:p>
        </w:tc>
        <w:tc>
          <w:tcPr>
            <w:tcW w:w="1220" w:type="dxa"/>
            <w:tcBorders/>
            <w:shd w:fill="FFFFFF" w:val="clear"/>
            <w:vAlign w:val="center"/>
          </w:tcPr>
          <w:p>
            <w:pPr>
              <w:pStyle w:val="TableContents"/>
              <w:spacing w:before="0" w:after="0"/>
              <w:jc w:val="left"/>
              <w:rPr/>
            </w:pPr>
            <w:r>
              <w:rPr/>
              <w:t>    </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Common stock and pre-funded warrants sold, net of offering costs</w:t>
            </w:r>
          </w:p>
        </w:tc>
        <w:tc>
          <w:tcPr>
            <w:tcW w:w="996" w:type="dxa"/>
            <w:tcBorders/>
            <w:shd w:fill="CCEEFF" w:val="clear"/>
            <w:vAlign w:val="center"/>
          </w:tcPr>
          <w:p>
            <w:pPr>
              <w:pStyle w:val="TableContents"/>
              <w:spacing w:before="0" w:after="0"/>
              <w:jc w:val="left"/>
              <w:rPr/>
            </w:pPr>
            <w:r>
              <w:rPr/>
              <w:t>    </w:t>
            </w:r>
          </w:p>
        </w:tc>
        <w:tc>
          <w:tcPr>
            <w:tcW w:w="605" w:type="dxa"/>
            <w:tcBorders/>
            <w:shd w:fill="CCEEFF" w:val="clear"/>
            <w:vAlign w:val="center"/>
          </w:tcPr>
          <w:p>
            <w:pPr>
              <w:pStyle w:val="TableContents"/>
              <w:spacing w:before="0" w:after="0"/>
              <w:jc w:val="left"/>
              <w:rPr/>
            </w:pPr>
            <w:r>
              <w:rPr/>
              <w:t>    </w:t>
            </w:r>
          </w:p>
        </w:tc>
        <w:tc>
          <w:tcPr>
            <w:tcW w:w="106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3,273,611</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327</w:t>
            </w:r>
            <w:r>
              <w:rPr>
                <w:color w:val="000000"/>
              </w:rPr>
              <w:t> </w:t>
            </w:r>
          </w:p>
        </w:tc>
        <w:tc>
          <w:tcPr>
            <w:tcW w:w="127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8,658,850</w:t>
            </w:r>
            <w:r>
              <w:rPr>
                <w:color w:val="000000"/>
              </w:rPr>
              <w:t> </w:t>
            </w:r>
          </w:p>
        </w:tc>
        <w:tc>
          <w:tcPr>
            <w:tcW w:w="1503" w:type="dxa"/>
            <w:tcBorders/>
            <w:shd w:fill="CCEEFF" w:val="clear"/>
            <w:vAlign w:val="center"/>
          </w:tcPr>
          <w:p>
            <w:pPr>
              <w:pStyle w:val="TableContents"/>
              <w:spacing w:before="0" w:after="0"/>
              <w:jc w:val="left"/>
              <w:rPr/>
            </w:pPr>
            <w:r>
              <w:rPr/>
              <w:t>    </w:t>
            </w:r>
          </w:p>
        </w:tc>
        <w:tc>
          <w:tcPr>
            <w:tcW w:w="1192" w:type="dxa"/>
            <w:tcBorders/>
            <w:shd w:fill="CCEEFF" w:val="clear"/>
            <w:vAlign w:val="center"/>
          </w:tcPr>
          <w:p>
            <w:pPr>
              <w:pStyle w:val="TableContents"/>
              <w:spacing w:before="0" w:after="0"/>
              <w:jc w:val="left"/>
              <w:rPr/>
            </w:pPr>
            <w:r>
              <w:rPr/>
              <w:t>    </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8,659,177</w:t>
            </w:r>
            <w:r>
              <w:rPr>
                <w:color w:val="000000"/>
              </w:rPr>
              <w:t> </w:t>
            </w:r>
          </w:p>
        </w:tc>
      </w:tr>
      <w:tr>
        <w:trPr/>
        <w:tc>
          <w:tcPr>
            <w:tcW w:w="1713" w:type="dxa"/>
            <w:tcBorders/>
            <w:shd w:fill="FFFF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Common stock issued for services rendered</w:t>
            </w:r>
          </w:p>
        </w:tc>
        <w:tc>
          <w:tcPr>
            <w:tcW w:w="996" w:type="dxa"/>
            <w:tcBorders/>
            <w:shd w:fill="FFFFFF" w:val="clear"/>
            <w:vAlign w:val="center"/>
          </w:tcPr>
          <w:p>
            <w:pPr>
              <w:pStyle w:val="TableContents"/>
              <w:spacing w:before="0" w:after="0"/>
              <w:jc w:val="left"/>
              <w:rPr/>
            </w:pPr>
            <w:r>
              <w:rPr/>
              <w:t>    </w:t>
            </w:r>
          </w:p>
        </w:tc>
        <w:tc>
          <w:tcPr>
            <w:tcW w:w="605" w:type="dxa"/>
            <w:tcBorders/>
            <w:shd w:fill="FFFFFF" w:val="clear"/>
            <w:vAlign w:val="center"/>
          </w:tcPr>
          <w:p>
            <w:pPr>
              <w:pStyle w:val="TableContents"/>
              <w:spacing w:before="0" w:after="0"/>
              <w:jc w:val="left"/>
              <w:rPr/>
            </w:pPr>
            <w:r>
              <w:rPr/>
              <w:t>    </w:t>
            </w:r>
          </w:p>
        </w:tc>
        <w:tc>
          <w:tcPr>
            <w:tcW w:w="106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77,987</w:t>
            </w:r>
            <w:r>
              <w:rPr>
                <w:color w:val="000000"/>
              </w:rPr>
              <w:t> </w:t>
            </w:r>
          </w:p>
        </w:tc>
        <w:tc>
          <w:tcPr>
            <w:tcW w:w="6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8</w:t>
            </w:r>
            <w:r>
              <w:rPr>
                <w:color w:val="000000"/>
              </w:rPr>
              <w:t> </w:t>
            </w:r>
          </w:p>
        </w:tc>
        <w:tc>
          <w:tcPr>
            <w:tcW w:w="1272"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99,992</w:t>
            </w:r>
            <w:r>
              <w:rPr>
                <w:color w:val="000000"/>
              </w:rPr>
              <w:t> </w:t>
            </w:r>
          </w:p>
        </w:tc>
        <w:tc>
          <w:tcPr>
            <w:tcW w:w="1503" w:type="dxa"/>
            <w:tcBorders/>
            <w:shd w:fill="FFFFFF" w:val="clear"/>
            <w:vAlign w:val="center"/>
          </w:tcPr>
          <w:p>
            <w:pPr>
              <w:pStyle w:val="TableContents"/>
              <w:spacing w:before="0" w:after="0"/>
              <w:jc w:val="left"/>
              <w:rPr/>
            </w:pPr>
            <w:r>
              <w:rPr/>
              <w:t>    </w:t>
            </w:r>
          </w:p>
        </w:tc>
        <w:tc>
          <w:tcPr>
            <w:tcW w:w="1192" w:type="dxa"/>
            <w:tcBorders/>
            <w:shd w:fill="FFFFFF" w:val="clear"/>
            <w:vAlign w:val="center"/>
          </w:tcPr>
          <w:p>
            <w:pPr>
              <w:pStyle w:val="TableContents"/>
              <w:spacing w:before="0" w:after="0"/>
              <w:jc w:val="left"/>
              <w:rPr/>
            </w:pPr>
            <w:r>
              <w:rPr/>
              <w:t>    </w:t>
            </w:r>
          </w:p>
        </w:tc>
        <w:tc>
          <w:tcPr>
            <w:tcW w:w="12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100,000</w:t>
            </w:r>
            <w:r>
              <w:rPr>
                <w:color w:val="000000"/>
              </w:rPr>
              <w:t> </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Common stock issued for convertible preferred stock</w:t>
            </w:r>
          </w:p>
        </w:tc>
        <w:tc>
          <w:tcPr>
            <w:tcW w:w="99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(38,396)</w:t>
            </w:r>
          </w:p>
        </w:tc>
        <w:tc>
          <w:tcPr>
            <w:tcW w:w="60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(4)</w:t>
            </w:r>
          </w:p>
        </w:tc>
        <w:tc>
          <w:tcPr>
            <w:tcW w:w="106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38,396</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4</w:t>
            </w:r>
            <w:r>
              <w:rPr>
                <w:color w:val="000000"/>
              </w:rPr>
              <w:t> </w:t>
            </w:r>
          </w:p>
        </w:tc>
        <w:tc>
          <w:tcPr>
            <w:tcW w:w="1272" w:type="dxa"/>
            <w:tcBorders/>
            <w:shd w:fill="CCEEFF" w:val="clear"/>
            <w:vAlign w:val="center"/>
          </w:tcPr>
          <w:p>
            <w:pPr>
              <w:pStyle w:val="TableContents"/>
              <w:spacing w:before="0" w:after="0"/>
              <w:jc w:val="left"/>
              <w:rPr/>
            </w:pPr>
            <w:r>
              <w:rPr/>
              <w:t>    </w:t>
            </w:r>
          </w:p>
        </w:tc>
        <w:tc>
          <w:tcPr>
            <w:tcW w:w="1503" w:type="dxa"/>
            <w:tcBorders/>
            <w:shd w:fill="CCEEFF" w:val="clear"/>
            <w:vAlign w:val="center"/>
          </w:tcPr>
          <w:p>
            <w:pPr>
              <w:pStyle w:val="TableContents"/>
              <w:spacing w:before="0" w:after="0"/>
              <w:jc w:val="left"/>
              <w:rPr/>
            </w:pPr>
            <w:r>
              <w:rPr/>
              <w:t>    </w:t>
            </w:r>
          </w:p>
        </w:tc>
        <w:tc>
          <w:tcPr>
            <w:tcW w:w="1192" w:type="dxa"/>
            <w:tcBorders/>
            <w:shd w:fill="CCEEFF" w:val="clear"/>
            <w:vAlign w:val="center"/>
          </w:tcPr>
          <w:p>
            <w:pPr>
              <w:pStyle w:val="TableContents"/>
              <w:spacing w:before="0" w:after="0"/>
              <w:jc w:val="left"/>
              <w:rPr/>
            </w:pPr>
            <w:r>
              <w:rPr/>
              <w:t>    </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w:t>
            </w:r>
            <w:r>
              <w:rPr>
                <w:color w:val="000000"/>
              </w:rPr>
              <w:t> </w:t>
            </w:r>
          </w:p>
        </w:tc>
      </w:tr>
      <w:tr>
        <w:trPr/>
        <w:tc>
          <w:tcPr>
            <w:tcW w:w="1713" w:type="dxa"/>
            <w:tcBorders/>
            <w:shd w:fill="FFFF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Exercise of pre-funded warrants</w:t>
            </w:r>
          </w:p>
        </w:tc>
        <w:tc>
          <w:tcPr>
            <w:tcW w:w="996" w:type="dxa"/>
            <w:tcBorders/>
            <w:shd w:fill="FFFFFF" w:val="clear"/>
            <w:vAlign w:val="center"/>
          </w:tcPr>
          <w:p>
            <w:pPr>
              <w:pStyle w:val="TableContents"/>
              <w:spacing w:before="0" w:after="0"/>
              <w:jc w:val="left"/>
              <w:rPr/>
            </w:pPr>
            <w:r>
              <w:rPr/>
              <w:t>    </w:t>
            </w:r>
          </w:p>
        </w:tc>
        <w:tc>
          <w:tcPr>
            <w:tcW w:w="605" w:type="dxa"/>
            <w:tcBorders/>
            <w:shd w:fill="FFFFFF" w:val="clear"/>
            <w:vAlign w:val="center"/>
          </w:tcPr>
          <w:p>
            <w:pPr>
              <w:pStyle w:val="TableContents"/>
              <w:spacing w:before="0" w:after="0"/>
              <w:jc w:val="left"/>
              <w:rPr/>
            </w:pPr>
            <w:r>
              <w:rPr/>
              <w:t>    </w:t>
            </w:r>
          </w:p>
        </w:tc>
        <w:tc>
          <w:tcPr>
            <w:tcW w:w="106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1,610,313</w:t>
            </w:r>
            <w:r>
              <w:rPr>
                <w:color w:val="000000"/>
              </w:rPr>
              <w:t> </w:t>
            </w:r>
          </w:p>
        </w:tc>
        <w:tc>
          <w:tcPr>
            <w:tcW w:w="6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161</w:t>
            </w:r>
            <w:r>
              <w:rPr>
                <w:color w:val="000000"/>
              </w:rPr>
              <w:t> </w:t>
            </w:r>
          </w:p>
        </w:tc>
        <w:tc>
          <w:tcPr>
            <w:tcW w:w="1272" w:type="dxa"/>
            <w:tcBorders/>
            <w:shd w:fill="FFFFFF" w:val="clear"/>
            <w:vAlign w:val="center"/>
          </w:tcPr>
          <w:p>
            <w:pPr>
              <w:pStyle w:val="TableContents"/>
              <w:spacing w:before="0" w:after="0"/>
              <w:jc w:val="left"/>
              <w:rPr/>
            </w:pPr>
            <w:r>
              <w:rPr/>
              <w:t>    </w:t>
            </w:r>
          </w:p>
        </w:tc>
        <w:tc>
          <w:tcPr>
            <w:tcW w:w="1503" w:type="dxa"/>
            <w:tcBorders/>
            <w:shd w:fill="FFFFFF" w:val="clear"/>
            <w:vAlign w:val="center"/>
          </w:tcPr>
          <w:p>
            <w:pPr>
              <w:pStyle w:val="TableContents"/>
              <w:spacing w:before="0" w:after="0"/>
              <w:jc w:val="left"/>
              <w:rPr/>
            </w:pPr>
            <w:r>
              <w:rPr/>
              <w:t>    </w:t>
            </w:r>
          </w:p>
        </w:tc>
        <w:tc>
          <w:tcPr>
            <w:tcW w:w="1192" w:type="dxa"/>
            <w:tcBorders/>
            <w:shd w:fill="FFFFFF" w:val="clear"/>
            <w:vAlign w:val="center"/>
          </w:tcPr>
          <w:p>
            <w:pPr>
              <w:pStyle w:val="TableContents"/>
              <w:spacing w:before="0" w:after="0"/>
              <w:jc w:val="left"/>
              <w:rPr/>
            </w:pPr>
            <w:r>
              <w:rPr/>
              <w:t>    </w:t>
            </w:r>
          </w:p>
        </w:tc>
        <w:tc>
          <w:tcPr>
            <w:tcW w:w="12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161</w:t>
            </w:r>
            <w:r>
              <w:rPr>
                <w:color w:val="000000"/>
              </w:rPr>
              <w:t> </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Exercise of warrants</w:t>
            </w:r>
          </w:p>
        </w:tc>
        <w:tc>
          <w:tcPr>
            <w:tcW w:w="996" w:type="dxa"/>
            <w:tcBorders/>
            <w:shd w:fill="CCEEFF" w:val="clear"/>
            <w:vAlign w:val="center"/>
          </w:tcPr>
          <w:p>
            <w:pPr>
              <w:pStyle w:val="TableContents"/>
              <w:spacing w:before="0" w:after="0"/>
              <w:jc w:val="left"/>
              <w:rPr/>
            </w:pPr>
            <w:r>
              <w:rPr/>
              <w:t>    </w:t>
            </w:r>
          </w:p>
        </w:tc>
        <w:tc>
          <w:tcPr>
            <w:tcW w:w="605" w:type="dxa"/>
            <w:tcBorders/>
            <w:shd w:fill="CCEEFF" w:val="clear"/>
            <w:vAlign w:val="center"/>
          </w:tcPr>
          <w:p>
            <w:pPr>
              <w:pStyle w:val="TableContents"/>
              <w:spacing w:before="0" w:after="0"/>
              <w:jc w:val="left"/>
              <w:rPr/>
            </w:pPr>
            <w:r>
              <w:rPr/>
              <w:t>    </w:t>
            </w:r>
          </w:p>
        </w:tc>
        <w:tc>
          <w:tcPr>
            <w:tcW w:w="106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877,202</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88</w:t>
            </w:r>
            <w:r>
              <w:rPr>
                <w:color w:val="000000"/>
              </w:rPr>
              <w:t> </w:t>
            </w:r>
          </w:p>
        </w:tc>
        <w:tc>
          <w:tcPr>
            <w:tcW w:w="127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1,692,912</w:t>
            </w:r>
            <w:r>
              <w:rPr>
                <w:color w:val="000000"/>
              </w:rPr>
              <w:t> </w:t>
            </w:r>
          </w:p>
        </w:tc>
        <w:tc>
          <w:tcPr>
            <w:tcW w:w="1503" w:type="dxa"/>
            <w:tcBorders/>
            <w:shd w:fill="CCEEFF" w:val="clear"/>
            <w:vAlign w:val="center"/>
          </w:tcPr>
          <w:p>
            <w:pPr>
              <w:pStyle w:val="TableContents"/>
              <w:spacing w:before="0" w:after="0"/>
              <w:jc w:val="left"/>
              <w:rPr/>
            </w:pPr>
            <w:r>
              <w:rPr/>
              <w:t>    </w:t>
            </w:r>
          </w:p>
        </w:tc>
        <w:tc>
          <w:tcPr>
            <w:tcW w:w="1192" w:type="dxa"/>
            <w:tcBorders/>
            <w:shd w:fill="CCEEFF" w:val="clear"/>
            <w:vAlign w:val="center"/>
          </w:tcPr>
          <w:p>
            <w:pPr>
              <w:pStyle w:val="TableContents"/>
              <w:spacing w:before="0" w:after="0"/>
              <w:jc w:val="left"/>
              <w:rPr/>
            </w:pPr>
            <w:r>
              <w:rPr/>
              <w:t>    </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1,693,000</w:t>
            </w:r>
            <w:r>
              <w:rPr>
                <w:color w:val="000000"/>
              </w:rPr>
              <w:t> </w:t>
            </w:r>
          </w:p>
        </w:tc>
      </w:tr>
      <w:tr>
        <w:trPr/>
        <w:tc>
          <w:tcPr>
            <w:tcW w:w="1713" w:type="dxa"/>
            <w:tcBorders/>
            <w:shd w:fill="FFFF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Compensation on options issued</w:t>
            </w:r>
          </w:p>
        </w:tc>
        <w:tc>
          <w:tcPr>
            <w:tcW w:w="996" w:type="dxa"/>
            <w:tcBorders/>
            <w:shd w:fill="FFFFFF" w:val="clear"/>
            <w:vAlign w:val="center"/>
          </w:tcPr>
          <w:p>
            <w:pPr>
              <w:pStyle w:val="TableContents"/>
              <w:spacing w:before="0" w:after="0"/>
              <w:jc w:val="left"/>
              <w:rPr/>
            </w:pPr>
            <w:r>
              <w:rPr/>
              <w:t>    </w:t>
            </w:r>
          </w:p>
        </w:tc>
        <w:tc>
          <w:tcPr>
            <w:tcW w:w="605" w:type="dxa"/>
            <w:tcBorders/>
            <w:shd w:fill="FFFFFF" w:val="clear"/>
            <w:vAlign w:val="center"/>
          </w:tcPr>
          <w:p>
            <w:pPr>
              <w:pStyle w:val="TableContents"/>
              <w:spacing w:before="0" w:after="0"/>
              <w:jc w:val="left"/>
              <w:rPr/>
            </w:pPr>
            <w:r>
              <w:rPr/>
              <w:t>    </w:t>
            </w:r>
          </w:p>
        </w:tc>
        <w:tc>
          <w:tcPr>
            <w:tcW w:w="1069" w:type="dxa"/>
            <w:tcBorders/>
            <w:shd w:fill="FFFFFF" w:val="clear"/>
            <w:vAlign w:val="center"/>
          </w:tcPr>
          <w:p>
            <w:pPr>
              <w:pStyle w:val="TableContents"/>
              <w:spacing w:before="0" w:after="0"/>
              <w:jc w:val="left"/>
              <w:rPr/>
            </w:pPr>
            <w:r>
              <w:rPr/>
              <w:t>    </w:t>
            </w:r>
          </w:p>
        </w:tc>
        <w:tc>
          <w:tcPr>
            <w:tcW w:w="635" w:type="dxa"/>
            <w:tcBorders/>
            <w:shd w:fill="FFFFFF" w:val="clear"/>
            <w:vAlign w:val="center"/>
          </w:tcPr>
          <w:p>
            <w:pPr>
              <w:pStyle w:val="TableContents"/>
              <w:spacing w:before="0" w:after="0"/>
              <w:jc w:val="left"/>
              <w:rPr/>
            </w:pPr>
            <w:r>
              <w:rPr/>
              <w:t>    </w:t>
            </w:r>
          </w:p>
        </w:tc>
        <w:tc>
          <w:tcPr>
            <w:tcW w:w="1272"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252,646</w:t>
            </w:r>
            <w:r>
              <w:rPr>
                <w:color w:val="000000"/>
              </w:rPr>
              <w:t> </w:t>
            </w:r>
          </w:p>
        </w:tc>
        <w:tc>
          <w:tcPr>
            <w:tcW w:w="1503" w:type="dxa"/>
            <w:tcBorders/>
            <w:shd w:fill="FFFFFF" w:val="clear"/>
            <w:vAlign w:val="center"/>
          </w:tcPr>
          <w:p>
            <w:pPr>
              <w:pStyle w:val="TableContents"/>
              <w:spacing w:before="0" w:after="0"/>
              <w:jc w:val="left"/>
              <w:rPr/>
            </w:pPr>
            <w:r>
              <w:rPr/>
              <w:t>    </w:t>
            </w:r>
          </w:p>
        </w:tc>
        <w:tc>
          <w:tcPr>
            <w:tcW w:w="1192" w:type="dxa"/>
            <w:tcBorders/>
            <w:shd w:fill="FFFFFF" w:val="clear"/>
            <w:vAlign w:val="center"/>
          </w:tcPr>
          <w:p>
            <w:pPr>
              <w:pStyle w:val="TableContents"/>
              <w:spacing w:before="0" w:after="0"/>
              <w:jc w:val="left"/>
              <w:rPr/>
            </w:pPr>
            <w:r>
              <w:rPr/>
              <w:t>    </w:t>
            </w:r>
          </w:p>
        </w:tc>
        <w:tc>
          <w:tcPr>
            <w:tcW w:w="12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7"/>
              </w:rPr>
              <w:t>252,646</w:t>
            </w:r>
            <w:r>
              <w:rPr>
                <w:color w:val="000000"/>
              </w:rPr>
              <w:t> </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Unrealized loss on marketable securities</w:t>
            </w:r>
          </w:p>
        </w:tc>
        <w:tc>
          <w:tcPr>
            <w:tcW w:w="996" w:type="dxa"/>
            <w:tcBorders/>
            <w:shd w:fill="CCEEFF" w:val="clear"/>
            <w:vAlign w:val="center"/>
          </w:tcPr>
          <w:p>
            <w:pPr>
              <w:pStyle w:val="TableContents"/>
              <w:spacing w:before="0" w:after="0"/>
              <w:jc w:val="left"/>
              <w:rPr/>
            </w:pPr>
            <w:r>
              <w:rPr/>
              <w:t>    </w:t>
            </w:r>
          </w:p>
        </w:tc>
        <w:tc>
          <w:tcPr>
            <w:tcW w:w="605" w:type="dxa"/>
            <w:tcBorders/>
            <w:shd w:fill="CCEEFF" w:val="clear"/>
            <w:vAlign w:val="center"/>
          </w:tcPr>
          <w:p>
            <w:pPr>
              <w:pStyle w:val="TableContents"/>
              <w:spacing w:before="0" w:after="0"/>
              <w:jc w:val="left"/>
              <w:rPr/>
            </w:pPr>
            <w:r>
              <w:rPr/>
              <w:t>    </w:t>
            </w:r>
          </w:p>
        </w:tc>
        <w:tc>
          <w:tcPr>
            <w:tcW w:w="1069" w:type="dxa"/>
            <w:tcBorders/>
            <w:shd w:fill="CCEEFF" w:val="clear"/>
            <w:vAlign w:val="center"/>
          </w:tcPr>
          <w:p>
            <w:pPr>
              <w:pStyle w:val="TableContents"/>
              <w:spacing w:before="0" w:after="0"/>
              <w:jc w:val="left"/>
              <w:rPr/>
            </w:pPr>
            <w:r>
              <w:rPr/>
              <w:t>    </w:t>
            </w:r>
          </w:p>
        </w:tc>
        <w:tc>
          <w:tcPr>
            <w:tcW w:w="635" w:type="dxa"/>
            <w:tcBorders/>
            <w:shd w:fill="CCEEFF" w:val="clear"/>
            <w:vAlign w:val="center"/>
          </w:tcPr>
          <w:p>
            <w:pPr>
              <w:pStyle w:val="TableContents"/>
              <w:spacing w:before="0" w:after="0"/>
              <w:jc w:val="left"/>
              <w:rPr/>
            </w:pPr>
            <w:r>
              <w:rPr/>
              <w:t>    </w:t>
            </w:r>
          </w:p>
        </w:tc>
        <w:tc>
          <w:tcPr>
            <w:tcW w:w="1272" w:type="dxa"/>
            <w:tcBorders/>
            <w:shd w:fill="CCEEFF" w:val="clear"/>
            <w:vAlign w:val="center"/>
          </w:tcPr>
          <w:p>
            <w:pPr>
              <w:pStyle w:val="TableContents"/>
              <w:spacing w:before="0" w:after="0"/>
              <w:jc w:val="left"/>
              <w:rPr/>
            </w:pPr>
            <w:r>
              <w:rPr/>
              <w:t>    </w:t>
            </w:r>
          </w:p>
        </w:tc>
        <w:tc>
          <w:tcPr>
            <w:tcW w:w="150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(528)</w:t>
            </w:r>
          </w:p>
        </w:tc>
        <w:tc>
          <w:tcPr>
            <w:tcW w:w="1192" w:type="dxa"/>
            <w:tcBorders/>
            <w:shd w:fill="CCEEFF" w:val="clear"/>
            <w:vAlign w:val="center"/>
          </w:tcPr>
          <w:p>
            <w:pPr>
              <w:pStyle w:val="TableContents"/>
              <w:spacing w:before="0" w:after="0"/>
              <w:jc w:val="left"/>
              <w:rPr/>
            </w:pPr>
            <w:r>
              <w:rPr/>
              <w:t>    </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7"/>
              </w:rPr>
              <w:t>(528)</w:t>
            </w:r>
          </w:p>
        </w:tc>
      </w:tr>
      <w:tr>
        <w:trPr/>
        <w:tc>
          <w:tcPr>
            <w:tcW w:w="1713" w:type="dxa"/>
            <w:tcBorders/>
            <w:shd w:fill="FFFFFF" w:val="clear"/>
            <w:vAlign w:val="center"/>
          </w:tcPr>
          <w:p>
            <w:pPr>
              <w:pStyle w:val="TableContents"/>
              <w:spacing w:before="0" w:after="0"/>
              <w:ind w:left="0" w:right="0" w:hanging="0"/>
              <w:jc w:val="left"/>
              <w:rPr>
                <w:rFonts w:ascii="Times New Roman" w:hAnsi="Times New Roman"/>
                <w:color w:val="000000"/>
                <w:sz w:val="17"/>
              </w:rPr>
            </w:pPr>
            <w:r>
              <w:rPr>
                <w:rFonts w:ascii="Times New Roman" w:hAnsi="Times New Roman"/>
                <w:color w:val="000000"/>
                <w:sz w:val="17"/>
              </w:rPr>
              <w:t>Net loss</w:t>
            </w:r>
          </w:p>
        </w:tc>
        <w:tc>
          <w:tcPr>
            <w:tcW w:w="996" w:type="dxa"/>
            <w:tcBorders/>
            <w:shd w:fill="FFFFFF" w:val="clear"/>
            <w:vAlign w:val="center"/>
          </w:tcPr>
          <w:p>
            <w:pPr>
              <w:pStyle w:val="TableContents"/>
              <w:spacing w:before="0" w:after="0"/>
              <w:jc w:val="left"/>
              <w:rPr/>
            </w:pPr>
            <w:r>
              <w:rPr/>
              <w:t> </w:t>
            </w:r>
            <w:r>
              <w:rPr>
                <w:bdr w:val="single" w:sz="12" w:space="1" w:color="000000"/>
              </w:rPr>
              <w:t>  </w:t>
            </w:r>
            <w:r>
              <w:rPr/>
              <w:t> </w:t>
            </w:r>
          </w:p>
        </w:tc>
        <w:tc>
          <w:tcPr>
            <w:tcW w:w="605" w:type="dxa"/>
            <w:tcBorders/>
            <w:shd w:fill="FFFFFF" w:val="clear"/>
            <w:vAlign w:val="center"/>
          </w:tcPr>
          <w:p>
            <w:pPr>
              <w:pStyle w:val="TableContents"/>
              <w:spacing w:before="0" w:after="0"/>
              <w:jc w:val="left"/>
              <w:rPr/>
            </w:pPr>
            <w:r>
              <w:rPr/>
              <w:t> </w:t>
            </w:r>
            <w:r>
              <w:rPr>
                <w:bdr w:val="single" w:sz="12" w:space="1" w:color="000000"/>
              </w:rPr>
              <w:t>  </w:t>
            </w:r>
            <w:r>
              <w:rPr/>
              <w:t> </w:t>
            </w:r>
          </w:p>
        </w:tc>
        <w:tc>
          <w:tcPr>
            <w:tcW w:w="1069" w:type="dxa"/>
            <w:tcBorders/>
            <w:shd w:fill="FFFFFF" w:val="clear"/>
            <w:vAlign w:val="center"/>
          </w:tcPr>
          <w:p>
            <w:pPr>
              <w:pStyle w:val="TableContents"/>
              <w:spacing w:before="0" w:after="0"/>
              <w:jc w:val="left"/>
              <w:rPr/>
            </w:pPr>
            <w:r>
              <w:rPr/>
              <w:t> </w:t>
            </w:r>
            <w:r>
              <w:rPr>
                <w:bdr w:val="single" w:sz="12" w:space="1" w:color="000000"/>
              </w:rPr>
              <w:t>  </w:t>
            </w:r>
            <w:r>
              <w:rPr/>
              <w:t> </w:t>
            </w:r>
          </w:p>
        </w:tc>
        <w:tc>
          <w:tcPr>
            <w:tcW w:w="635" w:type="dxa"/>
            <w:tcBorders/>
            <w:shd w:fill="FFFFFF" w:val="clear"/>
            <w:vAlign w:val="center"/>
          </w:tcPr>
          <w:p>
            <w:pPr>
              <w:pStyle w:val="TableContents"/>
              <w:spacing w:before="0" w:after="0"/>
              <w:jc w:val="left"/>
              <w:rPr/>
            </w:pPr>
            <w:r>
              <w:rPr/>
              <w:t> </w:t>
            </w:r>
            <w:r>
              <w:rPr>
                <w:bdr w:val="single" w:sz="12" w:space="1" w:color="000000"/>
              </w:rPr>
              <w:t>  </w:t>
            </w:r>
            <w:r>
              <w:rPr/>
              <w:t> </w:t>
            </w:r>
          </w:p>
        </w:tc>
        <w:tc>
          <w:tcPr>
            <w:tcW w:w="1272" w:type="dxa"/>
            <w:tcBorders/>
            <w:shd w:fill="FFFFFF" w:val="clear"/>
            <w:vAlign w:val="center"/>
          </w:tcPr>
          <w:p>
            <w:pPr>
              <w:pStyle w:val="TableContents"/>
              <w:spacing w:before="0" w:after="0"/>
              <w:jc w:val="left"/>
              <w:rPr/>
            </w:pPr>
            <w:r>
              <w:rPr/>
              <w:t> </w:t>
            </w:r>
            <w:r>
              <w:rPr>
                <w:bdr w:val="single" w:sz="12" w:space="1" w:color="000000"/>
              </w:rPr>
              <w:t>  </w:t>
            </w:r>
            <w:r>
              <w:rPr/>
              <w:t> </w:t>
            </w:r>
          </w:p>
        </w:tc>
        <w:tc>
          <w:tcPr>
            <w:tcW w:w="1503" w:type="dxa"/>
            <w:tcBorders/>
            <w:shd w:fill="FFFFFF" w:val="clear"/>
            <w:vAlign w:val="center"/>
          </w:tcPr>
          <w:p>
            <w:pPr>
              <w:pStyle w:val="TableContents"/>
              <w:spacing w:before="0" w:after="0"/>
              <w:jc w:val="left"/>
              <w:rPr/>
            </w:pPr>
            <w:r>
              <w:rPr/>
              <w:t> </w:t>
            </w:r>
            <w:r>
              <w:rPr>
                <w:bdr w:val="single" w:sz="12" w:space="1" w:color="000000"/>
              </w:rPr>
              <w:t>  </w:t>
            </w:r>
            <w:r>
              <w:rPr/>
              <w:t> </w:t>
            </w:r>
          </w:p>
        </w:tc>
        <w:tc>
          <w:tcPr>
            <w:tcW w:w="1192"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7"/>
                <w:bdr w:val="single" w:sz="12" w:space="1" w:color="000000"/>
              </w:rPr>
              <w:t>(9,851,391</w:t>
            </w:r>
            <w:r>
              <w:rPr>
                <w:rFonts w:ascii="Times New Roman" w:hAnsi="Times New Roman"/>
                <w:color w:val="000000"/>
                <w:sz w:val="17"/>
              </w:rPr>
              <w:t>)</w:t>
            </w:r>
          </w:p>
        </w:tc>
        <w:tc>
          <w:tcPr>
            <w:tcW w:w="122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7"/>
                <w:bdr w:val="single" w:sz="12" w:space="1" w:color="000000"/>
              </w:rPr>
              <w:t>(9,851,391</w:t>
            </w:r>
            <w:r>
              <w:rPr>
                <w:rFonts w:ascii="Times New Roman" w:hAnsi="Times New Roman"/>
                <w:color w:val="000000"/>
                <w:sz w:val="17"/>
              </w:rPr>
              <w:t>)</w:t>
            </w:r>
          </w:p>
        </w:tc>
      </w:tr>
      <w:tr>
        <w:trPr/>
        <w:tc>
          <w:tcPr>
            <w:tcW w:w="1713" w:type="dxa"/>
            <w:tcBorders/>
            <w:shd w:fill="CCEEFF" w:val="clear"/>
            <w:vAlign w:val="center"/>
          </w:tcPr>
          <w:p>
            <w:pPr>
              <w:pStyle w:val="TableContents"/>
              <w:spacing w:before="0" w:after="0"/>
              <w:ind w:left="0" w:right="0" w:hanging="0"/>
              <w:jc w:val="left"/>
              <w:rPr>
                <w:rFonts w:ascii="Times New Roman" w:hAnsi="Times New Roman"/>
                <w:b/>
                <w:sz w:val="17"/>
              </w:rPr>
            </w:pPr>
            <w:r>
              <w:rPr>
                <w:rFonts w:ascii="Times New Roman" w:hAnsi="Times New Roman"/>
                <w:b/>
                <w:sz w:val="17"/>
              </w:rPr>
              <w:t>Balance at December 31, 2020</w:t>
            </w:r>
          </w:p>
        </w:tc>
        <w:tc>
          <w:tcPr>
            <w:tcW w:w="996"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b/>
                <w:sz w:val="17"/>
                <w:bdr w:val="double" w:sz="8" w:space="1" w:color="000000"/>
              </w:rPr>
              <w:t>210</w:t>
            </w:r>
            <w:r>
              <w:rPr/>
              <w:t> </w:t>
            </w:r>
          </w:p>
        </w:tc>
        <w:tc>
          <w:tcPr>
            <w:tcW w:w="60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w:t>
            </w:r>
            <w:r>
              <w:rPr>
                <w:color w:val="000000"/>
              </w:rPr>
              <w:t> </w:t>
            </w:r>
          </w:p>
        </w:tc>
        <w:tc>
          <w:tcPr>
            <w:tcW w:w="1069"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b/>
                <w:sz w:val="17"/>
                <w:bdr w:val="double" w:sz="8" w:space="1" w:color="000000"/>
              </w:rPr>
              <w:t>12,619,369</w:t>
            </w:r>
            <w:r>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$1,262</w:t>
            </w:r>
            <w:r>
              <w:rPr>
                <w:color w:val="000000"/>
              </w:rPr>
              <w:t> </w:t>
            </w:r>
          </w:p>
        </w:tc>
        <w:tc>
          <w:tcPr>
            <w:tcW w:w="1272"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$250,644,197</w:t>
            </w:r>
            <w:r>
              <w:rPr>
                <w:color w:val="000000"/>
              </w:rPr>
              <w:t> </w:t>
            </w:r>
          </w:p>
        </w:tc>
        <w:tc>
          <w:tcPr>
            <w:tcW w:w="1503"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$(70</w:t>
            </w:r>
            <w:r>
              <w:rPr>
                <w:rFonts w:ascii="Times New Roman" w:hAnsi="Times New Roman"/>
                <w:b/>
                <w:color w:val="000000"/>
                <w:sz w:val="17"/>
              </w:rPr>
              <w:t>)</w:t>
            </w:r>
          </w:p>
        </w:tc>
        <w:tc>
          <w:tcPr>
            <w:tcW w:w="1192"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$(246,019,827</w:t>
            </w:r>
            <w:r>
              <w:rPr>
                <w:rFonts w:ascii="Times New Roman" w:hAnsi="Times New Roman"/>
                <w:b/>
                <w:color w:val="000000"/>
                <w:sz w:val="17"/>
              </w:rPr>
              <w:t>)</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7"/>
                <w:bdr w:val="double" w:sz="8" w:space="1" w:color="000000"/>
              </w:rPr>
              <w:t>$4,625,562</w:t>
            </w:r>
            <w:r>
              <w:rPr>
                <w:color w:val="000000"/>
              </w:rPr>
              <w:t> </w:t>
            </w:r>
          </w:p>
        </w:tc>
      </w:tr>
    </w:tbl>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8" w:name="pgbrk38"/>
      <w:bookmarkStart w:id="279" w:name="pgbrk38"/>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280" w:name="ftr37"/>
      <w:bookmarkEnd w:id="280"/>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1" w:name="pn35"/>
      <w:bookmarkEnd w:id="281"/>
      <w:r>
        <w:rPr>
          <w:rFonts w:ascii="Times New Roman" w:hAnsi="Times New Roman"/>
          <w:sz w:val="20"/>
        </w:rPr>
        <w:t>38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82" w:name="pb37"/>
      <w:bookmarkStart w:id="283" w:name="pb37"/>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284" w:name="hdr38"/>
      <w:bookmarkEnd w:id="284"/>
      <w:r>
        <w:rPr>
          <w:rFonts w:ascii="Times New Roman" w:hAnsi="Times New Roman"/>
          <w:b/>
          <w:sz w:val="20"/>
        </w:rPr>
        <w:t>TENAX THERAPEUTICS, INC.</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CONSOLIDATED STATEMENTS OF </w:t>
      </w:r>
      <w:bookmarkStart w:id="285" w:name="CASH"/>
      <w:bookmarkEnd w:id="285"/>
      <w:r>
        <w:rPr>
          <w:rFonts w:ascii="Times New Roman" w:hAnsi="Times New Roman"/>
          <w:b/>
          <w:sz w:val="20"/>
        </w:rPr>
        <w:t>CASH FLOWS</w:t>
      </w:r>
    </w:p>
    <w:p>
      <w:pPr>
        <w:pStyle w:val="TextBody"/>
        <w:spacing w:before="0" w:after="0"/>
        <w:ind w:left="0" w:right="0" w:hanging="0"/>
        <w:jc w:val="both"/>
        <w:rPr/>
      </w:pPr>
      <w:r>
        <w:rPr/>
        <w:t> </w:t>
      </w:r>
    </w:p>
    <w:tbl>
      <w:tblPr>
        <w:tblW w:w="9360" w:type="dxa"/>
        <w:jc w:val="left"/>
        <w:tblInd w:w="0" w:type="dxa"/>
        <w:tblCellMar>
          <w:top w:w="0" w:type="dxa"/>
          <w:left w:w="0" w:type="dxa"/>
          <w:bottom w:w="0" w:type="dxa"/>
          <w:right w:w="0" w:type="dxa"/>
        </w:tblCellMar>
      </w:tblPr>
      <w:tblGrid>
        <w:gridCol w:w="7085"/>
        <w:gridCol w:w="1130"/>
        <w:gridCol w:w="1145"/>
      </w:tblGrid>
      <w:tr>
        <w:trPr/>
        <w:tc>
          <w:tcPr>
            <w:tcW w:w="7085" w:type="dxa"/>
            <w:tcBorders/>
            <w:shd w:fill="auto" w:val="clear"/>
            <w:vAlign w:val="center"/>
          </w:tcPr>
          <w:p>
            <w:pPr>
              <w:pStyle w:val="TableContents"/>
              <w:spacing w:before="0" w:after="0"/>
              <w:ind w:left="0" w:right="0" w:hanging="0"/>
              <w:rPr/>
            </w:pPr>
            <w:r>
              <w:rPr/>
              <w:t> </w:t>
            </w:r>
          </w:p>
        </w:tc>
        <w:tc>
          <w:tcPr>
            <w:tcW w:w="2275"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Year ended December 31,</w:t>
            </w:r>
          </w:p>
          <w:p>
            <w:pPr>
              <w:pStyle w:val="TableContents"/>
              <w:spacing w:before="0" w:after="0"/>
              <w:jc w:val="left"/>
              <w:rPr/>
            </w:pPr>
            <w:r>
              <w:rPr/>
              <w:t> </w:t>
            </w:r>
          </w:p>
        </w:tc>
      </w:tr>
      <w:tr>
        <w:trPr/>
        <w:tc>
          <w:tcPr>
            <w:tcW w:w="7085" w:type="dxa"/>
            <w:tcBorders/>
            <w:shd w:fill="auto" w:val="clear"/>
            <w:vAlign w:val="center"/>
          </w:tcPr>
          <w:p>
            <w:pPr>
              <w:pStyle w:val="TableContents"/>
              <w:spacing w:before="0" w:after="0"/>
              <w:ind w:left="0" w:right="0" w:hanging="0"/>
              <w:rPr/>
            </w:pPr>
            <w:r>
              <w:rPr/>
              <w:t> </w:t>
            </w:r>
          </w:p>
        </w:tc>
        <w:tc>
          <w:tcPr>
            <w:tcW w:w="11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14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r>
      <w:tr>
        <w:trPr/>
        <w:tc>
          <w:tcPr>
            <w:tcW w:w="7085" w:type="dxa"/>
            <w:tcBorders/>
            <w:shd w:fill="auto" w:val="clear"/>
            <w:vAlign w:val="center"/>
          </w:tcPr>
          <w:p>
            <w:pPr>
              <w:pStyle w:val="TableContents"/>
              <w:spacing w:before="0" w:after="0"/>
              <w:ind w:left="0" w:right="0" w:hanging="0"/>
              <w:rPr/>
            </w:pPr>
            <w:r>
              <w:rPr/>
              <w:t> </w:t>
            </w:r>
          </w:p>
        </w:tc>
        <w:tc>
          <w:tcPr>
            <w:tcW w:w="113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14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708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CASH FLOWS FROM OPERATING ACTIVITIES</w:t>
            </w:r>
          </w:p>
        </w:tc>
        <w:tc>
          <w:tcPr>
            <w:tcW w:w="113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14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708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Net Loss</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$(9,851,391)</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$(8,394,363)</w:t>
            </w:r>
          </w:p>
        </w:tc>
      </w:tr>
      <w:tr>
        <w:trPr/>
        <w:tc>
          <w:tcPr>
            <w:tcW w:w="70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130" w:type="dxa"/>
            <w:tcBorders/>
            <w:shd w:fill="FFFFFF" w:val="clear"/>
            <w:vAlign w:val="center"/>
          </w:tcPr>
          <w:p>
            <w:pPr>
              <w:pStyle w:val="TableContents"/>
              <w:spacing w:before="0" w:after="0"/>
              <w:jc w:val="left"/>
              <w:rPr/>
            </w:pPr>
            <w:r>
              <w:rPr/>
              <w:t>    </w:t>
            </w:r>
          </w:p>
        </w:tc>
        <w:tc>
          <w:tcPr>
            <w:tcW w:w="1145" w:type="dxa"/>
            <w:tcBorders/>
            <w:shd w:fill="FFFFFF" w:val="clear"/>
            <w:vAlign w:val="center"/>
          </w:tcPr>
          <w:p>
            <w:pPr>
              <w:pStyle w:val="TableContents"/>
              <w:spacing w:before="0" w:after="0"/>
              <w:jc w:val="left"/>
              <w:rPr/>
            </w:pPr>
            <w:r>
              <w:rPr/>
              <w:t>    </w:t>
            </w:r>
          </w:p>
        </w:tc>
      </w:tr>
      <w:tr>
        <w:trPr/>
        <w:tc>
          <w:tcPr>
            <w:tcW w:w="7085"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Depreciation and amortization</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4,077</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5,017</w:t>
            </w:r>
            <w:r>
              <w:rPr>
                <w:color w:val="000000"/>
              </w:rPr>
              <w:t> </w:t>
            </w:r>
          </w:p>
        </w:tc>
      </w:tr>
      <w:tr>
        <w:trPr/>
        <w:tc>
          <w:tcPr>
            <w:tcW w:w="708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Interest on debt instrument</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1,627</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r>
        <w:trPr/>
        <w:tc>
          <w:tcPr>
            <w:tcW w:w="7085"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Amortization of right of use asset</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110,671</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102,262</w:t>
            </w:r>
            <w:r>
              <w:rPr>
                <w:color w:val="000000"/>
              </w:rPr>
              <w:t> </w:t>
            </w:r>
          </w:p>
        </w:tc>
      </w:tr>
      <w:tr>
        <w:trPr/>
        <w:tc>
          <w:tcPr>
            <w:tcW w:w="708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522</w:t>
            </w:r>
            <w:r>
              <w:rPr>
                <w:color w:val="000000"/>
              </w:rPr>
              <w:t> </w:t>
            </w:r>
          </w:p>
        </w:tc>
      </w:tr>
      <w:tr>
        <w:trPr/>
        <w:tc>
          <w:tcPr>
            <w:tcW w:w="7085"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Issuance and vesting of compensatory stock options and warrants</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252,646</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171,216</w:t>
            </w:r>
            <w:r>
              <w:rPr>
                <w:color w:val="000000"/>
              </w:rPr>
              <w:t> </w:t>
            </w:r>
          </w:p>
        </w:tc>
      </w:tr>
      <w:tr>
        <w:trPr/>
        <w:tc>
          <w:tcPr>
            <w:tcW w:w="708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Issuance of common stock for services rendered</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100,000</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100,000</w:t>
            </w:r>
            <w:r>
              <w:rPr>
                <w:color w:val="000000"/>
              </w:rPr>
              <w:t> </w:t>
            </w:r>
          </w:p>
        </w:tc>
      </w:tr>
      <w:tr>
        <w:trPr/>
        <w:tc>
          <w:tcPr>
            <w:tcW w:w="7085"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Amortization of premium on marketable securities</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7,069</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(1,230)</w:t>
            </w:r>
          </w:p>
        </w:tc>
      </w:tr>
      <w:tr>
        <w:trPr/>
        <w:tc>
          <w:tcPr>
            <w:tcW w:w="70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130" w:type="dxa"/>
            <w:tcBorders/>
            <w:shd w:fill="FFFFFF" w:val="clear"/>
            <w:vAlign w:val="center"/>
          </w:tcPr>
          <w:p>
            <w:pPr>
              <w:pStyle w:val="TableContents"/>
              <w:spacing w:before="0" w:after="0"/>
              <w:jc w:val="left"/>
              <w:rPr/>
            </w:pPr>
            <w:r>
              <w:rPr/>
              <w:t>    </w:t>
            </w:r>
          </w:p>
        </w:tc>
        <w:tc>
          <w:tcPr>
            <w:tcW w:w="1145" w:type="dxa"/>
            <w:tcBorders/>
            <w:shd w:fill="FFFFFF" w:val="clear"/>
            <w:vAlign w:val="center"/>
          </w:tcPr>
          <w:p>
            <w:pPr>
              <w:pStyle w:val="TableContents"/>
              <w:spacing w:before="0" w:after="0"/>
              <w:jc w:val="left"/>
              <w:rPr/>
            </w:pPr>
            <w:r>
              <w:rPr/>
              <w:t>    </w:t>
            </w:r>
          </w:p>
        </w:tc>
      </w:tr>
      <w:tr>
        <w:trPr/>
        <w:tc>
          <w:tcPr>
            <w:tcW w:w="7085"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Accounts receivable, prepaid expenses and other assets</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698,374</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(322,666)</w:t>
            </w:r>
          </w:p>
        </w:tc>
      </w:tr>
      <w:tr>
        <w:trPr/>
        <w:tc>
          <w:tcPr>
            <w:tcW w:w="708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Accounts payable and accrued liabilities</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(535,550)</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883,042</w:t>
            </w:r>
            <w:r>
              <w:rPr>
                <w:color w:val="000000"/>
              </w:rPr>
              <w:t> </w:t>
            </w:r>
          </w:p>
        </w:tc>
      </w:tr>
      <w:tr>
        <w:trPr/>
        <w:tc>
          <w:tcPr>
            <w:tcW w:w="7085"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Long term portion of lease liability</w:t>
            </w:r>
          </w:p>
        </w:tc>
        <w:tc>
          <w:tcPr>
            <w:tcW w:w="11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(60,379</w:t>
            </w:r>
            <w:r>
              <w:rPr>
                <w:rFonts w:ascii="Times New Roman" w:hAnsi="Times New Roman"/>
                <w:color w:val="000000"/>
                <w:sz w:val="20"/>
              </w:rPr>
              <w:t>)</w:t>
            </w:r>
          </w:p>
        </w:tc>
        <w:tc>
          <w:tcPr>
            <w:tcW w:w="114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(99,977</w:t>
            </w:r>
            <w:r>
              <w:rPr>
                <w:rFonts w:ascii="Times New Roman" w:hAnsi="Times New Roman"/>
                <w:color w:val="000000"/>
                <w:sz w:val="20"/>
              </w:rPr>
              <w:t>)</w:t>
            </w:r>
          </w:p>
        </w:tc>
      </w:tr>
      <w:tr>
        <w:trPr/>
        <w:tc>
          <w:tcPr>
            <w:tcW w:w="7085" w:type="dxa"/>
            <w:tcBorders/>
            <w:shd w:fill="FFFF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Net cash used in operating activities</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(9,272,856)</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(7,556,177)</w:t>
            </w:r>
          </w:p>
        </w:tc>
      </w:tr>
      <w:tr>
        <w:trPr/>
        <w:tc>
          <w:tcPr>
            <w:tcW w:w="7085"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jc w:val="left"/>
              <w:rPr/>
            </w:pPr>
            <w:r>
              <w:rPr/>
              <w:t>    </w:t>
            </w:r>
          </w:p>
        </w:tc>
        <w:tc>
          <w:tcPr>
            <w:tcW w:w="1145" w:type="dxa"/>
            <w:tcBorders/>
            <w:shd w:fill="CCEEFF" w:val="clear"/>
            <w:vAlign w:val="center"/>
          </w:tcPr>
          <w:p>
            <w:pPr>
              <w:pStyle w:val="TableContents"/>
              <w:spacing w:before="0" w:after="0"/>
              <w:jc w:val="left"/>
              <w:rPr/>
            </w:pPr>
            <w:r>
              <w:rPr/>
              <w:t>    </w:t>
            </w:r>
          </w:p>
        </w:tc>
      </w:tr>
      <w:tr>
        <w:trPr/>
        <w:tc>
          <w:tcPr>
            <w:tcW w:w="70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CASH FLOWS FROM INVESTING ACTIVITIES</w:t>
            </w:r>
          </w:p>
        </w:tc>
        <w:tc>
          <w:tcPr>
            <w:tcW w:w="1130" w:type="dxa"/>
            <w:tcBorders/>
            <w:shd w:fill="FFFFFF" w:val="clear"/>
            <w:vAlign w:val="center"/>
          </w:tcPr>
          <w:p>
            <w:pPr>
              <w:pStyle w:val="TableContents"/>
              <w:spacing w:before="0" w:after="0"/>
              <w:jc w:val="left"/>
              <w:rPr/>
            </w:pPr>
            <w:r>
              <w:rPr/>
              <w:t>    </w:t>
            </w:r>
          </w:p>
        </w:tc>
        <w:tc>
          <w:tcPr>
            <w:tcW w:w="1145" w:type="dxa"/>
            <w:tcBorders/>
            <w:shd w:fill="FFFFFF" w:val="clear"/>
            <w:vAlign w:val="center"/>
          </w:tcPr>
          <w:p>
            <w:pPr>
              <w:pStyle w:val="TableContents"/>
              <w:spacing w:before="0" w:after="0"/>
              <w:jc w:val="left"/>
              <w:rPr/>
            </w:pPr>
            <w:r>
              <w:rPr/>
              <w:t>    </w:t>
            </w:r>
          </w:p>
        </w:tc>
      </w:tr>
      <w:tr>
        <w:trPr/>
        <w:tc>
          <w:tcPr>
            <w:tcW w:w="708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Purchase of marketable securities</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(596,524)</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(618,100)</w:t>
            </w:r>
          </w:p>
        </w:tc>
      </w:tr>
      <w:tr>
        <w:trPr/>
        <w:tc>
          <w:tcPr>
            <w:tcW w:w="70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Sale of marketable securities</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620,123</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620,023</w:t>
            </w:r>
            <w:r>
              <w:rPr>
                <w:color w:val="000000"/>
              </w:rPr>
              <w:t> </w:t>
            </w:r>
          </w:p>
        </w:tc>
      </w:tr>
      <w:tr>
        <w:trPr/>
        <w:tc>
          <w:tcPr>
            <w:tcW w:w="708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Purchase of property and equipment</w:t>
            </w:r>
          </w:p>
        </w:tc>
        <w:tc>
          <w:tcPr>
            <w:tcW w:w="11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(3,490</w:t>
            </w:r>
            <w:r>
              <w:rPr>
                <w:rFonts w:ascii="Times New Roman" w:hAnsi="Times New Roman"/>
                <w:color w:val="000000"/>
                <w:sz w:val="20"/>
              </w:rPr>
              <w:t>)</w:t>
            </w:r>
          </w:p>
        </w:tc>
        <w:tc>
          <w:tcPr>
            <w:tcW w:w="114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(3,574</w:t>
            </w:r>
            <w:r>
              <w:rPr>
                <w:rFonts w:ascii="Times New Roman" w:hAnsi="Times New Roman"/>
                <w:color w:val="000000"/>
                <w:sz w:val="20"/>
              </w:rPr>
              <w:t>)</w:t>
            </w:r>
          </w:p>
        </w:tc>
      </w:tr>
      <w:tr>
        <w:trPr/>
        <w:tc>
          <w:tcPr>
            <w:tcW w:w="7085" w:type="dxa"/>
            <w:tcBorders/>
            <w:shd w:fill="FFFF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20,109</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(1,651)</w:t>
            </w:r>
          </w:p>
        </w:tc>
      </w:tr>
      <w:tr>
        <w:trPr/>
        <w:tc>
          <w:tcPr>
            <w:tcW w:w="7085"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jc w:val="left"/>
              <w:rPr/>
            </w:pPr>
            <w:r>
              <w:rPr/>
              <w:t>    </w:t>
            </w:r>
          </w:p>
        </w:tc>
        <w:tc>
          <w:tcPr>
            <w:tcW w:w="1145" w:type="dxa"/>
            <w:tcBorders/>
            <w:shd w:fill="CCEEFF" w:val="clear"/>
            <w:vAlign w:val="center"/>
          </w:tcPr>
          <w:p>
            <w:pPr>
              <w:pStyle w:val="TableContents"/>
              <w:spacing w:before="0" w:after="0"/>
              <w:jc w:val="left"/>
              <w:rPr/>
            </w:pPr>
            <w:r>
              <w:rPr/>
              <w:t>    </w:t>
            </w:r>
          </w:p>
        </w:tc>
      </w:tr>
      <w:tr>
        <w:trPr/>
        <w:tc>
          <w:tcPr>
            <w:tcW w:w="70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CASH FLOWS FROM FINANCING ACTIVITIES</w:t>
            </w:r>
          </w:p>
        </w:tc>
        <w:tc>
          <w:tcPr>
            <w:tcW w:w="1130" w:type="dxa"/>
            <w:tcBorders/>
            <w:shd w:fill="FFFFFF" w:val="clear"/>
            <w:vAlign w:val="center"/>
          </w:tcPr>
          <w:p>
            <w:pPr>
              <w:pStyle w:val="TableContents"/>
              <w:spacing w:before="0" w:after="0"/>
              <w:jc w:val="left"/>
              <w:rPr/>
            </w:pPr>
            <w:r>
              <w:rPr/>
              <w:t>    </w:t>
            </w:r>
          </w:p>
        </w:tc>
        <w:tc>
          <w:tcPr>
            <w:tcW w:w="1145" w:type="dxa"/>
            <w:tcBorders/>
            <w:shd w:fill="FFFFFF" w:val="clear"/>
            <w:vAlign w:val="center"/>
          </w:tcPr>
          <w:p>
            <w:pPr>
              <w:pStyle w:val="TableContents"/>
              <w:spacing w:before="0" w:after="0"/>
              <w:jc w:val="left"/>
              <w:rPr/>
            </w:pPr>
            <w:r>
              <w:rPr/>
              <w:t>    </w:t>
            </w:r>
          </w:p>
        </w:tc>
      </w:tr>
      <w:tr>
        <w:trPr/>
        <w:tc>
          <w:tcPr>
            <w:tcW w:w="708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Proceeds from issuance of common stock and pre-funded warrants, net of issuance costs</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8,659,177</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r>
        <w:trPr/>
        <w:tc>
          <w:tcPr>
            <w:tcW w:w="70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Proceeds from the exercise of warrants</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1,693,161</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96,500</w:t>
            </w:r>
            <w:r>
              <w:rPr>
                <w:color w:val="000000"/>
              </w:rPr>
              <w:t> </w:t>
            </w:r>
          </w:p>
        </w:tc>
      </w:tr>
      <w:tr>
        <w:trPr/>
        <w:tc>
          <w:tcPr>
            <w:tcW w:w="708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Proceeds from the issuance of notes payable</w:t>
            </w:r>
          </w:p>
        </w:tc>
        <w:tc>
          <w:tcPr>
            <w:tcW w:w="11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244,657</w:t>
            </w:r>
            <w:r>
              <w:rPr>
                <w:color w:val="000000"/>
              </w:rPr>
              <w:t> </w:t>
            </w:r>
          </w:p>
        </w:tc>
        <w:tc>
          <w:tcPr>
            <w:tcW w:w="114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w:t>
            </w:r>
            <w:r>
              <w:rPr>
                <w:color w:val="000000"/>
              </w:rPr>
              <w:t> </w:t>
            </w:r>
          </w:p>
        </w:tc>
      </w:tr>
      <w:tr>
        <w:trPr/>
        <w:tc>
          <w:tcPr>
            <w:tcW w:w="7085" w:type="dxa"/>
            <w:tcBorders/>
            <w:shd w:fill="FFFF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Net cash provided by financing activities</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10,596,995</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96,500</w:t>
            </w:r>
            <w:r>
              <w:rPr>
                <w:color w:val="000000"/>
              </w:rPr>
              <w:t> </w:t>
            </w:r>
          </w:p>
        </w:tc>
      </w:tr>
      <w:tr>
        <w:trPr/>
        <w:tc>
          <w:tcPr>
            <w:tcW w:w="7085"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jc w:val="left"/>
              <w:rPr/>
            </w:pPr>
            <w:r>
              <w:rPr/>
              <w:t>    </w:t>
            </w:r>
          </w:p>
        </w:tc>
        <w:tc>
          <w:tcPr>
            <w:tcW w:w="1145" w:type="dxa"/>
            <w:tcBorders/>
            <w:shd w:fill="CCEEFF" w:val="clear"/>
            <w:vAlign w:val="center"/>
          </w:tcPr>
          <w:p>
            <w:pPr>
              <w:pStyle w:val="TableContents"/>
              <w:spacing w:before="0" w:after="0"/>
              <w:jc w:val="left"/>
              <w:rPr/>
            </w:pPr>
            <w:r>
              <w:rPr/>
              <w:t>    </w:t>
            </w:r>
          </w:p>
        </w:tc>
      </w:tr>
      <w:tr>
        <w:trPr/>
        <w:tc>
          <w:tcPr>
            <w:tcW w:w="70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Net change in cash and cash equivalents</w:t>
            </w:r>
          </w:p>
        </w:tc>
        <w:tc>
          <w:tcPr>
            <w:tcW w:w="113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1,344,248</w:t>
            </w:r>
            <w:r>
              <w:rPr>
                <w:color w:val="000000"/>
              </w:rPr>
              <w:t> </w:t>
            </w:r>
          </w:p>
        </w:tc>
        <w:tc>
          <w:tcPr>
            <w:tcW w:w="114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(7,461,328</w:t>
            </w:r>
            <w:r>
              <w:rPr>
                <w:rFonts w:ascii="Times New Roman" w:hAnsi="Times New Roman"/>
                <w:color w:val="000000"/>
                <w:sz w:val="20"/>
              </w:rPr>
              <w:t>)</w:t>
            </w:r>
          </w:p>
        </w:tc>
      </w:tr>
      <w:tr>
        <w:trPr/>
        <w:tc>
          <w:tcPr>
            <w:tcW w:w="708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1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4,905,993</w:t>
            </w:r>
            <w:r>
              <w:rPr>
                <w:color w:val="000000"/>
              </w:rPr>
              <w:t> </w:t>
            </w:r>
          </w:p>
        </w:tc>
        <w:tc>
          <w:tcPr>
            <w:tcW w:w="114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12,367,321</w:t>
            </w:r>
            <w:r>
              <w:rPr>
                <w:color w:val="000000"/>
              </w:rPr>
              <w:t> </w:t>
            </w:r>
          </w:p>
        </w:tc>
      </w:tr>
      <w:tr>
        <w:trPr/>
        <w:tc>
          <w:tcPr>
            <w:tcW w:w="70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Cash and cash equivalents, end of period</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$6,250,241</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$4,905,993</w:t>
            </w:r>
            <w:r>
              <w:rPr>
                <w:color w:val="000000"/>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6" w:name="pgbrk39"/>
      <w:bookmarkStart w:id="287" w:name="pgbrk39"/>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288" w:name="ftr38"/>
      <w:bookmarkEnd w:id="288"/>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9" w:name="pn36"/>
      <w:bookmarkEnd w:id="289"/>
      <w:r>
        <w:rPr>
          <w:rFonts w:ascii="Times New Roman" w:hAnsi="Times New Roman"/>
          <w:sz w:val="20"/>
        </w:rPr>
        <w:t>39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90" w:name="pb38"/>
      <w:bookmarkStart w:id="291" w:name="pb38"/>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292" w:name="hdr39"/>
      <w:bookmarkEnd w:id="292"/>
      <w:r>
        <w:rPr>
          <w:rFonts w:ascii="Times New Roman" w:hAnsi="Times New Roman"/>
          <w:b/>
          <w:sz w:val="20"/>
        </w:rPr>
        <w:t>TENAX THERAPEUTICS, INC.</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293" w:name="NOTE"/>
      <w:bookmarkEnd w:id="293"/>
      <w:r>
        <w:rPr>
          <w:rFonts w:ascii="Times New Roman" w:hAnsi="Times New Roman"/>
          <w:b/>
          <w:sz w:val="20"/>
        </w:rPr>
        <w:t>NOTES TO CONSOLIDATED FINANCIAL STATEMENTS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A—DESCRIPTION OF BUSINESS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Description of Business—Tenax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(the “Plan of Merger”),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On November 13, 2013, under the terms and subject to the conditions of the Asset Purchase Agreement, Life Newco acquired certain assets, including a license granting Life Newco an exclusive, sublicensable right to develop and commercialize pharmaceutical products containing levosimendan, 2.5 mg/ml concentrate for solution for infusion / 5ml vial in the United States and Canada.</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October 9, 2020, the Company entered into an Amendment (the “Amendment”) to the License between the Company and Orion Corporation, a global healthcare company incorporated under the laws of Finland (“Orion”), to include two new oral products containing levosimendan, in capsule and solid dosage form, and a subcutaneously administered product containing levosimendan to the scope of the License, subject to specified limitations. The Amendment also amends the tiered royalty payments based on net sales of the Product in the Territory (each as defined in the License, as amended by the Amendment) made by the Company and its sublicensees</w:t>
      </w:r>
      <w:r>
        <w:rPr>
          <w:rFonts w:ascii="Times New Roman" w:hAnsi="Times New Roman"/>
          <w:color w:val="000000"/>
          <w:sz w:val="20"/>
        </w:rPr>
        <w:t>. Pursuant to the Amendment,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 The Company intends to conduct an upcoming Phase 3 study in pulmonary hypertension patients utilizing one of these oral formulations.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January 15, 2021, the Company, Life Newco II, Inc., a Delaware corporation and a wholly-owned, direct subsidiary of the Company (“Life Newco II”), PHPrecisionMed Inc., a Delaware corporation (“PHPM,”) and Dr. Stuart Rich, solely in his capacity as holders’ representative (in such capacity, the “Representative”), entered into an Agreement and Plan of Merger, dated January 15, 2021 (the “Merger Agreement”), pursuant to which, subject to the satisfaction or waiver of the conditions set forth in the Merger Agreement, the Company would acquire 100% of the equity of PHPM. Under the terms of the Merger Agreement, Life Newco II would merge with and into PHPM, with PHPM surviving as a wholly owned subsidiary of the Company (the “Merger”). On January 15, 2021, the Company completed the acquisition contemplated by the Merger Agreement (the “Acquisition”). As a result of the Acquisition the Company intends to develop pharmaceutical products containing imatinib for the treatment of pulmonary arterial hypertension in the United States and the rest of the world.</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Going Concern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Management believes the accompanying financial statements have been prepared in conformity with accounting principles generally accepted in the United States of America (“GAAP”), which contemplate continuation of the Company as a going concern. The Company has an accumulated deficit of $246,019,827 and $236,168,436 on December 31, 2020 and 2019, respectively, and used cash in operations of $9,272,856 and $7,556,177 during the years ended December 31, 2020 and 2019,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4" w:name="pgbrk40"/>
      <w:bookmarkStart w:id="295" w:name="pgbrk40"/>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96" w:name="ftr39"/>
      <w:bookmarkEnd w:id="2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7" w:name="pn37"/>
      <w:bookmarkEnd w:id="297"/>
      <w:r>
        <w:rPr>
          <w:rFonts w:ascii="Times New Roman" w:hAnsi="Times New Roman"/>
          <w:sz w:val="20"/>
        </w:rPr>
        <w:t>40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98" w:name="pb39"/>
      <w:bookmarkStart w:id="299" w:name="pb39"/>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0" w:name="hdr40"/>
      <w:bookmarkEnd w:id="30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view of the matters described above, recoverability of a major portion of the recorded asset amounts shown in the accompanying December 31, 2020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financial statements do not include any adjustments relating to the recoverability and classification of recorded asset amounts or amounts and classification of liabilities that might be necessary should the Company be unable to continue in existence.</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B—SUMMARY OF SIGNIFICANT ACCOUNTING POLICIES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preparation of the accompanying consolidated financial statements in conformity with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Principles of Consolidation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The accompanying consolidated financial statements include the accounts and transactions of Tenax Therapeutics, Inc. and </w:t>
      </w:r>
      <w:r>
        <w:rPr>
          <w:rFonts w:ascii="Times New Roman" w:hAnsi="Times New Roman"/>
          <w:color w:val="000000"/>
          <w:sz w:val="20"/>
        </w:rPr>
        <w:t>Life Newco, Inc. All material intercompany transactions and balances have been eliminated in consolidation</w:t>
      </w:r>
      <w:r>
        <w:rPr>
          <w:rFonts w:ascii="Times New Roman" w:hAnsi="Times New Roman"/>
          <w:sz w:val="20"/>
        </w:rPr>
        <w:t>.</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Cash and Cash Equivalents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considers all highly liquid instruments with a maturity date of three months or less, when acquired, to be cash equivalents.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Cash Concentration Risk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Federal Deposit Insurance Corporation (the “FDIC”) insurance limits are $250,000 per depositor per insured bank. The Company had cash balances of $5,870,477 and $4,533,976 uninsured by the FDIC as of December 31, 2020 and 2019, respectively.</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Liquidity and Capital Resources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has financed its operations since September 1990 through the issuance of debt and equity securities and loans from stockholders. The Company had total current assets of $6,795,506 and $6,180,829 and working capital of $4,676,543 and $3,648,434 as of December 31, 2020 and 2019, respectively.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Cash resources, including the fair value of the Company’s available for sale marketable securities as of December 31, 2020 were approximately $6.7 million, compared to approximately $5.4 million as of December 31, 2019.</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expects to continue to incur expenses related to development of levosimendan for pulmonary hypertension and other potential indications, as well as identifying and developing other potential product candidates. Based on its resources on December 31, 2020, the Company believes that it has sufficient capital to fund its planned operations through the third quarter of calendar year 2021.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provide assurance that it will be able to secure such additional financing, or if available, that it will be sufficient to meet its needs.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1" w:name="pgbrk41"/>
      <w:bookmarkStart w:id="302" w:name="pgbrk41"/>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3" w:name="ftr40"/>
      <w:bookmarkEnd w:id="3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4" w:name="pn38"/>
      <w:bookmarkEnd w:id="304"/>
      <w:r>
        <w:rPr>
          <w:rFonts w:ascii="Times New Roman" w:hAnsi="Times New Roman"/>
          <w:sz w:val="20"/>
        </w:rPr>
        <w:t>41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05" w:name="pb40"/>
      <w:bookmarkStart w:id="306" w:name="pb40"/>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7" w:name="hdr41"/>
      <w:bookmarkEnd w:id="30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continued spread of COVID-19 globally could adversely affect the Company’s clinical trial operations, including its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the Company’s ability to initiate and/or complete planned clinical and preclinical studies in the future.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Any or all of the foregoing may have a material adverse effect on the Company’s business and financial performance.</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Deferred financing costs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Deferred financing costs represent legal, due diligence and other direct costs incurred to raise capital or obtain debt. Direct costs include only “out-of-pocket” or incremental costs directly related to the effort, such as a finder’s fee and accounting and legal fees. These costs will be capitalized if the efforts are successful or expensed when unsuccessful. Indirect costs are expensed as incurred. Deferred financing costs related to debt are amortized over the life of the debt. Deferred financing costs related to issuing equity are charged to Additional Paid-in Capital.</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Derivative financial instruments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does not use derivative instruments to hedge exposures to cash flow, market or foreign currency risk. Terms of convertible promissory note instruments and other convertible equity instruments are reviewed to determine whether or not they contain embedded derivative instruments that are required under Financial Accounting Standards Board (“FASB”) Accounting Standards Codification (“ASC”) 815, Derivatives and Hedging (“ASC 815”) to be accounted for separately from the host contract and recorded on the balance sheet at fair value. The fair value of derivative liabilities, if any, is required to be revalued at each reporting date, with corresponding changes in fair value recorded in current period operating results.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Freestanding warrants issued by the Company in connection with the issuance or sale of debt and equity instruments are considered to be derivative instruments and are evaluated and accounted for in accordance with the provisions of ASC 815.</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Preclinical Study and Clinical Accruals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estimates its preclinical study and clinical trial expenses based on the services received pursuant to contracts with several research institutions and contract research organizations (“CROs”) that conduct and manage preclinical and clinical trials on its behalf. The financial terms of the agreements vary from contract to contract and may result in uneven expenses and payment flows. Preclinical study and clinical trial expenses include the following:</w:t>
      </w:r>
    </w:p>
    <w:p>
      <w:pPr>
        <w:pStyle w:val="TextBody"/>
        <w:spacing w:before="0" w:after="0"/>
        <w:rPr/>
      </w:pPr>
      <w:r>
        <w:rPr/>
        <w:t> </w:t>
      </w:r>
    </w:p>
    <w:tbl>
      <w:tblPr>
        <w:tblW w:w="9845" w:type="dxa"/>
        <w:jc w:val="left"/>
        <w:tblInd w:w="360" w:type="dxa"/>
        <w:tblCellMar>
          <w:top w:w="0" w:type="dxa"/>
          <w:left w:w="0" w:type="dxa"/>
          <w:bottom w:w="0" w:type="dxa"/>
          <w:right w:w="0" w:type="dxa"/>
        </w:tblCellMar>
      </w:tblPr>
      <w:tblGrid>
        <w:gridCol w:w="95"/>
        <w:gridCol w:w="9750"/>
      </w:tblGrid>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fees paid to CROs in connection with clinical trials,</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fees paid to research institutions in conjunction with preclinical research studies, and</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fees paid to contract manufacturers and service providers in connection with the production and testing of active pharmaceutical ingredients and drug materials for use in preclinical studies and clinical trials.</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Property and Equipment, Net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Property and equipment are stated at cost, subject to adjustments for impairment, less accumulated depreciation and amortization. Depreciation and amortization are computed using the straight-line method over the following estimated useful lives:</w:t>
      </w:r>
    </w:p>
    <w:p>
      <w:pPr>
        <w:pStyle w:val="TextBody"/>
        <w:spacing w:before="0" w:after="0"/>
        <w:rPr/>
      </w:pPr>
      <w:r>
        <w:rPr/>
        <w:t> </w:t>
      </w:r>
    </w:p>
    <w:tbl>
      <w:tblPr>
        <w:tblW w:w="6445" w:type="dxa"/>
        <w:jc w:val="left"/>
        <w:tblInd w:w="0" w:type="dxa"/>
        <w:tblCellMar>
          <w:top w:w="0" w:type="dxa"/>
          <w:left w:w="0" w:type="dxa"/>
          <w:bottom w:w="0" w:type="dxa"/>
          <w:right w:w="0" w:type="dxa"/>
        </w:tblCellMar>
      </w:tblPr>
      <w:tblGrid>
        <w:gridCol w:w="2825"/>
        <w:gridCol w:w="3620"/>
      </w:tblGrid>
      <w:tr>
        <w:trPr/>
        <w:tc>
          <w:tcPr>
            <w:tcW w:w="28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Laboratory equipment</w:t>
            </w:r>
          </w:p>
          <w:p>
            <w:pPr>
              <w:pStyle w:val="TableContents"/>
              <w:spacing w:before="0" w:after="0"/>
              <w:ind w:left="0" w:right="0" w:hanging="0"/>
              <w:jc w:val="both"/>
              <w:rPr/>
            </w:pPr>
            <w:r>
              <w:rPr/>
              <w:t> </w:t>
            </w:r>
          </w:p>
        </w:tc>
        <w:tc>
          <w:tcPr>
            <w:tcW w:w="362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 – 5 years</w:t>
            </w:r>
          </w:p>
          <w:p>
            <w:pPr>
              <w:pStyle w:val="TableContents"/>
              <w:spacing w:before="0" w:after="0"/>
              <w:ind w:left="0" w:right="0" w:hanging="0"/>
              <w:jc w:val="both"/>
              <w:rPr/>
            </w:pPr>
            <w:r>
              <w:rPr/>
              <w:t> </w:t>
            </w:r>
          </w:p>
        </w:tc>
      </w:tr>
      <w:tr>
        <w:trPr/>
        <w:tc>
          <w:tcPr>
            <w:tcW w:w="28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Office equipment</w:t>
            </w:r>
          </w:p>
          <w:p>
            <w:pPr>
              <w:pStyle w:val="TableContents"/>
              <w:spacing w:before="0" w:after="0"/>
              <w:ind w:left="0" w:right="0" w:hanging="0"/>
              <w:jc w:val="both"/>
              <w:rPr/>
            </w:pPr>
            <w:r>
              <w:rPr/>
              <w:t> </w:t>
            </w:r>
          </w:p>
        </w:tc>
        <w:tc>
          <w:tcPr>
            <w:tcW w:w="362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5 years</w:t>
            </w:r>
          </w:p>
          <w:p>
            <w:pPr>
              <w:pStyle w:val="TableContents"/>
              <w:spacing w:before="0" w:after="0"/>
              <w:ind w:left="0" w:right="0" w:hanging="0"/>
              <w:jc w:val="both"/>
              <w:rPr/>
            </w:pPr>
            <w:r>
              <w:rPr/>
              <w:t> </w:t>
            </w:r>
          </w:p>
        </w:tc>
      </w:tr>
      <w:tr>
        <w:trPr/>
        <w:tc>
          <w:tcPr>
            <w:tcW w:w="28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Office furniture and fixtures</w:t>
            </w:r>
          </w:p>
          <w:p>
            <w:pPr>
              <w:pStyle w:val="TableContents"/>
              <w:spacing w:before="0" w:after="0"/>
              <w:ind w:left="0" w:right="0" w:hanging="0"/>
              <w:jc w:val="both"/>
              <w:rPr/>
            </w:pPr>
            <w:r>
              <w:rPr/>
              <w:t> </w:t>
            </w:r>
          </w:p>
        </w:tc>
        <w:tc>
          <w:tcPr>
            <w:tcW w:w="362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7 years</w:t>
            </w:r>
          </w:p>
          <w:p>
            <w:pPr>
              <w:pStyle w:val="TableContents"/>
              <w:spacing w:before="0" w:after="0"/>
              <w:ind w:left="0" w:right="0" w:hanging="0"/>
              <w:jc w:val="both"/>
              <w:rPr/>
            </w:pPr>
            <w:r>
              <w:rPr/>
              <w:t> </w:t>
            </w:r>
          </w:p>
        </w:tc>
      </w:tr>
      <w:tr>
        <w:trPr/>
        <w:tc>
          <w:tcPr>
            <w:tcW w:w="28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Computer equipment and software</w:t>
            </w:r>
          </w:p>
          <w:p>
            <w:pPr>
              <w:pStyle w:val="TableContents"/>
              <w:spacing w:before="0" w:after="0"/>
              <w:ind w:left="0" w:right="0" w:hanging="0"/>
              <w:jc w:val="both"/>
              <w:rPr/>
            </w:pPr>
            <w:r>
              <w:rPr/>
              <w:t> </w:t>
            </w:r>
          </w:p>
        </w:tc>
        <w:tc>
          <w:tcPr>
            <w:tcW w:w="362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 years</w:t>
            </w:r>
          </w:p>
          <w:p>
            <w:pPr>
              <w:pStyle w:val="TableContents"/>
              <w:spacing w:before="0" w:after="0"/>
              <w:ind w:left="0" w:right="0" w:hanging="0"/>
              <w:jc w:val="both"/>
              <w:rPr/>
            </w:pPr>
            <w:r>
              <w:rPr/>
              <w:t> </w:t>
            </w:r>
          </w:p>
        </w:tc>
      </w:tr>
      <w:tr>
        <w:trPr/>
        <w:tc>
          <w:tcPr>
            <w:tcW w:w="28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Leasehold improvements</w:t>
            </w:r>
          </w:p>
          <w:p>
            <w:pPr>
              <w:pStyle w:val="TableContents"/>
              <w:spacing w:before="0" w:after="0"/>
              <w:ind w:left="0" w:right="0" w:hanging="0"/>
              <w:jc w:val="both"/>
              <w:rPr/>
            </w:pPr>
            <w:r>
              <w:rPr/>
              <w:t> </w:t>
            </w:r>
          </w:p>
        </w:tc>
        <w:tc>
          <w:tcPr>
            <w:tcW w:w="362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Shorter of useful life or remaining lease term</w:t>
            </w:r>
          </w:p>
          <w:p>
            <w:pPr>
              <w:pStyle w:val="TableContents"/>
              <w:spacing w:before="0" w:after="0"/>
              <w:ind w:left="0" w:right="0" w:hanging="0"/>
              <w:jc w:val="both"/>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8" w:name="pgbrk42"/>
      <w:bookmarkStart w:id="309" w:name="pgbrk42"/>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0" w:name="ftr41"/>
      <w:bookmarkEnd w:id="31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1" w:name="pn39"/>
      <w:bookmarkEnd w:id="311"/>
      <w:r>
        <w:rPr>
          <w:rFonts w:ascii="Times New Roman" w:hAnsi="Times New Roman"/>
          <w:sz w:val="20"/>
        </w:rPr>
        <w:t>42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12" w:name="pb41"/>
      <w:bookmarkStart w:id="313" w:name="pb41"/>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4" w:name="hdr42"/>
      <w:bookmarkEnd w:id="3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Maintenance and repairs are charged to expense as incurred, and improvements to leased facilities and equipment are capitalized.</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Research and Development Costs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Research and development costs include, but are not limited to, (i) expenses incurred under agreements with CROs and investigative sites, which conduct our clinical trials; (ii) the cost of supplying clinical trial materials; (iii) payments to contract service organizations, as well as consultants; (iv) employee-related expenses, which include salaries and benefits; and (v) depreciation and other allocated expenses, which include direct and allocated expenses for equipment, laboratory and other supplies. All research and development expenses are expensed as incurred.</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Income Taxes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Stock-Based Compensation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accounts for stock-based awards to employees in accordance with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accounts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Loss Per Share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pStyle w:val="TextBody"/>
        <w:spacing w:before="0" w:after="0"/>
        <w:rPr/>
      </w:pPr>
      <w:r>
        <w:rPr/>
        <w:t> </w:t>
      </w:r>
    </w:p>
    <w:tbl>
      <w:tblPr>
        <w:tblW w:w="5610" w:type="dxa"/>
        <w:jc w:val="left"/>
        <w:tblInd w:w="0" w:type="dxa"/>
        <w:tblCellMar>
          <w:top w:w="0" w:type="dxa"/>
          <w:left w:w="0" w:type="dxa"/>
          <w:bottom w:w="0" w:type="dxa"/>
          <w:right w:w="0" w:type="dxa"/>
        </w:tblCellMar>
      </w:tblPr>
      <w:tblGrid>
        <w:gridCol w:w="3335"/>
        <w:gridCol w:w="1130"/>
        <w:gridCol w:w="1145"/>
      </w:tblGrid>
      <w:tr>
        <w:trPr/>
        <w:tc>
          <w:tcPr>
            <w:tcW w:w="3335" w:type="dxa"/>
            <w:tcBorders/>
            <w:shd w:fill="auto" w:val="clear"/>
            <w:vAlign w:val="center"/>
          </w:tcPr>
          <w:p>
            <w:pPr>
              <w:pStyle w:val="TableContents"/>
              <w:spacing w:before="0" w:after="0"/>
              <w:ind w:left="0" w:right="0" w:hanging="0"/>
              <w:rPr/>
            </w:pPr>
            <w:r>
              <w:rPr/>
              <w:t> </w:t>
            </w:r>
          </w:p>
        </w:tc>
        <w:tc>
          <w:tcPr>
            <w:tcW w:w="2275" w:type="dxa"/>
            <w:gridSpan w:val="2"/>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7"/>
              </w:rPr>
            </w:pPr>
            <w:r>
              <w:rPr>
                <w:rFonts w:ascii="Times New Roman" w:hAnsi="Times New Roman"/>
                <w:b/>
                <w:color w:val="000000"/>
                <w:sz w:val="17"/>
              </w:rPr>
              <w:t>Year ended December 31,</w:t>
            </w:r>
          </w:p>
          <w:p>
            <w:pPr>
              <w:pStyle w:val="TableContents"/>
              <w:spacing w:before="0" w:after="0"/>
              <w:jc w:val="left"/>
              <w:rPr/>
            </w:pPr>
            <w:r>
              <w:rPr/>
              <w:t> </w:t>
            </w:r>
          </w:p>
        </w:tc>
      </w:tr>
      <w:tr>
        <w:trPr/>
        <w:tc>
          <w:tcPr>
            <w:tcW w:w="3335" w:type="dxa"/>
            <w:tcBorders/>
            <w:shd w:fill="auto" w:val="clear"/>
            <w:vAlign w:val="center"/>
          </w:tcPr>
          <w:p>
            <w:pPr>
              <w:pStyle w:val="TableContents"/>
              <w:spacing w:before="0" w:after="0"/>
              <w:ind w:left="0" w:right="0" w:hanging="0"/>
              <w:rPr/>
            </w:pPr>
            <w:r>
              <w:rPr/>
              <w:t> </w:t>
            </w:r>
          </w:p>
        </w:tc>
        <w:tc>
          <w:tcPr>
            <w:tcW w:w="11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14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r>
      <w:tr>
        <w:trPr/>
        <w:tc>
          <w:tcPr>
            <w:tcW w:w="3335" w:type="dxa"/>
            <w:tcBorders/>
            <w:shd w:fill="auto" w:val="clear"/>
            <w:vAlign w:val="center"/>
          </w:tcPr>
          <w:p>
            <w:pPr>
              <w:pStyle w:val="TableContents"/>
              <w:spacing w:before="0" w:after="0"/>
              <w:ind w:left="0" w:right="0" w:hanging="0"/>
              <w:rPr/>
            </w:pPr>
            <w:r>
              <w:rPr/>
              <w:t> </w:t>
            </w:r>
          </w:p>
        </w:tc>
        <w:tc>
          <w:tcPr>
            <w:tcW w:w="113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14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33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Warrants to purchase common stock</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21,859,084</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10,519,945</w:t>
            </w:r>
            <w:r>
              <w:rPr>
                <w:color w:val="000000"/>
              </w:rPr>
              <w:t> </w:t>
            </w:r>
          </w:p>
        </w:tc>
      </w:tr>
      <w:tr>
        <w:trPr/>
        <w:tc>
          <w:tcPr>
            <w:tcW w:w="333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Options to purchase common stock</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451,148</w:t>
            </w:r>
            <w:r>
              <w:rPr>
                <w:color w:val="000000"/>
              </w:rPr>
              <w:t> </w:t>
            </w:r>
          </w:p>
        </w:tc>
        <w:tc>
          <w:tcPr>
            <w:tcW w:w="11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244,206</w:t>
            </w:r>
            <w:r>
              <w:rPr>
                <w:color w:val="000000"/>
              </w:rPr>
              <w:t> </w:t>
            </w:r>
          </w:p>
        </w:tc>
      </w:tr>
      <w:tr>
        <w:trPr/>
        <w:tc>
          <w:tcPr>
            <w:tcW w:w="333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Convertible preferred shares outstanding</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210</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38,606</w:t>
            </w:r>
            <w:r>
              <w:rPr>
                <w:color w:val="000000"/>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5" w:name="pgbrk43"/>
      <w:bookmarkStart w:id="316" w:name="pgbrk43"/>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7" w:name="ftr42"/>
      <w:bookmarkEnd w:id="3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8" w:name="pn40"/>
      <w:bookmarkEnd w:id="318"/>
      <w:r>
        <w:rPr>
          <w:rFonts w:ascii="Times New Roman" w:hAnsi="Times New Roman"/>
          <w:sz w:val="20"/>
        </w:rPr>
        <w:t>43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19" w:name="pb42"/>
      <w:bookmarkStart w:id="320" w:name="pb42"/>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21" w:name="hdr43"/>
      <w:bookmarkEnd w:id="3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Leases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determines if an arrangement includes a lease at inception. Operating leases are included in operating lease right-of-use assets, other current liabilities, and long-term lease liabilities in the Company’s consolidated balance sheet as of December 31, 2020.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Prior period amounts continue to be reported in accordance with the Company’s historic accounting under previous lease guidance, see “Recent Accounting Pronouncements” below, for more information about the impact of the adoption of the new lease standard.</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December 2019, the Financial Accounting Standards Board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The Company is currently evaluating this standard, but it does not believe the adoption of the new guidance will have a material impact on its consolidated financial statements.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consolidated financial statements and related disclosures.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In February 2016, the FASB issued an accounting standard intended to improve financial reporting regarding leasing transactions. The standard requires the Company to recognize on its balance sheet the assets and liabilities for the rights and obligations created by all leased assets. The standard also requires it to provide enhanced disclosures designed to enable users of financial statements to understand the amount, timing, and uncertainty of cash flows arising from all leases, operating and capital, with lease terms greater than 12 months. The standard was effective for financial statements beginning after December 15, 2018, and interim periods within those annual periods. Early adoption was permitted.</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Company adopted this standard on January 1, 2019, using the required modified-retrospective approach as of the effective date. The Company elected the package of practical expedients permitted under the transition guidance within the new standard, which among other things, allows it to carryforward the historical lease classification. The Company made an accounting policy election to account for leases with an initial term of 12 months or less similar to previous guidance for operating leases, under which the Company recognizes those lease payments in the consolidated statements of operations and comprehensive loss on a straight-line basis over the lease term. Results for the year ended December 31, 2019 continue to be reported in accordance with historical accounting under previous lease guidance, ASC Topic 840, Leases.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Company recorded a net reduction of $27,670 to opening accumulated deficit as of January 1, 2019, due to the cumulative impact of adopting the new leasing standard, with the impact relating to a change in the classification of the Company’s office space. The adoption of the lease standard did not have a material impact on the Company’s condensed consolidated balance sheets. The table below summarizes the impact of adopting the new standard on its condensed consolidated balance sheet as of January 1, 2019.</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2" w:name="pgbrk44"/>
      <w:bookmarkStart w:id="323" w:name="pgbrk44"/>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24" w:name="ftr43"/>
      <w:bookmarkEnd w:id="3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5" w:name="pn41"/>
      <w:bookmarkEnd w:id="325"/>
      <w:r>
        <w:rPr>
          <w:rFonts w:ascii="Times New Roman" w:hAnsi="Times New Roman"/>
          <w:sz w:val="20"/>
        </w:rPr>
        <w:t>44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26" w:name="pb43"/>
      <w:bookmarkStart w:id="327" w:name="pb43"/>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28" w:name="hdr44"/>
      <w:bookmarkEnd w:id="3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8135" w:type="dxa"/>
        <w:jc w:val="left"/>
        <w:tblInd w:w="0" w:type="dxa"/>
        <w:tblCellMar>
          <w:top w:w="0" w:type="dxa"/>
          <w:left w:w="0" w:type="dxa"/>
          <w:bottom w:w="0" w:type="dxa"/>
          <w:right w:w="0" w:type="dxa"/>
        </w:tblCellMar>
      </w:tblPr>
      <w:tblGrid>
        <w:gridCol w:w="3080"/>
        <w:gridCol w:w="1730"/>
        <w:gridCol w:w="2390"/>
        <w:gridCol w:w="935"/>
      </w:tblGrid>
      <w:tr>
        <w:trPr/>
        <w:tc>
          <w:tcPr>
            <w:tcW w:w="3080" w:type="dxa"/>
            <w:tcBorders/>
            <w:shd w:fill="auto" w:val="clear"/>
            <w:vAlign w:val="center"/>
          </w:tcPr>
          <w:p>
            <w:pPr>
              <w:pStyle w:val="TableContents"/>
              <w:spacing w:before="0" w:after="0"/>
              <w:ind w:left="0" w:right="0" w:hanging="0"/>
              <w:rPr/>
            </w:pPr>
            <w:r>
              <w:rPr/>
              <w:t> </w:t>
            </w:r>
          </w:p>
        </w:tc>
        <w:tc>
          <w:tcPr>
            <w:tcW w:w="17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As Previously Reported</w:t>
            </w:r>
          </w:p>
          <w:p>
            <w:pPr>
              <w:pStyle w:val="TableContents"/>
              <w:spacing w:before="0" w:after="0"/>
              <w:jc w:val="left"/>
              <w:rPr/>
            </w:pPr>
            <w:r>
              <w:rPr/>
              <w:t> </w:t>
            </w:r>
          </w:p>
        </w:tc>
        <w:tc>
          <w:tcPr>
            <w:tcW w:w="239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New Lease Standard Adjustment</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As Adjusted</w:t>
            </w:r>
          </w:p>
          <w:p>
            <w:pPr>
              <w:pStyle w:val="TableContents"/>
              <w:spacing w:before="0" w:after="0"/>
              <w:jc w:val="left"/>
              <w:rPr/>
            </w:pPr>
            <w:r>
              <w:rPr/>
              <w:t> </w:t>
            </w:r>
          </w:p>
        </w:tc>
      </w:tr>
      <w:tr>
        <w:trPr/>
        <w:tc>
          <w:tcPr>
            <w:tcW w:w="3080"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Operating lease right-of-use asset</w:t>
            </w:r>
          </w:p>
        </w:tc>
        <w:tc>
          <w:tcPr>
            <w:tcW w:w="17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23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$271,710</w:t>
            </w:r>
            <w:r>
              <w:rPr>
                <w:color w:val="000000"/>
              </w:rPr>
              <w:t> </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$271,710</w:t>
            </w:r>
            <w:r>
              <w:rPr>
                <w:color w:val="000000"/>
              </w:rPr>
              <w:t> </w:t>
            </w:r>
          </w:p>
        </w:tc>
      </w:tr>
      <w:tr>
        <w:trPr/>
        <w:tc>
          <w:tcPr>
            <w:tcW w:w="3080"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Operating lease liabilites</w:t>
            </w:r>
          </w:p>
        </w:tc>
        <w:tc>
          <w:tcPr>
            <w:tcW w:w="17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239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$271,710</w:t>
            </w:r>
            <w:r>
              <w:rPr>
                <w:color w:val="000000"/>
              </w:rPr>
              <w:t> </w:t>
            </w:r>
          </w:p>
        </w:tc>
        <w:tc>
          <w:tcPr>
            <w:tcW w:w="9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$271,710</w:t>
            </w:r>
            <w:r>
              <w:rPr>
                <w:color w:val="000000"/>
              </w:rPr>
              <w:t> </w:t>
            </w:r>
          </w:p>
        </w:tc>
      </w:tr>
      <w:tr>
        <w:trPr/>
        <w:tc>
          <w:tcPr>
            <w:tcW w:w="3080"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Deferred lease liabilities</w:t>
            </w:r>
          </w:p>
        </w:tc>
        <w:tc>
          <w:tcPr>
            <w:tcW w:w="17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$27,670</w:t>
            </w:r>
            <w:r>
              <w:rPr>
                <w:color w:val="000000"/>
              </w:rPr>
              <w:t> </w:t>
            </w:r>
          </w:p>
        </w:tc>
        <w:tc>
          <w:tcPr>
            <w:tcW w:w="23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$(27,670)</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bl>
    <w:p>
      <w:pPr>
        <w:pStyle w:val="TextBody"/>
        <w:spacing w:before="0" w:after="0"/>
        <w:ind w:left="0" w:right="0" w:hanging="0"/>
        <w:jc w:val="both"/>
        <w:rPr/>
      </w:pPr>
      <w:r>
        <w:rPr/>
        <w:t xml:space="preserve">  </w:t>
      </w:r>
    </w:p>
    <w:p>
      <w:pPr>
        <w:pStyle w:val="TextBody"/>
        <w:spacing w:before="0" w:after="0"/>
        <w:ind w:left="0" w:right="0" w:hanging="0"/>
        <w:jc w:val="left"/>
        <w:rPr>
          <w:rFonts w:ascii="Times New Roman" w:hAnsi="Times New Roman"/>
          <w:b/>
          <w:i/>
          <w:sz w:val="20"/>
        </w:rPr>
      </w:pPr>
      <w:r>
        <w:rPr>
          <w:rFonts w:ascii="Times New Roman" w:hAnsi="Times New Roman"/>
          <w:b/>
          <w:i/>
          <w:sz w:val="20"/>
        </w:rPr>
        <w:t>Fair Value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determines the fair value of its financial assets and liabilities in accordance with the ASC 820, Fair Value Measurements. The Company’s balance sheet includes the following financial instruments: cash and cash equivalents, investments in marketable securities and warrant liabilities. The Company considers the carrying amount of its cash and cash equivalents and short-term notes payable to approximate fair value due to the short-term nature of these instruments.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pStyle w:val="TextBody"/>
        <w:spacing w:before="0" w:after="0"/>
        <w:rPr/>
      </w:pPr>
      <w:r>
        <w:rPr/>
        <w:t> </w:t>
      </w:r>
    </w:p>
    <w:tbl>
      <w:tblPr>
        <w:tblW w:w="9305" w:type="dxa"/>
        <w:jc w:val="left"/>
        <w:tblInd w:w="900" w:type="dxa"/>
        <w:tblCellMar>
          <w:top w:w="0" w:type="dxa"/>
          <w:left w:w="0" w:type="dxa"/>
          <w:bottom w:w="0" w:type="dxa"/>
          <w:right w:w="0" w:type="dxa"/>
        </w:tblCellMar>
      </w:tblPr>
      <w:tblGrid>
        <w:gridCol w:w="752"/>
        <w:gridCol w:w="8553"/>
      </w:tblGrid>
      <w:tr>
        <w:trPr/>
        <w:tc>
          <w:tcPr>
            <w:tcW w:w="75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Level one</w:t>
            </w:r>
          </w:p>
          <w:p>
            <w:pPr>
              <w:pStyle w:val="TableContents"/>
              <w:spacing w:before="0" w:after="0"/>
              <w:ind w:left="0" w:right="0" w:hanging="0"/>
              <w:jc w:val="both"/>
              <w:rPr/>
            </w:pPr>
            <w:r>
              <w:rPr/>
              <w:t> </w:t>
            </w:r>
          </w:p>
        </w:tc>
        <w:tc>
          <w:tcPr>
            <w:tcW w:w="85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Quoted market prices in active markets for identical assets or liabilities;</w:t>
            </w:r>
          </w:p>
          <w:p>
            <w:pPr>
              <w:pStyle w:val="TableContents"/>
              <w:spacing w:before="0" w:after="0"/>
              <w:ind w:left="0" w:right="0" w:hanging="0"/>
              <w:jc w:val="both"/>
              <w:rPr/>
            </w:pPr>
            <w:r>
              <w:rPr/>
              <w:t> </w:t>
            </w:r>
          </w:p>
        </w:tc>
      </w:tr>
      <w:tr>
        <w:trPr/>
        <w:tc>
          <w:tcPr>
            <w:tcW w:w="75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Level two</w:t>
            </w:r>
          </w:p>
          <w:p>
            <w:pPr>
              <w:pStyle w:val="TableContents"/>
              <w:spacing w:before="0" w:after="0"/>
              <w:ind w:left="0" w:right="0" w:hanging="0"/>
              <w:jc w:val="both"/>
              <w:rPr/>
            </w:pPr>
            <w:r>
              <w:rPr/>
              <w:t> </w:t>
            </w:r>
          </w:p>
        </w:tc>
        <w:tc>
          <w:tcPr>
            <w:tcW w:w="85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Inputs other than level one inputs that are either directly or indirectly observable; and</w:t>
            </w:r>
          </w:p>
          <w:p>
            <w:pPr>
              <w:pStyle w:val="TableContents"/>
              <w:spacing w:before="0" w:after="0"/>
              <w:ind w:left="0" w:right="0" w:hanging="0"/>
              <w:jc w:val="both"/>
              <w:rPr/>
            </w:pPr>
            <w:r>
              <w:rPr/>
              <w:t> </w:t>
            </w:r>
          </w:p>
        </w:tc>
      </w:tr>
      <w:tr>
        <w:trPr/>
        <w:tc>
          <w:tcPr>
            <w:tcW w:w="75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Level three</w:t>
            </w:r>
          </w:p>
          <w:p>
            <w:pPr>
              <w:pStyle w:val="TableContents"/>
              <w:spacing w:before="0" w:after="0"/>
              <w:ind w:left="0" w:right="0" w:hanging="0"/>
              <w:jc w:val="both"/>
              <w:rPr/>
            </w:pPr>
            <w:r>
              <w:rPr/>
              <w:t> </w:t>
            </w:r>
          </w:p>
        </w:tc>
        <w:tc>
          <w:tcPr>
            <w:tcW w:w="85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Unobservable inputs developed using estimates and assumptions; which are developed by the reporting entity and reflect those assumptions that a market participant would use.</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Investments in Marketable Securities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(expense) in the Consolidated Statements of Operations and Comprehensive Loss and are determined using the specific identification method with transactions recorded on a settlement date basis.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recognized a gain of $28 and $66 for the years ended December 31, 2020 and 2019, respectively.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Investments with original maturities at date of purchase beyond three months and which mature at or less than 12 months from the balance sheet date are classified as current. Investments with a maturity beyond 12 months from the balance sheet date are classified as long-term. On December 31, 2020, the Company believes that the costs of its investments are recoverable in all material respects.</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9" w:name="pgbrk45"/>
      <w:bookmarkStart w:id="330" w:name="pgbrk45"/>
      <w:bookmarkEnd w:id="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31" w:name="ftr44"/>
      <w:bookmarkEnd w:id="3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2" w:name="pn42"/>
      <w:bookmarkEnd w:id="332"/>
      <w:r>
        <w:rPr>
          <w:rFonts w:ascii="Times New Roman" w:hAnsi="Times New Roman"/>
          <w:sz w:val="20"/>
        </w:rPr>
        <w:t>45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33" w:name="pb44"/>
      <w:bookmarkStart w:id="334" w:name="pb44"/>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35" w:name="hdr45"/>
      <w:bookmarkEnd w:id="3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tables summarize the fair value of the Company’s investments by type. The estimated fair value of the Company’s fixed income investments is classified as Level 2 in the fair value hierarchy as defined in GAAP. These fair values are obtained from independent pricing services which utilize Level 2 inputs:</w:t>
      </w:r>
    </w:p>
    <w:p>
      <w:pPr>
        <w:pStyle w:val="TextBody"/>
        <w:spacing w:before="0" w:after="0"/>
        <w:rPr/>
      </w:pPr>
      <w:r>
        <w:rPr/>
        <w:t> </w:t>
      </w:r>
    </w:p>
    <w:tbl>
      <w:tblPr>
        <w:tblW w:w="9450" w:type="dxa"/>
        <w:jc w:val="left"/>
        <w:tblInd w:w="0" w:type="dxa"/>
        <w:tblCellMar>
          <w:top w:w="0" w:type="dxa"/>
          <w:left w:w="0" w:type="dxa"/>
          <w:bottom w:w="0" w:type="dxa"/>
          <w:right w:w="0" w:type="dxa"/>
        </w:tblCellMar>
      </w:tblPr>
      <w:tblGrid>
        <w:gridCol w:w="2060"/>
        <w:gridCol w:w="1160"/>
        <w:gridCol w:w="1220"/>
        <w:gridCol w:w="1730"/>
        <w:gridCol w:w="1700"/>
        <w:gridCol w:w="1580"/>
      </w:tblGrid>
      <w:tr>
        <w:trPr/>
        <w:tc>
          <w:tcPr>
            <w:tcW w:w="2060" w:type="dxa"/>
            <w:tcBorders/>
            <w:shd w:fill="auto" w:val="clear"/>
            <w:vAlign w:val="center"/>
          </w:tcPr>
          <w:p>
            <w:pPr>
              <w:pStyle w:val="TableContents"/>
              <w:spacing w:before="0" w:after="0"/>
              <w:ind w:left="0" w:right="0" w:hanging="0"/>
              <w:rPr/>
            </w:pPr>
            <w:r>
              <w:rPr/>
              <w:t> </w:t>
            </w:r>
          </w:p>
        </w:tc>
        <w:tc>
          <w:tcPr>
            <w:tcW w:w="7390" w:type="dxa"/>
            <w:gridSpan w:val="5"/>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2020</w:t>
            </w:r>
          </w:p>
          <w:p>
            <w:pPr>
              <w:pStyle w:val="TableContents"/>
              <w:spacing w:before="0" w:after="0"/>
              <w:jc w:val="left"/>
              <w:rPr/>
            </w:pPr>
            <w:r>
              <w:rPr/>
              <w:t> </w:t>
            </w:r>
          </w:p>
        </w:tc>
      </w:tr>
      <w:tr>
        <w:trPr/>
        <w:tc>
          <w:tcPr>
            <w:tcW w:w="2060" w:type="dxa"/>
            <w:tcBorders/>
            <w:shd w:fill="auto" w:val="clear"/>
            <w:vAlign w:val="center"/>
          </w:tcPr>
          <w:p>
            <w:pPr>
              <w:pStyle w:val="TableContents"/>
              <w:spacing w:before="0" w:after="0"/>
              <w:ind w:left="0" w:right="0" w:hanging="0"/>
              <w:rPr/>
            </w:pPr>
            <w:r>
              <w:rPr/>
              <w:t> </w:t>
            </w:r>
          </w:p>
        </w:tc>
        <w:tc>
          <w:tcPr>
            <w:tcW w:w="116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Amortized Cost</w:t>
            </w:r>
          </w:p>
          <w:p>
            <w:pPr>
              <w:pStyle w:val="TableContents"/>
              <w:spacing w:before="0" w:after="0"/>
              <w:jc w:val="left"/>
              <w:rPr/>
            </w:pPr>
            <w:r>
              <w:rPr/>
              <w:t> </w:t>
            </w:r>
          </w:p>
        </w:tc>
        <w:tc>
          <w:tcPr>
            <w:tcW w:w="122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Accrued Interest</w:t>
            </w:r>
          </w:p>
          <w:p>
            <w:pPr>
              <w:pStyle w:val="TableContents"/>
              <w:spacing w:before="0" w:after="0"/>
              <w:jc w:val="left"/>
              <w:rPr/>
            </w:pPr>
            <w:r>
              <w:rPr/>
              <w:t> </w:t>
            </w:r>
          </w:p>
        </w:tc>
        <w:tc>
          <w:tcPr>
            <w:tcW w:w="17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Gross Unrealized Gains</w:t>
            </w:r>
          </w:p>
          <w:p>
            <w:pPr>
              <w:pStyle w:val="TableContents"/>
              <w:spacing w:before="0" w:after="0"/>
              <w:jc w:val="left"/>
              <w:rPr/>
            </w:pPr>
            <w:r>
              <w:rPr/>
              <w:t> </w:t>
            </w:r>
          </w:p>
        </w:tc>
        <w:tc>
          <w:tcPr>
            <w:tcW w:w="170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Gross Unrealized losses</w:t>
            </w:r>
          </w:p>
          <w:p>
            <w:pPr>
              <w:pStyle w:val="TableContents"/>
              <w:spacing w:before="0" w:after="0"/>
              <w:jc w:val="left"/>
              <w:rPr/>
            </w:pPr>
            <w:r>
              <w:rPr/>
              <w:t> </w:t>
            </w:r>
          </w:p>
        </w:tc>
        <w:tc>
          <w:tcPr>
            <w:tcW w:w="158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Estimated Fair Value</w:t>
            </w:r>
          </w:p>
          <w:p>
            <w:pPr>
              <w:pStyle w:val="TableContents"/>
              <w:spacing w:before="0" w:after="0"/>
              <w:jc w:val="left"/>
              <w:rPr/>
            </w:pPr>
            <w:r>
              <w:rPr/>
              <w:t> </w:t>
            </w:r>
          </w:p>
        </w:tc>
      </w:tr>
      <w:tr>
        <w:trPr/>
        <w:tc>
          <w:tcPr>
            <w:tcW w:w="206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Corporate debt securities</w:t>
            </w:r>
          </w:p>
        </w:tc>
        <w:tc>
          <w:tcPr>
            <w:tcW w:w="116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$459,210</w:t>
            </w:r>
            <w:r>
              <w:rPr>
                <w:color w:val="000000"/>
              </w:rPr>
              <w:t> </w:t>
            </w:r>
          </w:p>
        </w:tc>
        <w:tc>
          <w:tcPr>
            <w:tcW w:w="12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$3,551</w:t>
            </w:r>
            <w:r>
              <w:rPr>
                <w:color w:val="000000"/>
              </w:rPr>
              <w:t> </w:t>
            </w:r>
          </w:p>
        </w:tc>
        <w:tc>
          <w:tcPr>
            <w:tcW w:w="17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$128</w:t>
            </w:r>
            <w:r>
              <w:rPr>
                <w:color w:val="000000"/>
              </w:rPr>
              <w:t> </w:t>
            </w:r>
          </w:p>
        </w:tc>
        <w:tc>
          <w:tcPr>
            <w:tcW w:w="170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$(202</w:t>
            </w:r>
            <w:r>
              <w:rPr>
                <w:rFonts w:ascii="Times New Roman" w:hAnsi="Times New Roman"/>
                <w:color w:val="000000"/>
                <w:sz w:val="20"/>
              </w:rPr>
              <w:t>)</w:t>
            </w:r>
          </w:p>
        </w:tc>
        <w:tc>
          <w:tcPr>
            <w:tcW w:w="158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$462,687</w:t>
            </w:r>
            <w:r>
              <w:rPr>
                <w:color w:val="000000"/>
              </w:rPr>
              <w:t> </w:t>
            </w:r>
          </w:p>
        </w:tc>
      </w:tr>
      <w:tr>
        <w:trPr/>
        <w:tc>
          <w:tcPr>
            <w:tcW w:w="206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Total investments</w:t>
            </w:r>
          </w:p>
        </w:tc>
        <w:tc>
          <w:tcPr>
            <w:tcW w:w="116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$459,210</w:t>
            </w:r>
            <w:r>
              <w:rPr>
                <w:color w:val="000000"/>
              </w:rPr>
              <w:t> </w:t>
            </w:r>
          </w:p>
        </w:tc>
        <w:tc>
          <w:tcPr>
            <w:tcW w:w="12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$3,551</w:t>
            </w:r>
            <w:r>
              <w:rPr>
                <w:color w:val="000000"/>
              </w:rPr>
              <w:t> </w:t>
            </w:r>
          </w:p>
        </w:tc>
        <w:tc>
          <w:tcPr>
            <w:tcW w:w="17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$128</w:t>
            </w:r>
            <w:r>
              <w:rPr>
                <w:color w:val="000000"/>
              </w:rPr>
              <w:t> </w:t>
            </w:r>
          </w:p>
        </w:tc>
        <w:tc>
          <w:tcPr>
            <w:tcW w:w="170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$(202</w:t>
            </w:r>
            <w:r>
              <w:rPr>
                <w:rFonts w:ascii="Times New Roman" w:hAnsi="Times New Roman"/>
                <w:color w:val="000000"/>
                <w:sz w:val="20"/>
              </w:rPr>
              <w:t>)</w:t>
            </w:r>
          </w:p>
        </w:tc>
        <w:tc>
          <w:tcPr>
            <w:tcW w:w="158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$462,687</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summarizes the scheduled maturity for the Company’s investments on December 31, 2020 and 2019, respectively:</w:t>
      </w:r>
    </w:p>
    <w:p>
      <w:pPr>
        <w:pStyle w:val="TextBody"/>
        <w:spacing w:before="0" w:after="0"/>
        <w:rPr/>
      </w:pPr>
      <w:r>
        <w:rPr/>
        <w:t> </w:t>
      </w:r>
    </w:p>
    <w:tbl>
      <w:tblPr>
        <w:tblW w:w="6390" w:type="dxa"/>
        <w:jc w:val="left"/>
        <w:tblInd w:w="0" w:type="dxa"/>
        <w:tblCellMar>
          <w:top w:w="0" w:type="dxa"/>
          <w:left w:w="0" w:type="dxa"/>
          <w:bottom w:w="0" w:type="dxa"/>
          <w:right w:w="0" w:type="dxa"/>
        </w:tblCellMar>
      </w:tblPr>
      <w:tblGrid>
        <w:gridCol w:w="3545"/>
        <w:gridCol w:w="1415"/>
        <w:gridCol w:w="1430"/>
      </w:tblGrid>
      <w:tr>
        <w:trPr/>
        <w:tc>
          <w:tcPr>
            <w:tcW w:w="3545" w:type="dxa"/>
            <w:tcBorders/>
            <w:shd w:fill="auto" w:val="clear"/>
            <w:vAlign w:val="center"/>
          </w:tcPr>
          <w:p>
            <w:pPr>
              <w:pStyle w:val="TableContents"/>
              <w:spacing w:before="0" w:after="0"/>
              <w:ind w:left="0" w:right="0" w:hanging="0"/>
              <w:rPr/>
            </w:pPr>
            <w:r>
              <w:rPr/>
              <w:t> </w:t>
            </w:r>
          </w:p>
        </w:tc>
        <w:tc>
          <w:tcPr>
            <w:tcW w:w="14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2020</w:t>
            </w:r>
          </w:p>
          <w:p>
            <w:pPr>
              <w:pStyle w:val="TableContents"/>
              <w:spacing w:before="0" w:after="0"/>
              <w:jc w:val="left"/>
              <w:rPr/>
            </w:pPr>
            <w:r>
              <w:rPr/>
              <w:t> </w:t>
            </w:r>
          </w:p>
        </w:tc>
        <w:tc>
          <w:tcPr>
            <w:tcW w:w="14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2019</w:t>
            </w:r>
          </w:p>
          <w:p>
            <w:pPr>
              <w:pStyle w:val="TableContents"/>
              <w:spacing w:before="0" w:after="0"/>
              <w:jc w:val="left"/>
              <w:rPr/>
            </w:pPr>
            <w:r>
              <w:rPr/>
              <w:t> </w:t>
            </w:r>
          </w:p>
        </w:tc>
      </w:tr>
      <w:tr>
        <w:trPr/>
        <w:tc>
          <w:tcPr>
            <w:tcW w:w="354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Maturing in one year or less</w:t>
            </w:r>
          </w:p>
        </w:tc>
        <w:tc>
          <w:tcPr>
            <w:tcW w:w="14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$462,687</w:t>
            </w:r>
            <w:r>
              <w:rPr>
                <w:color w:val="000000"/>
              </w:rPr>
              <w:t> </w:t>
            </w:r>
          </w:p>
        </w:tc>
        <w:tc>
          <w:tcPr>
            <w:tcW w:w="14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$493,884</w:t>
            </w:r>
            <w:r>
              <w:rPr>
                <w:color w:val="000000"/>
              </w:rPr>
              <w:t> </w:t>
            </w:r>
          </w:p>
        </w:tc>
      </w:tr>
      <w:tr>
        <w:trPr/>
        <w:tc>
          <w:tcPr>
            <w:tcW w:w="354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Maturing after one year through three years</w:t>
            </w:r>
          </w:p>
        </w:tc>
        <w:tc>
          <w:tcPr>
            <w:tcW w:w="141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w:t>
            </w:r>
            <w:r>
              <w:rPr>
                <w:color w:val="000000"/>
              </w:rPr>
              <w:t> </w:t>
            </w:r>
          </w:p>
        </w:tc>
        <w:tc>
          <w:tcPr>
            <w:tcW w:w="143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w:t>
            </w:r>
            <w:r>
              <w:rPr>
                <w:color w:val="000000"/>
              </w:rPr>
              <w:t> </w:t>
            </w:r>
          </w:p>
        </w:tc>
      </w:tr>
      <w:tr>
        <w:trPr/>
        <w:tc>
          <w:tcPr>
            <w:tcW w:w="354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Total investments</w:t>
            </w:r>
          </w:p>
        </w:tc>
        <w:tc>
          <w:tcPr>
            <w:tcW w:w="14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$462,687</w:t>
            </w:r>
            <w:r>
              <w:rPr>
                <w:color w:val="000000"/>
              </w:rPr>
              <w:t> </w:t>
            </w:r>
          </w:p>
        </w:tc>
        <w:tc>
          <w:tcPr>
            <w:tcW w:w="14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$493,884</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tables summarize information regarding assets and liabilities measured at fair value on a recurring basis as of December 31, 2020 and December 31, 2019:</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550"/>
        <w:gridCol w:w="1740"/>
        <w:gridCol w:w="2837"/>
        <w:gridCol w:w="2067"/>
        <w:gridCol w:w="2011"/>
      </w:tblGrid>
      <w:tr>
        <w:trPr/>
        <w:tc>
          <w:tcPr>
            <w:tcW w:w="1550" w:type="dxa"/>
            <w:tcBorders/>
            <w:shd w:fill="auto" w:val="clear"/>
            <w:vAlign w:val="center"/>
          </w:tcPr>
          <w:p>
            <w:pPr>
              <w:pStyle w:val="TableContents"/>
              <w:spacing w:before="0" w:after="0"/>
              <w:ind w:left="0" w:right="0" w:hanging="0"/>
              <w:rPr/>
            </w:pPr>
            <w:r>
              <w:rPr/>
              <w:t> </w:t>
            </w:r>
          </w:p>
        </w:tc>
        <w:tc>
          <w:tcPr>
            <w:tcW w:w="174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915" w:type="dxa"/>
            <w:gridSpan w:val="3"/>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7"/>
                <w:bdr w:val="single" w:sz="12" w:space="1" w:color="000000"/>
              </w:rPr>
              <w:t>Fair Value Measurements at Reporting Date Using</w:t>
            </w:r>
          </w:p>
          <w:p>
            <w:pPr>
              <w:pStyle w:val="TableContents"/>
              <w:spacing w:before="0" w:after="0"/>
              <w:jc w:val="left"/>
              <w:rPr/>
            </w:pPr>
            <w:r>
              <w:rPr/>
              <w:t> </w:t>
            </w:r>
          </w:p>
        </w:tc>
      </w:tr>
      <w:tr>
        <w:trPr/>
        <w:tc>
          <w:tcPr>
            <w:tcW w:w="1550" w:type="dxa"/>
            <w:tcBorders/>
            <w:shd w:fill="auto" w:val="clear"/>
            <w:vAlign w:val="center"/>
          </w:tcPr>
          <w:p>
            <w:pPr>
              <w:pStyle w:val="TableContents"/>
              <w:spacing w:before="0" w:after="0"/>
              <w:ind w:left="0" w:right="0" w:hanging="0"/>
              <w:rPr/>
            </w:pPr>
            <w:r>
              <w:rPr/>
              <w:t> </w:t>
            </w:r>
          </w:p>
        </w:tc>
        <w:tc>
          <w:tcPr>
            <w:tcW w:w="174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7"/>
                <w:bdr w:val="single" w:sz="12" w:space="1" w:color="000000"/>
              </w:rPr>
              <w:t>Balance as of December 31, 2020</w:t>
            </w:r>
          </w:p>
          <w:p>
            <w:pPr>
              <w:pStyle w:val="TableContents"/>
              <w:spacing w:before="0" w:after="0"/>
              <w:jc w:val="left"/>
              <w:rPr/>
            </w:pPr>
            <w:r>
              <w:rPr/>
              <w:t> </w:t>
            </w:r>
          </w:p>
        </w:tc>
        <w:tc>
          <w:tcPr>
            <w:tcW w:w="283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7"/>
                <w:bdr w:val="single" w:sz="12" w:space="1" w:color="000000"/>
              </w:rPr>
              <w:t>Quoted prices in Active Markets for Identical Securities (Level 1)</w:t>
            </w:r>
          </w:p>
          <w:p>
            <w:pPr>
              <w:pStyle w:val="TableContents"/>
              <w:spacing w:before="0" w:after="0"/>
              <w:jc w:val="left"/>
              <w:rPr/>
            </w:pPr>
            <w:r>
              <w:rPr/>
              <w:t> </w:t>
            </w:r>
          </w:p>
        </w:tc>
        <w:tc>
          <w:tcPr>
            <w:tcW w:w="206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Significant Other Observable Inputs (Level 2)</w:t>
            </w:r>
          </w:p>
          <w:p>
            <w:pPr>
              <w:pStyle w:val="TableContents"/>
              <w:spacing w:before="0" w:after="0"/>
              <w:jc w:val="left"/>
              <w:rPr/>
            </w:pPr>
            <w:r>
              <w:rPr/>
              <w:t> </w:t>
            </w:r>
          </w:p>
        </w:tc>
        <w:tc>
          <w:tcPr>
            <w:tcW w:w="2011"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7"/>
                <w:bdr w:val="single" w:sz="12" w:space="1" w:color="000000"/>
              </w:rPr>
              <w:t>Significant Unobservable Inputs (Level 3)</w:t>
            </w:r>
          </w:p>
          <w:p>
            <w:pPr>
              <w:pStyle w:val="TableContents"/>
              <w:spacing w:before="0" w:after="0"/>
              <w:jc w:val="left"/>
              <w:rPr/>
            </w:pPr>
            <w:r>
              <w:rPr/>
              <w:t> </w:t>
            </w:r>
          </w:p>
        </w:tc>
      </w:tr>
      <w:tr>
        <w:trPr/>
        <w:tc>
          <w:tcPr>
            <w:tcW w:w="155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Current Assets</w:t>
            </w:r>
          </w:p>
        </w:tc>
        <w:tc>
          <w:tcPr>
            <w:tcW w:w="174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2837"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2067"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2011"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1550" w:type="dxa"/>
            <w:tcBorders/>
            <w:shd w:fill="CCEEFF" w:val="clear"/>
            <w:vAlign w:val="center"/>
          </w:tcPr>
          <w:p>
            <w:pPr>
              <w:pStyle w:val="TableContents"/>
              <w:spacing w:before="0" w:after="0"/>
              <w:ind w:left="54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174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$6,250,241</w:t>
            </w:r>
            <w:r>
              <w:rPr>
                <w:color w:val="000000"/>
              </w:rPr>
              <w:t> </w:t>
            </w:r>
          </w:p>
        </w:tc>
        <w:tc>
          <w:tcPr>
            <w:tcW w:w="283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$6,250,241</w:t>
            </w:r>
            <w:r>
              <w:rPr>
                <w:color w:val="000000"/>
              </w:rPr>
              <w:t> </w:t>
            </w:r>
          </w:p>
        </w:tc>
        <w:tc>
          <w:tcPr>
            <w:tcW w:w="206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201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r>
        <w:trPr/>
        <w:tc>
          <w:tcPr>
            <w:tcW w:w="1550" w:type="dxa"/>
            <w:tcBorders/>
            <w:shd w:fill="FFFFFF" w:val="clear"/>
            <w:vAlign w:val="center"/>
          </w:tcPr>
          <w:p>
            <w:pPr>
              <w:pStyle w:val="TableContents"/>
              <w:spacing w:before="0" w:after="0"/>
              <w:ind w:left="540" w:right="0" w:hanging="0"/>
              <w:jc w:val="left"/>
              <w:rPr>
                <w:rFonts w:ascii="Times New Roman" w:hAnsi="Times New Roman"/>
                <w:color w:val="000000"/>
                <w:sz w:val="20"/>
              </w:rPr>
            </w:pPr>
            <w:r>
              <w:rPr>
                <w:rFonts w:ascii="Times New Roman" w:hAnsi="Times New Roman"/>
                <w:color w:val="000000"/>
                <w:sz w:val="20"/>
              </w:rPr>
              <w:t>Marketable securities</w:t>
            </w:r>
          </w:p>
        </w:tc>
        <w:tc>
          <w:tcPr>
            <w:tcW w:w="174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$462,687</w:t>
            </w:r>
            <w:r>
              <w:rPr>
                <w:color w:val="000000"/>
              </w:rPr>
              <w:t> </w:t>
            </w:r>
          </w:p>
        </w:tc>
        <w:tc>
          <w:tcPr>
            <w:tcW w:w="283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206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$462,687</w:t>
            </w:r>
            <w:r>
              <w:rPr>
                <w:color w:val="000000"/>
              </w:rPr>
              <w:t> </w:t>
            </w:r>
          </w:p>
        </w:tc>
        <w:tc>
          <w:tcPr>
            <w:tcW w:w="2011"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550"/>
        <w:gridCol w:w="1740"/>
        <w:gridCol w:w="2837"/>
        <w:gridCol w:w="2067"/>
        <w:gridCol w:w="2011"/>
      </w:tblGrid>
      <w:tr>
        <w:trPr/>
        <w:tc>
          <w:tcPr>
            <w:tcW w:w="1550" w:type="dxa"/>
            <w:tcBorders/>
            <w:shd w:fill="auto" w:val="clear"/>
            <w:vAlign w:val="center"/>
          </w:tcPr>
          <w:p>
            <w:pPr>
              <w:pStyle w:val="TableContents"/>
              <w:spacing w:before="0" w:after="0"/>
              <w:ind w:left="0" w:right="0" w:hanging="0"/>
              <w:rPr/>
            </w:pPr>
            <w:r>
              <w:rPr/>
              <w:t> </w:t>
            </w:r>
          </w:p>
        </w:tc>
        <w:tc>
          <w:tcPr>
            <w:tcW w:w="174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915" w:type="dxa"/>
            <w:gridSpan w:val="3"/>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7"/>
                <w:bdr w:val="single" w:sz="12" w:space="1" w:color="000000"/>
              </w:rPr>
              <w:t>Fair Value Measurements at Reporting Date Using</w:t>
            </w:r>
          </w:p>
          <w:p>
            <w:pPr>
              <w:pStyle w:val="TableContents"/>
              <w:spacing w:before="0" w:after="0"/>
              <w:jc w:val="left"/>
              <w:rPr/>
            </w:pPr>
            <w:r>
              <w:rPr/>
              <w:t> </w:t>
            </w:r>
          </w:p>
        </w:tc>
      </w:tr>
      <w:tr>
        <w:trPr/>
        <w:tc>
          <w:tcPr>
            <w:tcW w:w="1550" w:type="dxa"/>
            <w:tcBorders/>
            <w:shd w:fill="auto" w:val="clear"/>
            <w:vAlign w:val="center"/>
          </w:tcPr>
          <w:p>
            <w:pPr>
              <w:pStyle w:val="TableContents"/>
              <w:spacing w:before="0" w:after="0"/>
              <w:ind w:left="0" w:right="0" w:hanging="0"/>
              <w:rPr/>
            </w:pPr>
            <w:r>
              <w:rPr/>
              <w:t> </w:t>
            </w:r>
          </w:p>
        </w:tc>
        <w:tc>
          <w:tcPr>
            <w:tcW w:w="174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7"/>
                <w:bdr w:val="single" w:sz="12" w:space="1" w:color="000000"/>
              </w:rPr>
              <w:t>Balance as of December 31, 2019</w:t>
            </w:r>
          </w:p>
          <w:p>
            <w:pPr>
              <w:pStyle w:val="TableContents"/>
              <w:spacing w:before="0" w:after="0"/>
              <w:jc w:val="left"/>
              <w:rPr/>
            </w:pPr>
            <w:r>
              <w:rPr/>
              <w:t> </w:t>
            </w:r>
          </w:p>
        </w:tc>
        <w:tc>
          <w:tcPr>
            <w:tcW w:w="283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7"/>
                <w:bdr w:val="single" w:sz="12" w:space="1" w:color="000000"/>
              </w:rPr>
              <w:t>Quoted prices in Active Markets for Identical Securities (Level 1)</w:t>
            </w:r>
          </w:p>
          <w:p>
            <w:pPr>
              <w:pStyle w:val="TableContents"/>
              <w:spacing w:before="0" w:after="0"/>
              <w:jc w:val="left"/>
              <w:rPr/>
            </w:pPr>
            <w:r>
              <w:rPr/>
              <w:t> </w:t>
            </w:r>
          </w:p>
        </w:tc>
        <w:tc>
          <w:tcPr>
            <w:tcW w:w="206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Significant Other Observable Inputs (Level 2)</w:t>
            </w:r>
          </w:p>
          <w:p>
            <w:pPr>
              <w:pStyle w:val="TableContents"/>
              <w:spacing w:before="0" w:after="0"/>
              <w:jc w:val="left"/>
              <w:rPr/>
            </w:pPr>
            <w:r>
              <w:rPr/>
              <w:t> </w:t>
            </w:r>
          </w:p>
        </w:tc>
        <w:tc>
          <w:tcPr>
            <w:tcW w:w="2011"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7"/>
                <w:bdr w:val="single" w:sz="12" w:space="1" w:color="000000"/>
              </w:rPr>
              <w:t>Significant Unobservable Inputs (Level 3)</w:t>
            </w:r>
          </w:p>
          <w:p>
            <w:pPr>
              <w:pStyle w:val="TableContents"/>
              <w:spacing w:before="0" w:after="0"/>
              <w:jc w:val="left"/>
              <w:rPr/>
            </w:pPr>
            <w:r>
              <w:rPr/>
              <w:t> </w:t>
            </w:r>
          </w:p>
        </w:tc>
      </w:tr>
      <w:tr>
        <w:trPr/>
        <w:tc>
          <w:tcPr>
            <w:tcW w:w="155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Current Assets</w:t>
            </w:r>
          </w:p>
        </w:tc>
        <w:tc>
          <w:tcPr>
            <w:tcW w:w="174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2837"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2067"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2011"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1550" w:type="dxa"/>
            <w:tcBorders/>
            <w:shd w:fill="CCEEFF" w:val="clear"/>
            <w:vAlign w:val="center"/>
          </w:tcPr>
          <w:p>
            <w:pPr>
              <w:pStyle w:val="TableContents"/>
              <w:spacing w:before="0" w:after="0"/>
              <w:ind w:left="54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174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$4,905,993</w:t>
            </w:r>
            <w:r>
              <w:rPr>
                <w:color w:val="000000"/>
              </w:rPr>
              <w:t> </w:t>
            </w:r>
          </w:p>
        </w:tc>
        <w:tc>
          <w:tcPr>
            <w:tcW w:w="283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$4,905,993</w:t>
            </w:r>
            <w:r>
              <w:rPr>
                <w:color w:val="000000"/>
              </w:rPr>
              <w:t> </w:t>
            </w:r>
          </w:p>
        </w:tc>
        <w:tc>
          <w:tcPr>
            <w:tcW w:w="206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201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r>
        <w:trPr/>
        <w:tc>
          <w:tcPr>
            <w:tcW w:w="1550" w:type="dxa"/>
            <w:tcBorders/>
            <w:shd w:fill="FFFFFF" w:val="clear"/>
            <w:vAlign w:val="center"/>
          </w:tcPr>
          <w:p>
            <w:pPr>
              <w:pStyle w:val="TableContents"/>
              <w:spacing w:before="0" w:after="0"/>
              <w:ind w:left="540" w:right="0" w:hanging="0"/>
              <w:jc w:val="left"/>
              <w:rPr>
                <w:rFonts w:ascii="Times New Roman" w:hAnsi="Times New Roman"/>
                <w:color w:val="000000"/>
                <w:sz w:val="20"/>
              </w:rPr>
            </w:pPr>
            <w:r>
              <w:rPr>
                <w:rFonts w:ascii="Times New Roman" w:hAnsi="Times New Roman"/>
                <w:color w:val="000000"/>
                <w:sz w:val="20"/>
              </w:rPr>
              <w:t>Marketable securities</w:t>
            </w:r>
          </w:p>
        </w:tc>
        <w:tc>
          <w:tcPr>
            <w:tcW w:w="174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$493,884</w:t>
            </w:r>
            <w:r>
              <w:rPr>
                <w:color w:val="000000"/>
              </w:rPr>
              <w:t> </w:t>
            </w:r>
          </w:p>
        </w:tc>
        <w:tc>
          <w:tcPr>
            <w:tcW w:w="283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206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$493,884</w:t>
            </w:r>
            <w:r>
              <w:rPr>
                <w:color w:val="000000"/>
              </w:rPr>
              <w:t> </w:t>
            </w:r>
          </w:p>
        </w:tc>
        <w:tc>
          <w:tcPr>
            <w:tcW w:w="2011"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There were no significant transfers between levels during the year ended December 31, 2020.</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C—BALANCE SHEET COMPONENTS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Property and equipment, net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Property and equipment consist of the following:</w:t>
      </w:r>
    </w:p>
    <w:p>
      <w:pPr>
        <w:pStyle w:val="TextBody"/>
        <w:spacing w:before="0" w:after="0"/>
        <w:rPr/>
      </w:pPr>
      <w:r>
        <w:rPr/>
        <w:t> </w:t>
      </w:r>
    </w:p>
    <w:tbl>
      <w:tblPr>
        <w:tblW w:w="5670" w:type="dxa"/>
        <w:jc w:val="left"/>
        <w:tblInd w:w="0" w:type="dxa"/>
        <w:tblCellMar>
          <w:top w:w="0" w:type="dxa"/>
          <w:left w:w="0" w:type="dxa"/>
          <w:bottom w:w="0" w:type="dxa"/>
          <w:right w:w="0" w:type="dxa"/>
        </w:tblCellMar>
      </w:tblPr>
      <w:tblGrid>
        <w:gridCol w:w="2825"/>
        <w:gridCol w:w="1415"/>
        <w:gridCol w:w="1430"/>
      </w:tblGrid>
      <w:tr>
        <w:trPr/>
        <w:tc>
          <w:tcPr>
            <w:tcW w:w="2825" w:type="dxa"/>
            <w:tcBorders/>
            <w:shd w:fill="auto" w:val="clear"/>
            <w:vAlign w:val="center"/>
          </w:tcPr>
          <w:p>
            <w:pPr>
              <w:pStyle w:val="TableContents"/>
              <w:spacing w:before="0" w:after="0"/>
              <w:ind w:left="0" w:right="0" w:hanging="0"/>
              <w:rPr/>
            </w:pPr>
            <w:r>
              <w:rPr/>
              <w:t> </w:t>
            </w:r>
          </w:p>
        </w:tc>
        <w:tc>
          <w:tcPr>
            <w:tcW w:w="14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2020</w:t>
            </w:r>
          </w:p>
          <w:p>
            <w:pPr>
              <w:pStyle w:val="TableContents"/>
              <w:spacing w:before="0" w:after="0"/>
              <w:jc w:val="left"/>
              <w:rPr/>
            </w:pPr>
            <w:r>
              <w:rPr/>
              <w:t> </w:t>
            </w:r>
          </w:p>
        </w:tc>
        <w:tc>
          <w:tcPr>
            <w:tcW w:w="14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2019</w:t>
            </w:r>
          </w:p>
          <w:p>
            <w:pPr>
              <w:pStyle w:val="TableContents"/>
              <w:spacing w:before="0" w:after="0"/>
              <w:jc w:val="left"/>
              <w:rPr/>
            </w:pPr>
            <w:r>
              <w:rPr/>
              <w:t> </w:t>
            </w:r>
          </w:p>
        </w:tc>
      </w:tr>
      <w:tr>
        <w:trPr/>
        <w:tc>
          <w:tcPr>
            <w:tcW w:w="282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Office furniture and fixtures</w:t>
            </w:r>
          </w:p>
        </w:tc>
        <w:tc>
          <w:tcPr>
            <w:tcW w:w="14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$43,033</w:t>
            </w:r>
            <w:r>
              <w:rPr>
                <w:color w:val="000000"/>
              </w:rPr>
              <w:t> </w:t>
            </w:r>
          </w:p>
        </w:tc>
        <w:tc>
          <w:tcPr>
            <w:tcW w:w="14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$130,192</w:t>
            </w:r>
            <w:r>
              <w:rPr>
                <w:color w:val="000000"/>
              </w:rPr>
              <w:t> </w:t>
            </w:r>
          </w:p>
        </w:tc>
      </w:tr>
      <w:tr>
        <w:trPr/>
        <w:tc>
          <w:tcPr>
            <w:tcW w:w="282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Computer equipment and software</w:t>
            </w:r>
          </w:p>
        </w:tc>
        <w:tc>
          <w:tcPr>
            <w:tcW w:w="141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23,307</w:t>
            </w:r>
            <w:r>
              <w:rPr>
                <w:color w:val="000000"/>
              </w:rPr>
              <w:t> </w:t>
            </w:r>
          </w:p>
        </w:tc>
        <w:tc>
          <w:tcPr>
            <w:tcW w:w="143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80,669</w:t>
            </w:r>
            <w:r>
              <w:rPr>
                <w:color w:val="000000"/>
              </w:rPr>
              <w:t> </w:t>
            </w:r>
          </w:p>
        </w:tc>
      </w:tr>
      <w:tr>
        <w:trPr/>
        <w:tc>
          <w:tcPr>
            <w:tcW w:w="2825" w:type="dxa"/>
            <w:tcBorders/>
            <w:shd w:fill="CCEEFF" w:val="clear"/>
            <w:vAlign w:val="center"/>
          </w:tcPr>
          <w:p>
            <w:pPr>
              <w:pStyle w:val="TableContents"/>
              <w:spacing w:before="0" w:after="0"/>
              <w:ind w:left="0" w:right="0" w:hanging="0"/>
              <w:jc w:val="left"/>
              <w:rPr>
                <w:color w:val="000000"/>
              </w:rPr>
            </w:pPr>
            <w:r>
              <w:rPr>
                <w:color w:val="000000"/>
              </w:rPr>
              <w:t>  </w:t>
            </w:r>
          </w:p>
        </w:tc>
        <w:tc>
          <w:tcPr>
            <w:tcW w:w="14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66,340</w:t>
            </w:r>
            <w:r>
              <w:rPr>
                <w:color w:val="000000"/>
              </w:rPr>
              <w:t> </w:t>
            </w:r>
          </w:p>
        </w:tc>
        <w:tc>
          <w:tcPr>
            <w:tcW w:w="14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210,861</w:t>
            </w:r>
            <w:r>
              <w:rPr>
                <w:color w:val="000000"/>
              </w:rPr>
              <w:t> </w:t>
            </w:r>
          </w:p>
        </w:tc>
      </w:tr>
      <w:tr>
        <w:trPr/>
        <w:tc>
          <w:tcPr>
            <w:tcW w:w="282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Less: Accumulated depreciation</w:t>
            </w:r>
          </w:p>
        </w:tc>
        <w:tc>
          <w:tcPr>
            <w:tcW w:w="141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(60,368</w:t>
            </w:r>
            <w:r>
              <w:rPr>
                <w:rFonts w:ascii="Times New Roman" w:hAnsi="Times New Roman"/>
                <w:color w:val="000000"/>
                <w:sz w:val="20"/>
              </w:rPr>
              <w:t>)</w:t>
            </w:r>
          </w:p>
        </w:tc>
        <w:tc>
          <w:tcPr>
            <w:tcW w:w="143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(204,302</w:t>
            </w:r>
            <w:r>
              <w:rPr>
                <w:rFonts w:ascii="Times New Roman" w:hAnsi="Times New Roman"/>
                <w:color w:val="000000"/>
                <w:sz w:val="20"/>
              </w:rPr>
              <w:t>)</w:t>
            </w:r>
          </w:p>
        </w:tc>
      </w:tr>
      <w:tr>
        <w:trPr/>
        <w:tc>
          <w:tcPr>
            <w:tcW w:w="2825" w:type="dxa"/>
            <w:tcBorders/>
            <w:shd w:fill="CCEEFF" w:val="clear"/>
            <w:vAlign w:val="center"/>
          </w:tcPr>
          <w:p>
            <w:pPr>
              <w:pStyle w:val="TableContents"/>
              <w:spacing w:before="0" w:after="0"/>
              <w:ind w:left="0" w:right="0" w:hanging="0"/>
              <w:jc w:val="left"/>
              <w:rPr>
                <w:color w:val="000000"/>
              </w:rPr>
            </w:pPr>
            <w:r>
              <w:rPr>
                <w:color w:val="000000"/>
              </w:rPr>
              <w:t>  </w:t>
            </w:r>
          </w:p>
        </w:tc>
        <w:tc>
          <w:tcPr>
            <w:tcW w:w="14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$5,972</w:t>
            </w:r>
            <w:r>
              <w:rPr>
                <w:color w:val="000000"/>
              </w:rPr>
              <w:t> </w:t>
            </w:r>
          </w:p>
        </w:tc>
        <w:tc>
          <w:tcPr>
            <w:tcW w:w="14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$6,559</w:t>
            </w:r>
            <w:r>
              <w:rPr>
                <w:color w:val="000000"/>
              </w:rPr>
              <w:t> </w:t>
            </w:r>
          </w:p>
        </w:tc>
      </w:tr>
    </w:tbl>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6" w:name="pgbrk46"/>
      <w:bookmarkStart w:id="337" w:name="pgbrk46"/>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38" w:name="ftr45"/>
      <w:bookmarkEnd w:id="3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9" w:name="pn43"/>
      <w:bookmarkEnd w:id="339"/>
      <w:r>
        <w:rPr>
          <w:rFonts w:ascii="Times New Roman" w:hAnsi="Times New Roman"/>
          <w:sz w:val="20"/>
        </w:rPr>
        <w:t>46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40" w:name="pb45"/>
      <w:bookmarkStart w:id="341" w:name="pb45"/>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42" w:name="hdr46"/>
      <w:bookmarkEnd w:id="3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Depreciation and amortization expense were $4,077 and $5,017 for the years ended December 31, 2020 and 2019, respectively.</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Accrued liabilities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Accrued liabilities consist of the following:</w:t>
      </w:r>
    </w:p>
    <w:p>
      <w:pPr>
        <w:pStyle w:val="TextBody"/>
        <w:spacing w:before="0" w:after="0"/>
        <w:rPr/>
      </w:pPr>
      <w:r>
        <w:rPr/>
        <w:t> </w:t>
      </w:r>
    </w:p>
    <w:tbl>
      <w:tblPr>
        <w:tblW w:w="4305" w:type="dxa"/>
        <w:jc w:val="left"/>
        <w:tblInd w:w="0" w:type="dxa"/>
        <w:tblCellMar>
          <w:top w:w="0" w:type="dxa"/>
          <w:left w:w="0" w:type="dxa"/>
          <w:bottom w:w="0" w:type="dxa"/>
          <w:right w:w="0" w:type="dxa"/>
        </w:tblCellMar>
      </w:tblPr>
      <w:tblGrid>
        <w:gridCol w:w="1460"/>
        <w:gridCol w:w="1415"/>
        <w:gridCol w:w="1430"/>
      </w:tblGrid>
      <w:tr>
        <w:trPr/>
        <w:tc>
          <w:tcPr>
            <w:tcW w:w="1460" w:type="dxa"/>
            <w:tcBorders/>
            <w:shd w:fill="auto" w:val="clear"/>
            <w:vAlign w:val="center"/>
          </w:tcPr>
          <w:p>
            <w:pPr>
              <w:pStyle w:val="TableContents"/>
              <w:spacing w:before="0" w:after="0"/>
              <w:ind w:left="0" w:right="0" w:hanging="0"/>
              <w:rPr/>
            </w:pPr>
            <w:r>
              <w:rPr/>
              <w:t> </w:t>
            </w:r>
          </w:p>
        </w:tc>
        <w:tc>
          <w:tcPr>
            <w:tcW w:w="14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2020</w:t>
            </w:r>
          </w:p>
          <w:p>
            <w:pPr>
              <w:pStyle w:val="TableContents"/>
              <w:spacing w:before="0" w:after="0"/>
              <w:jc w:val="left"/>
              <w:rPr/>
            </w:pPr>
            <w:r>
              <w:rPr/>
              <w:t> </w:t>
            </w:r>
          </w:p>
        </w:tc>
        <w:tc>
          <w:tcPr>
            <w:tcW w:w="14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2019</w:t>
            </w:r>
          </w:p>
          <w:p>
            <w:pPr>
              <w:pStyle w:val="TableContents"/>
              <w:spacing w:before="0" w:after="0"/>
              <w:jc w:val="left"/>
              <w:rPr/>
            </w:pPr>
            <w:r>
              <w:rPr/>
              <w:t> </w:t>
            </w:r>
          </w:p>
        </w:tc>
      </w:tr>
      <w:tr>
        <w:trPr/>
        <w:tc>
          <w:tcPr>
            <w:tcW w:w="146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Operating costs</w:t>
            </w:r>
          </w:p>
        </w:tc>
        <w:tc>
          <w:tcPr>
            <w:tcW w:w="14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$319,608</w:t>
            </w:r>
            <w:r>
              <w:rPr>
                <w:color w:val="000000"/>
              </w:rPr>
              <w:t> </w:t>
            </w:r>
          </w:p>
        </w:tc>
        <w:tc>
          <w:tcPr>
            <w:tcW w:w="14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$426,115</w:t>
            </w:r>
            <w:r>
              <w:rPr>
                <w:color w:val="000000"/>
              </w:rPr>
              <w:t> </w:t>
            </w:r>
          </w:p>
        </w:tc>
      </w:tr>
      <w:tr>
        <w:trPr/>
        <w:tc>
          <w:tcPr>
            <w:tcW w:w="146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Lease liability</w:t>
            </w:r>
          </w:p>
        </w:tc>
        <w:tc>
          <w:tcPr>
            <w:tcW w:w="141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60,379</w:t>
            </w:r>
            <w:r>
              <w:rPr>
                <w:color w:val="000000"/>
              </w:rPr>
              <w:t> </w:t>
            </w:r>
          </w:p>
        </w:tc>
        <w:tc>
          <w:tcPr>
            <w:tcW w:w="14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111,353</w:t>
            </w:r>
            <w:r>
              <w:rPr>
                <w:color w:val="000000"/>
              </w:rPr>
              <w:t> </w:t>
            </w:r>
          </w:p>
        </w:tc>
      </w:tr>
      <w:tr>
        <w:trPr/>
        <w:tc>
          <w:tcPr>
            <w:tcW w:w="146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Employee related</w:t>
            </w:r>
          </w:p>
        </w:tc>
        <w:tc>
          <w:tcPr>
            <w:tcW w:w="141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860,629</w:t>
            </w:r>
            <w:r>
              <w:rPr>
                <w:color w:val="000000"/>
              </w:rPr>
              <w:t> </w:t>
            </w:r>
          </w:p>
        </w:tc>
        <w:tc>
          <w:tcPr>
            <w:tcW w:w="14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333,873</w:t>
            </w:r>
            <w:r>
              <w:rPr>
                <w:color w:val="000000"/>
              </w:rPr>
              <w:t> </w:t>
            </w:r>
          </w:p>
        </w:tc>
      </w:tr>
      <w:tr>
        <w:trPr/>
        <w:tc>
          <w:tcPr>
            <w:tcW w:w="1460" w:type="dxa"/>
            <w:tcBorders/>
            <w:shd w:fill="FFFFFF" w:val="clear"/>
            <w:vAlign w:val="center"/>
          </w:tcPr>
          <w:p>
            <w:pPr>
              <w:pStyle w:val="TableContents"/>
              <w:spacing w:before="0" w:after="0"/>
              <w:ind w:left="0" w:right="0" w:hanging="0"/>
              <w:jc w:val="left"/>
              <w:rPr>
                <w:color w:val="000000"/>
              </w:rPr>
            </w:pPr>
            <w:r>
              <w:rPr>
                <w:color w:val="000000"/>
              </w:rPr>
              <w:t>  </w:t>
            </w:r>
          </w:p>
        </w:tc>
        <w:tc>
          <w:tcPr>
            <w:tcW w:w="141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$1,240,616</w:t>
            </w:r>
            <w:r>
              <w:rPr>
                <w:color w:val="000000"/>
              </w:rPr>
              <w:t> </w:t>
            </w:r>
          </w:p>
        </w:tc>
        <w:tc>
          <w:tcPr>
            <w:tcW w:w="14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$871,341</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D—NOTE PAYABLE</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Payroll Protection Program Loan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April 30, 2020, the Company received a loan pursuant to the Paycheck Protection Program (the “PPP Loan”) under the Coronavirus Aid, Relief, and Economic Security Act (the “CARES Act”), as administered by the U.S. Small Business Administration. The PPP Loan in the principal amount of $244,657 was disbursed by First Horizon Bank (the “Lender”) pursuant to a promissory note issued by the Company (the “Note”).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PPP Loan has a two-year term and bears interest at a rate of 1.00% per annum. Monthly principal and interest payments are deferred for sixteen months. Beginning September 30, 2021, the Company is required to make monthly payments of principal and interest of approximately $31,100 to the Lender. The Company did not provide any collateral or guarantees for the PPP Loan, nor did the Company pay any facility charge to obtain the PPP Loan. The Note provides for customary events of default, including, among others, those relating to failure to make payment, bankruptcy, breaches of representations, and material adverse effects. The Company may prepay the principal of the PPP Loan at any time, subject to certain notice requirements.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Under the terms of the CARES Act, Paycheck Protection Program loan recipients can apply for and be granted forgiveness for all or a portion of a loan granted under the program. Such forgiveness will be determined, subject to limitations, based on the use of loan proceeds for payment of payroll costs and any payments of mortgage interest, rent, and utilities. The Company is using the proceeds from the PPP Loan to fund payroll costs in accordance with the relevant terms and conditions of the CARES Act. However, no assurance is provided that forgiveness for any portion of the PPP Loan will be obtained.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the current and long-term portions of the PPP Loan were $120,491 and $124,166, respectively.</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E—STOCKHOLDERS’ EQUITY</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Preferred Stock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Under the Company’s Certificate of Incorporation, the Board of Directors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Series A Stock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On December 11, 2018, the Company closed its underwritten offering of 5,181,346 units for net proceeds of approximately $9 million. Each unit consists of (a) one share of the Company’s Series A convertible preferred stock, par value $0.0001 per share (the “Series A Stock”), (b) a two-year warrant to purchase one share of common stock at an exercise price of $1.93 (the “Series 1 Warrants”), and (c) a five-year warrant to purchase one share of common stock at an exercise price of $1.93 (the “Series 2 Warrants”).</w:t>
      </w:r>
      <w:r>
        <w:rPr>
          <w:rFonts w:ascii="Times New Roman" w:hAnsi="Times New Roman"/>
          <w:sz w:val="20"/>
        </w:rPr>
        <w:t xml:space="preserve"> In accordance with ASC 480, the estimated fair value of $1,800,016 for the beneficial conversion feature was recognized as a deemed dividend on the Series A Stock during the year ended December 31, 2019</w:t>
      </w:r>
      <w:r>
        <w:rPr>
          <w:rFonts w:ascii="Times New Roman" w:hAnsi="Times New Roman"/>
          <w:color w:val="000000"/>
          <w:sz w:val="20"/>
        </w:rPr>
        <w:t>.</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 w:name="pgbrk47"/>
      <w:bookmarkStart w:id="344" w:name="pgbrk47"/>
      <w:bookmarkEnd w:id="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45" w:name="ftr46"/>
      <w:bookmarkEnd w:id="3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6" w:name="pn44"/>
      <w:bookmarkEnd w:id="346"/>
      <w:r>
        <w:rPr>
          <w:rFonts w:ascii="Times New Roman" w:hAnsi="Times New Roman"/>
          <w:sz w:val="20"/>
        </w:rPr>
        <w:t>47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47" w:name="pb46"/>
      <w:bookmarkStart w:id="348" w:name="pb46"/>
      <w:bookmarkEnd w:id="3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49" w:name="hdr47"/>
      <w:bookmarkEnd w:id="3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table below sets forth a summary of the designation, powers, preferences and rights of the Series A Stock.</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55"/>
        <w:gridCol w:w="9150"/>
      </w:tblGrid>
      <w:tr>
        <w:trPr/>
        <w:tc>
          <w:tcPr>
            <w:tcW w:w="1055"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20"/>
              </w:rPr>
              <w:t>Conversion</w:t>
            </w:r>
          </w:p>
          <w:p>
            <w:pPr>
              <w:pStyle w:val="TableContents"/>
              <w:spacing w:before="0" w:after="0"/>
              <w:ind w:left="0" w:right="0" w:hanging="0"/>
              <w:jc w:val="both"/>
              <w:rPr/>
            </w:pPr>
            <w:r>
              <w:rPr/>
              <w:t> </w:t>
            </w:r>
          </w:p>
        </w:tc>
        <w:tc>
          <w:tcPr>
            <w:tcW w:w="915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Subject to the ownership limitations described below, the Series A Stock is convertible at any time at the option of the holder into shares of the Company’s common stock at a conversion ratio determined by dividing the stated value of the Series A Stock by a conversion price of $1.93 per share. The conversion price is subject to adjustment in the case of stock splits, stock dividends, combinations of shares and similar recapitalization transactions.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The Company will not effect any conversion of the </w:t>
            </w:r>
            <w:r>
              <w:rPr>
                <w:rFonts w:ascii="Times New Roman" w:hAnsi="Times New Roman"/>
                <w:color w:val="000000"/>
                <w:sz w:val="20"/>
              </w:rPr>
              <w:t>Series A Stock</w:t>
            </w:r>
            <w:r>
              <w:rPr>
                <w:rFonts w:ascii="Times New Roman" w:hAnsi="Times New Roman"/>
                <w:sz w:val="20"/>
              </w:rPr>
              <w:t xml:space="preserve">, nor shall a holder convert its shares of </w:t>
            </w:r>
            <w:r>
              <w:rPr>
                <w:rFonts w:ascii="Times New Roman" w:hAnsi="Times New Roman"/>
                <w:color w:val="000000"/>
                <w:sz w:val="20"/>
              </w:rPr>
              <w:t>Series A Stock</w:t>
            </w:r>
            <w:r>
              <w:rPr>
                <w:rFonts w:ascii="Times New Roman" w:hAnsi="Times New Roman"/>
                <w:sz w:val="20"/>
              </w:rPr>
              <w:t xml:space="preserve">, to the extent that such conversion would cause the holder to have acquired, through conversion of the </w:t>
            </w:r>
            <w:r>
              <w:rPr>
                <w:rFonts w:ascii="Times New Roman" w:hAnsi="Times New Roman"/>
                <w:color w:val="000000"/>
                <w:sz w:val="20"/>
              </w:rPr>
              <w:t>Series A</w:t>
            </w:r>
            <w:r>
              <w:rPr>
                <w:rFonts w:ascii="Times New Roman" w:hAnsi="Times New Roman"/>
                <w:sz w:val="20"/>
              </w:rPr>
              <w:t xml:space="preserve"> Stock or otherwise, beneficial ownership of a number of shares of common stock in excess of 4.99% (or, at the election of the holder prior to the issuance of any shares of Series A Stock, 9.99%) of the common stock outstanding after giving effect to such exercise.</w:t>
            </w:r>
          </w:p>
          <w:p>
            <w:pPr>
              <w:pStyle w:val="TableContents"/>
              <w:spacing w:before="0" w:after="0"/>
              <w:ind w:left="0" w:right="0" w:hanging="0"/>
              <w:jc w:val="both"/>
              <w:rPr/>
            </w:pPr>
            <w:r>
              <w:rPr/>
              <w:t> </w:t>
            </w:r>
          </w:p>
        </w:tc>
      </w:tr>
      <w:tr>
        <w:trPr/>
        <w:tc>
          <w:tcPr>
            <w:tcW w:w="105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Dividends</w:t>
            </w:r>
          </w:p>
          <w:p>
            <w:pPr>
              <w:pStyle w:val="TableContents"/>
              <w:spacing w:before="0" w:after="0"/>
              <w:ind w:left="0" w:right="0" w:hanging="0"/>
              <w:jc w:val="both"/>
              <w:rPr>
                <w:color w:val="000000"/>
              </w:rPr>
            </w:pPr>
            <w:r>
              <w:rPr>
                <w:color w:val="000000"/>
              </w:rPr>
              <w:t> </w:t>
            </w:r>
          </w:p>
          <w:p>
            <w:pPr>
              <w:pStyle w:val="TableContents"/>
              <w:spacing w:before="0" w:after="0"/>
              <w:ind w:left="0" w:right="0" w:hanging="0"/>
              <w:jc w:val="both"/>
              <w:rPr/>
            </w:pPr>
            <w:r>
              <w:rPr/>
              <w:t> </w:t>
            </w:r>
          </w:p>
        </w:tc>
        <w:tc>
          <w:tcPr>
            <w:tcW w:w="915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In the event the Company pays dividends on its shares of common stock, the holders of the Series A Stock will be entitled to receive dividends on shares of Series A Stock equal, on an as-if-converted basis, to and in the same form as paid on the common stock. No other dividends will be paid on the shares of Series A Stock.</w:t>
            </w:r>
          </w:p>
          <w:p>
            <w:pPr>
              <w:pStyle w:val="TableContents"/>
              <w:spacing w:before="0" w:after="0"/>
              <w:ind w:left="0" w:right="0" w:hanging="0"/>
              <w:jc w:val="both"/>
              <w:rPr/>
            </w:pPr>
            <w:r>
              <w:rPr/>
              <w:t> </w:t>
            </w:r>
          </w:p>
        </w:tc>
      </w:tr>
      <w:tr>
        <w:trPr/>
        <w:tc>
          <w:tcPr>
            <w:tcW w:w="105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Liquidation</w:t>
            </w:r>
          </w:p>
          <w:p>
            <w:pPr>
              <w:pStyle w:val="TableContents"/>
              <w:spacing w:before="0" w:after="0"/>
              <w:ind w:left="0" w:right="0" w:hanging="0"/>
              <w:jc w:val="both"/>
              <w:rPr/>
            </w:pPr>
            <w:r>
              <w:rPr/>
              <w:t> </w:t>
            </w:r>
          </w:p>
        </w:tc>
        <w:tc>
          <w:tcPr>
            <w:tcW w:w="9150"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Upon any liquidation, dissolution or winding up of the Company after payment or provision for payment of debts and other liabilities of the Company, the holders of Series A Stock shall be entitled to be paid out of the assets of the Company available for distribution to its stockholders an amount equal to the amount that a holder of common stock would receive if the Series A Stock were fully converted to common stock, which amounts will be paid pari passu with all holders of common stock.</w:t>
            </w:r>
          </w:p>
          <w:p>
            <w:pPr>
              <w:pStyle w:val="TableContents"/>
              <w:spacing w:before="0" w:after="0"/>
              <w:ind w:left="0" w:right="0" w:hanging="0"/>
              <w:jc w:val="both"/>
              <w:rPr/>
            </w:pPr>
            <w:r>
              <w:rPr/>
              <w:t> </w:t>
            </w:r>
          </w:p>
        </w:tc>
      </w:tr>
      <w:tr>
        <w:trPr/>
        <w:tc>
          <w:tcPr>
            <w:tcW w:w="105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Voting rights</w:t>
            </w:r>
          </w:p>
          <w:p>
            <w:pPr>
              <w:pStyle w:val="TableContents"/>
              <w:spacing w:before="0" w:after="0"/>
              <w:ind w:left="0" w:right="0" w:hanging="0"/>
              <w:jc w:val="both"/>
              <w:rPr/>
            </w:pPr>
            <w:r>
              <w:rPr/>
              <w:t> </w:t>
            </w:r>
          </w:p>
        </w:tc>
        <w:tc>
          <w:tcPr>
            <w:tcW w:w="91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Shares of Series A Stock will generally have no voting rights, except as required by law and except that the consent of holders of a majority of the then outstanding Series A Stock will be required to amend the terms of the Series A Stock or to take other action that adversely affects the rights of the holders of Series A Stock</w:t>
            </w:r>
            <w:r>
              <w:rPr>
                <w:rFonts w:ascii="Times New Roman" w:hAnsi="Times New Roman"/>
                <w:color w:val="000000"/>
                <w:sz w:val="20"/>
              </w:rPr>
              <w:t>.</w:t>
            </w:r>
          </w:p>
          <w:p>
            <w:pPr>
              <w:pStyle w:val="TableContents"/>
              <w:spacing w:before="0" w:after="0"/>
              <w:ind w:left="0" w:right="0" w:hanging="0"/>
              <w:jc w:val="both"/>
              <w:rPr/>
            </w:pPr>
            <w:r>
              <w:rPr/>
              <w:t> </w:t>
            </w:r>
          </w:p>
        </w:tc>
      </w:tr>
    </w:tbl>
    <w:p>
      <w:pPr>
        <w:pStyle w:val="TextBody"/>
        <w:spacing w:before="0" w:after="0"/>
        <w:ind w:left="0" w:right="0" w:hanging="0"/>
        <w:jc w:val="left"/>
        <w:rPr>
          <w:rFonts w:ascii="Times New Roman" w:hAnsi="Times New Roman"/>
          <w:sz w:val="20"/>
        </w:rPr>
      </w:pPr>
      <w:r>
        <w:rPr>
          <w:rFonts w:ascii="Times New Roman" w:hAnsi="Times New Roman"/>
          <w:sz w:val="20"/>
        </w:rPr>
        <w:t xml:space="preserve">During the years ended December 31, 2020 and 2019, 38,396 and 2,815,987 shares of </w:t>
      </w:r>
      <w:r>
        <w:rPr>
          <w:rFonts w:ascii="Times New Roman" w:hAnsi="Times New Roman"/>
          <w:color w:val="000000"/>
          <w:sz w:val="20"/>
        </w:rPr>
        <w:t>Series A Stock</w:t>
      </w:r>
      <w:r>
        <w:rPr>
          <w:rFonts w:ascii="Times New Roman" w:hAnsi="Times New Roman"/>
          <w:sz w:val="20"/>
        </w:rPr>
        <w:t xml:space="preserve"> were converted into 38,396 and 2,815,987 shares of common stock, respectively.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As of December 31, 2020, there were 210 shares of </w:t>
      </w:r>
      <w:r>
        <w:rPr>
          <w:rFonts w:ascii="Times New Roman" w:hAnsi="Times New Roman"/>
          <w:color w:val="000000"/>
          <w:sz w:val="20"/>
        </w:rPr>
        <w:t>Series A</w:t>
      </w:r>
      <w:r>
        <w:rPr>
          <w:rFonts w:ascii="Times New Roman" w:hAnsi="Times New Roman"/>
          <w:sz w:val="20"/>
        </w:rPr>
        <w:t xml:space="preserve"> Stock outstanding.</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Common Stock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Company’s Certificate of Incorporation authorizes it to issue 400,000,000 shares of $0.0001 par value common stock. As of December 31, 2020, and December 31, 2019, there were 12,619,369 and 6,741,860 shares of common stock issued and outstanding, respectively.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March 13, 2020, the Company completed a registered direct offering to a single healthcare-focused institutional investor (the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$0.0001, the exercise price of each pre-funded warrant), for gross proceeds of approximately $2.75 million, priced at-the-market under Nasdaq rules. Additionally, in a concurrent private placement, the Company issued to the Investor unregistered warrants to purchase up to 2,360,313 shares of its common stock. The unregistered warrants have an exercise price of $1.04 per share and exercise period commencing immediately upon the issuance date and a term of five and one-half years. The net proceeds from the offerings, after deducting placement agent fees and other direct offering expenses were approximately $2.125 million. The fair value allocated to the common stock, pre-funded warrants and warrants was $0.5 million, $1.1 million and $1.1 million, respectively.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July 8, 2020, the Company completed a registered direct offering with the Investor for the issuance and sale of 2,523,611 shares of its common stock at a purchase price of $1.0278 per share and pre-funded warrants to purchase up to 652,313 shares of its common stock, at a purchase price of $1.0277 per pre-funded warrant (which represents the per share offering price for the common stock less $0.0001, the exercise price of each pre-funded warrant). The Company issued in a concurrent private placement unregistered pre-funded warrants to purchase up to 4,607,692 shares of common stock at the same purchase price as the registered pre-funded warrants, and unregistered common stock warrants to purchase up to 7,783,616 shares of common stock for aggregate gross proceeds of approximately $8.0 million, priced at-the-market under Nasdaq rules. The unregistered warrants have an exercise price of $0.903 per share and exercise period commencing immediately upon the issuance date and a term of five and one-half years. The net proceeds from the offerings, after deducting placement agent fees and other direct offering expenses were approximately $6.5 million. The fair value allocated to the common stock, pre-funded warrants and warrants was $1.5 million, $3.0 million and $3.5 million, respectively.</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0" w:name="pgbrk48"/>
      <w:bookmarkStart w:id="351" w:name="pgbrk48"/>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52" w:name="ftr47"/>
      <w:bookmarkEnd w:id="3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3" w:name="pn45"/>
      <w:bookmarkEnd w:id="353"/>
      <w:r>
        <w:rPr>
          <w:rFonts w:ascii="Times New Roman" w:hAnsi="Times New Roman"/>
          <w:sz w:val="20"/>
        </w:rPr>
        <w:t>48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54" w:name="pb47"/>
      <w:bookmarkStart w:id="355" w:name="pb47"/>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56" w:name="hdr48"/>
      <w:bookmarkEnd w:id="3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During the year ended December 31, 2020, the Company issued 1,610,313 shares of common stock upon the exercise of pre-funded warrants. As of December 31, 2020, there were 5,260,005 pre-funded warrants outstanding.</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Warrants</w:t>
      </w:r>
    </w:p>
    <w:p>
      <w:pPr>
        <w:pStyle w:val="TextBody"/>
        <w:spacing w:before="0" w:after="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March 2020 Warrants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As part of the March 2020 registered direct offering, the Company issued unregistered warrants to purchase 2,360,313 shares of its common stock at an exercise price of $1.04 per share and contractual term of five and one-half years</w:t>
      </w:r>
      <w:r>
        <w:rPr>
          <w:rFonts w:ascii="Times New Roman" w:hAnsi="Times New Roman"/>
          <w:sz w:val="20"/>
        </w:rPr>
        <w:t>. The unregistered warrants were offered in a private placement under Section 4(a)(2) of the Securities Act of 1933, as amended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$1.1 million was recognized as additional paid in capital</w:t>
      </w:r>
      <w:r>
        <w:rPr>
          <w:rFonts w:ascii="Times New Roman" w:hAnsi="Times New Roman"/>
          <w:color w:val="000000"/>
          <w:sz w:val="20"/>
        </w:rPr>
        <w:t>. The estimated fair value is determined using the</w:t>
      </w:r>
      <w:r>
        <w:rPr>
          <w:rFonts w:ascii="Times New Roman" w:hAnsi="Times New Roman"/>
          <w:sz w:val="20"/>
        </w:rPr>
        <w:t xml:space="preserve"> Black-Scholes Option Pricing Model </w:t>
      </w:r>
      <w:r>
        <w:rPr>
          <w:rFonts w:ascii="Times New Roman" w:hAnsi="Times New Roman"/>
          <w:color w:val="000000"/>
          <w:sz w:val="20"/>
        </w:rPr>
        <w:t>which is based on the value of the underlying common stock at the valuation measurement date, the remaining contractual term of the warrants, risk-free interest rates, expected dividends and expected volatility of the price of the underlying common stock.</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As of December 31, 2020, there were 2,360,313 March 2020 Warrants outstanding.</w:t>
      </w:r>
    </w:p>
    <w:p>
      <w:pPr>
        <w:pStyle w:val="TextBody"/>
        <w:spacing w:before="0" w:after="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July 2020 Warrants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As part of the July 2020 offering, the Company issued unregistered warrants to purchase 7,783,616 shares of its common stock at an exercise price of $0.903 per share and contractual term of five and one-half years</w:t>
      </w:r>
      <w:r>
        <w:rPr>
          <w:rFonts w:ascii="Times New Roman" w:hAnsi="Times New Roman"/>
          <w:sz w:val="20"/>
        </w:rPr>
        <w:t>. The unregistered warrants were offered in a private placement under Section 4(a)(2) of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$3.5 million was recognized as additional paid in capital</w:t>
      </w:r>
      <w:r>
        <w:rPr>
          <w:rFonts w:ascii="Times New Roman" w:hAnsi="Times New Roman"/>
          <w:color w:val="000000"/>
          <w:sz w:val="20"/>
        </w:rPr>
        <w:t>. The estimated fair value is determined using the</w:t>
      </w:r>
      <w:r>
        <w:rPr>
          <w:rFonts w:ascii="Times New Roman" w:hAnsi="Times New Roman"/>
          <w:sz w:val="20"/>
        </w:rPr>
        <w:t xml:space="preserve"> Black-Scholes Option Pricing Model </w:t>
      </w:r>
      <w:r>
        <w:rPr>
          <w:rFonts w:ascii="Times New Roman" w:hAnsi="Times New Roman"/>
          <w:color w:val="000000"/>
          <w:sz w:val="20"/>
        </w:rPr>
        <w:t>which is based on the value of the underlying common stock at the valuation measurement date, the remaining contractual term of the warrants, risk-free interest rates, expected dividends and expected volatility of the price of the underlying common stock.</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As of December 31, 2020, there were 7,783,616 July 2020 Warrants outstanding.</w:t>
      </w:r>
    </w:p>
    <w:p>
      <w:pPr>
        <w:pStyle w:val="TextBody"/>
        <w:spacing w:before="0" w:after="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Series 1 Warrants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As part of the offering of Series A Stock, the Company issued 5,181,346 Series 1 Warrants at an exercise price of $1.93 per share and contractual term of two years</w:t>
      </w:r>
      <w:r>
        <w:rPr>
          <w:rFonts w:ascii="Times New Roman" w:hAnsi="Times New Roman"/>
          <w:sz w:val="20"/>
        </w:rPr>
        <w:t>. In accordance with ASC 480, these warrants are classified as equity and their relative fair-value of $2,621,809 was recognized as a deemed dividend on the Series A Stock during the year ended December 31, 2019</w:t>
      </w:r>
      <w:r>
        <w:rPr>
          <w:rFonts w:ascii="Times New Roman" w:hAnsi="Times New Roman"/>
          <w:color w:val="000000"/>
          <w:sz w:val="20"/>
        </w:rPr>
        <w:t>. The estimated fair value is determined using the</w:t>
      </w:r>
      <w:r>
        <w:rPr>
          <w:rFonts w:ascii="Times New Roman" w:hAnsi="Times New Roman"/>
          <w:sz w:val="20"/>
        </w:rPr>
        <w:t xml:space="preserve"> Black-Scholes Option Pricing Model </w:t>
      </w:r>
      <w:r>
        <w:rPr>
          <w:rFonts w:ascii="Times New Roman" w:hAnsi="Times New Roman"/>
          <w:color w:val="000000"/>
          <w:sz w:val="20"/>
        </w:rPr>
        <w:t>which is based on the value of the underlying common stock at the valuation measurement date, the remaining contractual term of the warrants, risk-free interest rates, expected dividends and expected volatility of the price of the underlying common stock.</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During the year ended December 31, 2019, the Company received $96,500 and issued 50,000 shares upon the exercise of outstanding Series 1 Warrants.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During the year ended December 31, 2020, the Company received $1,500,000 and issued 777,202 shares upon the exercise of outstanding Series 1 Warrants.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all of the remaining 4,354,144 Series 1 Warrants expired unexercised</w:t>
      </w:r>
      <w:r>
        <w:rPr>
          <w:rFonts w:ascii="Times New Roman" w:hAnsi="Times New Roman"/>
          <w:color w:val="000000"/>
          <w:sz w:val="20"/>
        </w:rPr>
        <w:t>.</w:t>
      </w:r>
    </w:p>
    <w:p>
      <w:pPr>
        <w:pStyle w:val="TextBody"/>
        <w:spacing w:before="0" w:after="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Series 2 Warrants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As part of the offering of Series A Stock, the Company issued 5,181,346 Series 2 Warrants at an exercise price of $1.93 per share and contractual term of five years</w:t>
      </w:r>
      <w:r>
        <w:rPr>
          <w:rFonts w:ascii="Times New Roman" w:hAnsi="Times New Roman"/>
          <w:sz w:val="20"/>
        </w:rPr>
        <w:t>. In accordance with ASC 480, these warrants are classified as equity and their relative fair-value of $2,908,778 was recognized as a deemed dividend on the Series A Stock during the year ended December 31, 2019</w:t>
      </w:r>
      <w:r>
        <w:rPr>
          <w:rFonts w:ascii="Times New Roman" w:hAnsi="Times New Roman"/>
          <w:color w:val="000000"/>
          <w:sz w:val="20"/>
        </w:rPr>
        <w:t>. The estimated fair value is determined using the</w:t>
      </w:r>
      <w:r>
        <w:rPr>
          <w:rFonts w:ascii="Times New Roman" w:hAnsi="Times New Roman"/>
          <w:sz w:val="20"/>
        </w:rPr>
        <w:t xml:space="preserve"> Black-Scholes Option Pricing Model </w:t>
      </w:r>
      <w:r>
        <w:rPr>
          <w:rFonts w:ascii="Times New Roman" w:hAnsi="Times New Roman"/>
          <w:color w:val="000000"/>
          <w:sz w:val="20"/>
        </w:rPr>
        <w:t>which is based on the value of the underlying common stock at the valuation measurement date, the remaining contractual term of the warrants, risk-free interest rates, expected dividends and expected volatility of the price of the underlying common stock.</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7" w:name="pgbrk49"/>
      <w:bookmarkStart w:id="358" w:name="pgbrk49"/>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59" w:name="ftr48"/>
      <w:bookmarkEnd w:id="3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0" w:name="pn46"/>
      <w:bookmarkEnd w:id="360"/>
      <w:r>
        <w:rPr>
          <w:rFonts w:ascii="Times New Roman" w:hAnsi="Times New Roman"/>
          <w:sz w:val="20"/>
        </w:rPr>
        <w:t>49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61" w:name="pb48"/>
      <w:bookmarkStart w:id="362" w:name="pb48"/>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63" w:name="hdr49"/>
      <w:bookmarkEnd w:id="36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During the year ended December 31, 2020, the Company received $193,000 and issued 100,000 shares upon the exercise of outstanding Series 2 Warrants.</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As of December 31, 2020, 5,081,346 Series 2 Warrants remain outstanding.</w:t>
      </w:r>
    </w:p>
    <w:p>
      <w:pPr>
        <w:pStyle w:val="TextBody"/>
        <w:spacing w:before="0" w:after="0"/>
        <w:rPr/>
      </w:pPr>
      <w:r>
        <w:rPr/>
        <w:t> </w:t>
      </w:r>
    </w:p>
    <w:p>
      <w:pPr>
        <w:pStyle w:val="TextBody"/>
        <w:spacing w:before="0" w:after="0"/>
        <w:ind w:left="0" w:right="0" w:hanging="0"/>
        <w:jc w:val="left"/>
        <w:rPr>
          <w:rFonts w:ascii="Times New Roman" w:hAnsi="Times New Roman"/>
          <w:i/>
          <w:color w:val="000000"/>
          <w:sz w:val="20"/>
        </w:rPr>
      </w:pPr>
      <w:r>
        <w:rPr>
          <w:rFonts w:ascii="Times New Roman" w:hAnsi="Times New Roman"/>
          <w:i/>
          <w:color w:val="000000"/>
          <w:sz w:val="20"/>
        </w:rPr>
        <w:t>Warrants Issued for Services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In connection with the March 2020 offering described above, the Company issued</w:t>
      </w:r>
      <w:r>
        <w:rPr>
          <w:rFonts w:ascii="Times New Roman" w:hAnsi="Times New Roman"/>
          <w:sz w:val="20"/>
        </w:rPr>
        <w:t xml:space="preserve"> designees of the placement agent warrants to purchase 177,023 shares of common stock at an exercise price of $1.4564 and a contractual term of five years. In accordance with ASC 815, these warrants are classified as equity and its estimated fair value of $66,201 was recognized as additional paid in capital</w:t>
      </w:r>
      <w:r>
        <w:rPr>
          <w:rFonts w:ascii="Times New Roman" w:hAnsi="Times New Roman"/>
          <w:color w:val="000000"/>
          <w:sz w:val="20"/>
        </w:rPr>
        <w:t>. Additionally, the Company issued to its previous underwriter a warrant to purchase 94,413 shares of common stock at an exercise price of $1.4564 per share and contractual term of five years</w:t>
      </w:r>
      <w:r>
        <w:rPr>
          <w:rFonts w:ascii="Times New Roman" w:hAnsi="Times New Roman"/>
          <w:sz w:val="20"/>
        </w:rPr>
        <w:t xml:space="preserve">. In accordance with ASC 815, this warrant is classified as equity and its estimated fair value of $35,308 was recognized as additional paid in capital. </w:t>
      </w:r>
      <w:r>
        <w:rPr>
          <w:rFonts w:ascii="Times New Roman" w:hAnsi="Times New Roman"/>
          <w:color w:val="000000"/>
          <w:sz w:val="20"/>
        </w:rPr>
        <w:t>The estimated fair value is determined using the</w:t>
      </w:r>
      <w:r>
        <w:rPr>
          <w:rFonts w:ascii="Times New Roman" w:hAnsi="Times New Roman"/>
          <w:sz w:val="20"/>
        </w:rPr>
        <w:t xml:space="preserve"> Black-Scholes Option Pricing Model </w:t>
      </w:r>
      <w:r>
        <w:rPr>
          <w:rFonts w:ascii="Times New Roman" w:hAnsi="Times New Roman"/>
          <w:color w:val="000000"/>
          <w:sz w:val="20"/>
        </w:rPr>
        <w:t>which is based on the value of the underlying common stock at the valuation measurement date, the remaining contractual term of the warrant, risk-free interest rates, expected dividends and expected volatility of the price of the underlying common stock.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In connection with the July 2020 offering described above, the Company issued</w:t>
      </w:r>
      <w:r>
        <w:rPr>
          <w:rFonts w:ascii="Times New Roman" w:hAnsi="Times New Roman"/>
          <w:sz w:val="20"/>
        </w:rPr>
        <w:t xml:space="preserve"> designees of the placement agent warrants to purchase 583,771 shares of common stock at an exercise price of $1.2848 and a contractual term of five years. In accordance with ASC 815, these warrants are classified as equity and its estimated fair value of $399,445 was recognized as additional paid in capital</w:t>
      </w:r>
      <w:r>
        <w:rPr>
          <w:rFonts w:ascii="Times New Roman" w:hAnsi="Times New Roman"/>
          <w:color w:val="000000"/>
          <w:sz w:val="20"/>
        </w:rPr>
        <w:t>. Additionally, the Company issued to its previous underwriter a warrant to purchase 311,345 shares of common stock at an exercise price of $1.2848 per share and contractual term of five years</w:t>
      </w:r>
      <w:r>
        <w:rPr>
          <w:rFonts w:ascii="Times New Roman" w:hAnsi="Times New Roman"/>
          <w:sz w:val="20"/>
        </w:rPr>
        <w:t xml:space="preserve">. In accordance with ASC 815, this warrant is classified as equity and its estimated fair value of $213,038 was recognized as additional paid in capital. </w:t>
      </w:r>
      <w:r>
        <w:rPr>
          <w:rFonts w:ascii="Times New Roman" w:hAnsi="Times New Roman"/>
          <w:color w:val="000000"/>
          <w:sz w:val="20"/>
        </w:rPr>
        <w:t>The estimated fair value is determined using the</w:t>
      </w:r>
      <w:r>
        <w:rPr>
          <w:rFonts w:ascii="Times New Roman" w:hAnsi="Times New Roman"/>
          <w:sz w:val="20"/>
        </w:rPr>
        <w:t xml:space="preserve"> Black-Scholes Option Pricing Model </w:t>
      </w:r>
      <w:r>
        <w:rPr>
          <w:rFonts w:ascii="Times New Roman" w:hAnsi="Times New Roman"/>
          <w:color w:val="000000"/>
          <w:sz w:val="20"/>
        </w:rPr>
        <w:t>which is based on the value of the underlying common stock at the valuation measurement date, the remaining contractual term of the warrant, risk-free interest rates, expected dividends and expected volatility of the price of the underlying common stock.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Series D Warrant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On August 22, 2013, the Company closed its private placement of an aggregate of $4.6 million shares of the Company’s Series D Stock to OXBT Fund.  In connection with the purchase of shares of Series D Stock, OXBT Fund received the Series D Warrant to purchase 117,949 shares of common stock at an exercise price equal to $52.00 and contractual term of six years</w:t>
      </w:r>
      <w:r>
        <w:rPr>
          <w:rFonts w:ascii="Times New Roman" w:hAnsi="Times New Roman"/>
          <w:sz w:val="20"/>
        </w:rPr>
        <w:t>. In accordance with ASC 815, these warrants are classified as equity and their relative fair-value of $1,531,167 was recognized as a deemed dividend on the Series D Stock during the prior fiscal year ended April 30, 2014</w:t>
      </w:r>
      <w:r>
        <w:rPr>
          <w:rFonts w:ascii="Times New Roman" w:hAnsi="Times New Roman"/>
          <w:color w:val="000000"/>
          <w:sz w:val="20"/>
        </w:rPr>
        <w:t>. The estimated fair value is determined using the</w:t>
      </w:r>
      <w:r>
        <w:rPr>
          <w:rFonts w:ascii="Times New Roman" w:hAnsi="Times New Roman"/>
          <w:sz w:val="20"/>
        </w:rPr>
        <w:t xml:space="preserve"> Black-Scholes Option Pricing Model </w:t>
      </w:r>
      <w:r>
        <w:rPr>
          <w:rFonts w:ascii="Times New Roman" w:hAnsi="Times New Roman"/>
          <w:color w:val="000000"/>
          <w:sz w:val="20"/>
        </w:rPr>
        <w:t>which is based on the value of the underlying common stock at the valuation measurement date, the remaining contractual term of the warrants, risk-free interest rates, expected dividends and expected volatility of the price of the underlying common stock.  </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The</w:t>
      </w:r>
      <w:r>
        <w:rPr>
          <w:rFonts w:ascii="Times New Roman" w:hAnsi="Times New Roman"/>
          <w:sz w:val="20"/>
        </w:rPr>
        <w:t xml:space="preserve"> Series D </w:t>
      </w:r>
      <w:r>
        <w:rPr>
          <w:rFonts w:ascii="Times New Roman" w:hAnsi="Times New Roman"/>
          <w:color w:val="000000"/>
          <w:sz w:val="20"/>
        </w:rPr>
        <w:t>Warrant was exercisable beginning on the date of issuance and expired on August 22, 2019.  The exercise price and the number of shares issuable upon exercise of</w:t>
      </w:r>
      <w:r>
        <w:rPr>
          <w:rFonts w:ascii="Times New Roman" w:hAnsi="Times New Roman"/>
          <w:sz w:val="20"/>
        </w:rPr>
        <w:t xml:space="preserve"> Series D </w:t>
      </w:r>
      <w:r>
        <w:rPr>
          <w:rFonts w:ascii="Times New Roman" w:hAnsi="Times New Roman"/>
          <w:color w:val="000000"/>
          <w:sz w:val="20"/>
        </w:rPr>
        <w:t>Warrant was subject to appropriate adjustment in the event of recapitalization events, stock dividends, stock splits, stock combinations, reclassifications, reorganizations or similar events affecting the Company’s common stock, and also upon any distributions of assets, including cash, stock or other property to the Company’s stockholders.  In addition, if stockholder approval for the transaction was obtained, the</w:t>
      </w:r>
      <w:r>
        <w:rPr>
          <w:rFonts w:ascii="Times New Roman" w:hAnsi="Times New Roman"/>
          <w:sz w:val="20"/>
        </w:rPr>
        <w:t xml:space="preserve"> Series D </w:t>
      </w:r>
      <w:r>
        <w:rPr>
          <w:rFonts w:ascii="Times New Roman" w:hAnsi="Times New Roman"/>
          <w:color w:val="000000"/>
          <w:sz w:val="20"/>
        </w:rPr>
        <w:t>Warrant would be subject to anti-dilution provisions until such time that for 25 trading days during any 30 consecutive trading day period, the volume weighted average price of the Company’s common stock exceeded $130.00 and the daily dollar trading volume exceeds $350,000 per trading day.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The</w:t>
      </w:r>
      <w:r>
        <w:rPr>
          <w:rFonts w:ascii="Times New Roman" w:hAnsi="Times New Roman"/>
          <w:sz w:val="20"/>
        </w:rPr>
        <w:t xml:space="preserve"> Series D </w:t>
      </w:r>
      <w:r>
        <w:rPr>
          <w:rFonts w:ascii="Times New Roman" w:hAnsi="Times New Roman"/>
          <w:color w:val="000000"/>
          <w:sz w:val="20"/>
        </w:rPr>
        <w:t>Warrant was issued and sold without registration under the Securities Act in reliance on the exemptions provided by Section 4(a)(2) of the Securities Act and/or Regulation D promulgated thereunder and in reliance on similar exemptions under applicable state laws.  Accordingly, OXBT Fund could exercise the Series D Warrant and sell the</w:t>
      </w:r>
      <w:r>
        <w:rPr>
          <w:rFonts w:ascii="Times New Roman" w:hAnsi="Times New Roman"/>
          <w:sz w:val="20"/>
        </w:rPr>
        <w:t xml:space="preserve"> Series D </w:t>
      </w:r>
      <w:r>
        <w:rPr>
          <w:rFonts w:ascii="Times New Roman" w:hAnsi="Times New Roman"/>
          <w:color w:val="000000"/>
          <w:sz w:val="20"/>
        </w:rPr>
        <w:t>Stock and underlying shares only pursuant to an effective registration statement under the Securities Act covering the resale of those securities, an exemption under Rule 144 under the Securities Act or another applicable exemption under the Securities Act.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During the year ended December 31, 2019, all of the 107,488 previously outstanding Series D Warrants expired unexercised.</w:t>
      </w:r>
    </w:p>
    <w:p>
      <w:pPr>
        <w:pStyle w:val="TextBody"/>
        <w:spacing w:before="0" w:after="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Series C Warrants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On July 23, 2013, as part of the offering of Series C Stock, the Company issued 137,668 Series C Warrants at an exercise price of $52.00 per share and contractual term of six years</w:t>
      </w:r>
      <w:r>
        <w:rPr>
          <w:rFonts w:ascii="Times New Roman" w:hAnsi="Times New Roman"/>
          <w:sz w:val="20"/>
        </w:rPr>
        <w:t>. In accordance with ASC 815, these warrants are classified as equity and their relative fair-value of $1,867,991 was recognized as a deemed dividend on the Series C Stock during the prior fiscal year ended April 30, 2014</w:t>
      </w:r>
      <w:r>
        <w:rPr>
          <w:rFonts w:ascii="Times New Roman" w:hAnsi="Times New Roman"/>
          <w:color w:val="000000"/>
          <w:sz w:val="20"/>
        </w:rPr>
        <w:t>. The estimated fair value is determined using the</w:t>
      </w:r>
      <w:r>
        <w:rPr>
          <w:rFonts w:ascii="Times New Roman" w:hAnsi="Times New Roman"/>
          <w:sz w:val="20"/>
        </w:rPr>
        <w:t xml:space="preserve"> Black-Scholes Option Pricing Model </w:t>
      </w:r>
      <w:r>
        <w:rPr>
          <w:rFonts w:ascii="Times New Roman" w:hAnsi="Times New Roman"/>
          <w:color w:val="000000"/>
          <w:sz w:val="20"/>
        </w:rPr>
        <w:t>which is based on the value of the underlying common stock at the valuation measurement date, the remaining contractual term of the warrants, risk-free interest rates, expected dividends and expected volatility of the price of the underlying common stock.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During the year ended December 31, 2019, all of the 12,035 previously outstanding Series C Warrants expired unexercised.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summarizes the Company’s warrant activity for the years ended December 31, 2020 and December 31, 2019:</w:t>
      </w:r>
    </w:p>
    <w:p>
      <w:pPr>
        <w:pStyle w:val="TextBody"/>
        <w:spacing w:before="0" w:after="0"/>
        <w:rPr/>
      </w:pPr>
      <w:r>
        <w:rPr/>
        <w:t> </w:t>
      </w:r>
    </w:p>
    <w:tbl>
      <w:tblPr>
        <w:tblW w:w="6525" w:type="dxa"/>
        <w:jc w:val="left"/>
        <w:tblInd w:w="0" w:type="dxa"/>
        <w:tblCellMar>
          <w:top w:w="0" w:type="dxa"/>
          <w:left w:w="0" w:type="dxa"/>
          <w:bottom w:w="0" w:type="dxa"/>
          <w:right w:w="0" w:type="dxa"/>
        </w:tblCellMar>
      </w:tblPr>
      <w:tblGrid>
        <w:gridCol w:w="2945"/>
        <w:gridCol w:w="1130"/>
        <w:gridCol w:w="2450"/>
      </w:tblGrid>
      <w:tr>
        <w:trPr/>
        <w:tc>
          <w:tcPr>
            <w:tcW w:w="2945" w:type="dxa"/>
            <w:tcBorders/>
            <w:shd w:fill="auto" w:val="clear"/>
            <w:vAlign w:val="center"/>
          </w:tcPr>
          <w:p>
            <w:pPr>
              <w:pStyle w:val="TableContents"/>
              <w:spacing w:before="0" w:after="0"/>
              <w:ind w:left="0" w:right="0" w:hanging="0"/>
              <w:rPr/>
            </w:pPr>
            <w:r>
              <w:rPr/>
              <w:t> </w:t>
            </w:r>
          </w:p>
        </w:tc>
        <w:tc>
          <w:tcPr>
            <w:tcW w:w="11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7"/>
                <w:bdr w:val="single" w:sz="12" w:space="1" w:color="000000"/>
              </w:rPr>
            </w:pPr>
            <w:r>
              <w:rPr>
                <w:rFonts w:ascii="Times New Roman" w:hAnsi="Times New Roman"/>
                <w:b/>
                <w:sz w:val="17"/>
                <w:bdr w:val="single" w:sz="12" w:space="1" w:color="000000"/>
              </w:rPr>
              <w:t>Warrants</w:t>
            </w:r>
          </w:p>
          <w:p>
            <w:pPr>
              <w:pStyle w:val="TableContents"/>
              <w:spacing w:before="0" w:after="0"/>
              <w:jc w:val="left"/>
              <w:rPr/>
            </w:pPr>
            <w:r>
              <w:rPr/>
              <w:t> </w:t>
            </w:r>
          </w:p>
        </w:tc>
        <w:tc>
          <w:tcPr>
            <w:tcW w:w="245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7"/>
                <w:bdr w:val="single" w:sz="12" w:space="1" w:color="000000"/>
              </w:rPr>
            </w:pPr>
            <w:r>
              <w:rPr>
                <w:rFonts w:ascii="Times New Roman" w:hAnsi="Times New Roman"/>
                <w:b/>
                <w:sz w:val="17"/>
                <w:bdr w:val="single" w:sz="12" w:space="1" w:color="000000"/>
              </w:rPr>
              <w:t>Weighted Average Exercise Price</w:t>
            </w:r>
          </w:p>
          <w:p>
            <w:pPr>
              <w:pStyle w:val="TableContents"/>
              <w:spacing w:before="0" w:after="0"/>
              <w:jc w:val="left"/>
              <w:rPr/>
            </w:pPr>
            <w:r>
              <w:rPr/>
              <w:t> </w:t>
            </w:r>
          </w:p>
        </w:tc>
      </w:tr>
      <w:tr>
        <w:trPr/>
        <w:tc>
          <w:tcPr>
            <w:tcW w:w="2945" w:type="dxa"/>
            <w:tcBorders/>
            <w:shd w:fill="CCEEFF"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Outstanding at December 31, 2018</w:t>
            </w:r>
          </w:p>
        </w:tc>
        <w:tc>
          <w:tcPr>
            <w:tcW w:w="1130" w:type="dxa"/>
            <w:tcBorders/>
            <w:shd w:fill="CCEEFF" w:val="clear"/>
            <w:vAlign w:val="center"/>
          </w:tcPr>
          <w:p>
            <w:pPr>
              <w:pStyle w:val="TableContents"/>
              <w:spacing w:before="0" w:after="0"/>
              <w:jc w:val="left"/>
              <w:rPr/>
            </w:pPr>
            <w:r>
              <w:rPr/>
              <w:t>  </w:t>
            </w:r>
            <w:r>
              <w:rPr>
                <w:rFonts w:ascii="Times New Roman" w:hAnsi="Times New Roman"/>
                <w:b/>
                <w:sz w:val="20"/>
              </w:rPr>
              <w:t>10,690,718</w:t>
            </w:r>
            <w:r>
              <w:rPr/>
              <w:t> </w:t>
            </w:r>
          </w:p>
        </w:tc>
        <w:tc>
          <w:tcPr>
            <w:tcW w:w="2450" w:type="dxa"/>
            <w:tcBorders/>
            <w:shd w:fill="CCEEFF" w:val="clear"/>
            <w:vAlign w:val="center"/>
          </w:tcPr>
          <w:p>
            <w:pPr>
              <w:pStyle w:val="TableContents"/>
              <w:spacing w:before="0" w:after="0"/>
              <w:jc w:val="left"/>
              <w:rPr/>
            </w:pPr>
            <w:r>
              <w:rPr/>
              <w:t> </w:t>
            </w:r>
            <w:r>
              <w:rPr>
                <w:rFonts w:ascii="Times New Roman" w:hAnsi="Times New Roman"/>
                <w:b/>
                <w:sz w:val="20"/>
              </w:rPr>
              <w:t>$2.45</w:t>
            </w:r>
            <w:r>
              <w:rPr/>
              <w:t> </w:t>
            </w:r>
          </w:p>
        </w:tc>
      </w:tr>
      <w:tr>
        <w:trPr/>
        <w:tc>
          <w:tcPr>
            <w:tcW w:w="294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Exercised</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(50,000)</w:t>
            </w:r>
          </w:p>
        </w:tc>
        <w:tc>
          <w:tcPr>
            <w:tcW w:w="245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1.93</w:t>
            </w:r>
            <w:r>
              <w:rPr>
                <w:color w:val="000000"/>
              </w:rPr>
              <w:t> </w:t>
            </w:r>
          </w:p>
        </w:tc>
      </w:tr>
      <w:tr>
        <w:trPr/>
        <w:tc>
          <w:tcPr>
            <w:tcW w:w="294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Expired</w:t>
            </w:r>
          </w:p>
        </w:tc>
        <w:tc>
          <w:tcPr>
            <w:tcW w:w="11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(120,773</w:t>
            </w:r>
            <w:r>
              <w:rPr>
                <w:rFonts w:ascii="Times New Roman" w:hAnsi="Times New Roman"/>
                <w:color w:val="000000"/>
                <w:sz w:val="20"/>
              </w:rPr>
              <w:t>)</w:t>
            </w:r>
          </w:p>
        </w:tc>
        <w:tc>
          <w:tcPr>
            <w:tcW w:w="245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47.30</w:t>
            </w:r>
            <w:r>
              <w:rPr>
                <w:color w:val="000000"/>
              </w:rPr>
              <w:t> </w:t>
            </w:r>
          </w:p>
        </w:tc>
      </w:tr>
      <w:tr>
        <w:trPr/>
        <w:tc>
          <w:tcPr>
            <w:tcW w:w="2945" w:type="dxa"/>
            <w:tcBorders/>
            <w:shd w:fill="FFFFFF"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Outstanding at December 31, 2019</w:t>
            </w:r>
          </w:p>
        </w:tc>
        <w:tc>
          <w:tcPr>
            <w:tcW w:w="1130" w:type="dxa"/>
            <w:tcBorders/>
            <w:shd w:fill="FFFFFF" w:val="clear"/>
            <w:vAlign w:val="center"/>
          </w:tcPr>
          <w:p>
            <w:pPr>
              <w:pStyle w:val="TableContents"/>
              <w:spacing w:before="0" w:after="0"/>
              <w:jc w:val="left"/>
              <w:rPr/>
            </w:pPr>
            <w:r>
              <w:rPr/>
              <w:t>  </w:t>
            </w:r>
            <w:r>
              <w:rPr>
                <w:rFonts w:ascii="Times New Roman" w:hAnsi="Times New Roman"/>
                <w:b/>
                <w:sz w:val="20"/>
              </w:rPr>
              <w:t>10,519,945</w:t>
            </w:r>
            <w:r>
              <w:rPr/>
              <w:t> </w:t>
            </w:r>
          </w:p>
        </w:tc>
        <w:tc>
          <w:tcPr>
            <w:tcW w:w="2450" w:type="dxa"/>
            <w:tcBorders/>
            <w:shd w:fill="FFFFFF" w:val="clear"/>
            <w:vAlign w:val="center"/>
          </w:tcPr>
          <w:p>
            <w:pPr>
              <w:pStyle w:val="TableContents"/>
              <w:spacing w:before="0" w:after="0"/>
              <w:jc w:val="left"/>
              <w:rPr/>
            </w:pPr>
            <w:r>
              <w:rPr/>
              <w:t> </w:t>
            </w:r>
            <w:r>
              <w:rPr>
                <w:rFonts w:ascii="Times New Roman" w:hAnsi="Times New Roman"/>
                <w:b/>
                <w:sz w:val="20"/>
              </w:rPr>
              <w:t>$1.94</w:t>
            </w:r>
            <w:r>
              <w:rPr/>
              <w:t> </w:t>
            </w:r>
          </w:p>
        </w:tc>
      </w:tr>
      <w:tr>
        <w:trPr/>
        <w:tc>
          <w:tcPr>
            <w:tcW w:w="294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Issued</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11,310,480</w:t>
            </w:r>
            <w:r>
              <w:rPr>
                <w:color w:val="000000"/>
              </w:rPr>
              <w:t> </w:t>
            </w:r>
          </w:p>
        </w:tc>
        <w:tc>
          <w:tcPr>
            <w:tcW w:w="245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0.98</w:t>
            </w:r>
            <w:r>
              <w:rPr>
                <w:color w:val="000000"/>
              </w:rPr>
              <w:t> </w:t>
            </w:r>
          </w:p>
        </w:tc>
      </w:tr>
      <w:tr>
        <w:trPr/>
        <w:tc>
          <w:tcPr>
            <w:tcW w:w="294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Exercised</w:t>
            </w:r>
          </w:p>
        </w:tc>
        <w:tc>
          <w:tcPr>
            <w:tcW w:w="11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(877,202)</w:t>
            </w:r>
          </w:p>
        </w:tc>
        <w:tc>
          <w:tcPr>
            <w:tcW w:w="245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1.93</w:t>
            </w:r>
            <w:r>
              <w:rPr>
                <w:color w:val="000000"/>
              </w:rPr>
              <w:t> </w:t>
            </w:r>
          </w:p>
        </w:tc>
      </w:tr>
      <w:tr>
        <w:trPr/>
        <w:tc>
          <w:tcPr>
            <w:tcW w:w="294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Expired</w:t>
            </w:r>
          </w:p>
        </w:tc>
        <w:tc>
          <w:tcPr>
            <w:tcW w:w="11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(4,354,144</w:t>
            </w:r>
            <w:r>
              <w:rPr>
                <w:rFonts w:ascii="Times New Roman" w:hAnsi="Times New Roman"/>
                <w:color w:val="000000"/>
                <w:sz w:val="20"/>
              </w:rPr>
              <w:t>)</w:t>
            </w:r>
          </w:p>
        </w:tc>
        <w:tc>
          <w:tcPr>
            <w:tcW w:w="245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1.93</w:t>
            </w:r>
            <w:r>
              <w:rPr>
                <w:color w:val="000000"/>
              </w:rPr>
              <w:t> </w:t>
            </w:r>
          </w:p>
        </w:tc>
      </w:tr>
      <w:tr>
        <w:trPr/>
        <w:tc>
          <w:tcPr>
            <w:tcW w:w="2945" w:type="dxa"/>
            <w:tcBorders/>
            <w:shd w:fill="FFFFFF"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Outstanding at December 31, 2020</w:t>
            </w:r>
          </w:p>
        </w:tc>
        <w:tc>
          <w:tcPr>
            <w:tcW w:w="1130" w:type="dxa"/>
            <w:tcBorders/>
            <w:shd w:fill="FFFFFF" w:val="clear"/>
            <w:vAlign w:val="center"/>
          </w:tcPr>
          <w:p>
            <w:pPr>
              <w:pStyle w:val="TableContents"/>
              <w:spacing w:before="0" w:after="0"/>
              <w:jc w:val="left"/>
              <w:rPr/>
            </w:pPr>
            <w:r>
              <w:rPr/>
              <w:t>  </w:t>
            </w:r>
            <w:r>
              <w:rPr>
                <w:rFonts w:ascii="Times New Roman" w:hAnsi="Times New Roman"/>
                <w:b/>
                <w:sz w:val="20"/>
              </w:rPr>
              <w:t>16,599,079</w:t>
            </w:r>
            <w:r>
              <w:rPr/>
              <w:t> </w:t>
            </w:r>
          </w:p>
        </w:tc>
        <w:tc>
          <w:tcPr>
            <w:tcW w:w="2450" w:type="dxa"/>
            <w:tcBorders/>
            <w:shd w:fill="FFFFFF" w:val="clear"/>
            <w:vAlign w:val="center"/>
          </w:tcPr>
          <w:p>
            <w:pPr>
              <w:pStyle w:val="TableContents"/>
              <w:spacing w:before="0" w:after="0"/>
              <w:jc w:val="left"/>
              <w:rPr/>
            </w:pPr>
            <w:r>
              <w:rPr/>
              <w:t> </w:t>
            </w:r>
            <w:r>
              <w:rPr>
                <w:rFonts w:ascii="Times New Roman" w:hAnsi="Times New Roman"/>
                <w:b/>
                <w:sz w:val="20"/>
              </w:rPr>
              <w:t>$1.29</w:t>
            </w: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Stock Options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summarizes all options outstanding as of December 31, 2020:</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4" w:name="pgbrk50"/>
      <w:bookmarkStart w:id="365" w:name="pgbrk50"/>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66" w:name="ftr49"/>
      <w:bookmarkEnd w:id="3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7" w:name="pn47"/>
      <w:bookmarkEnd w:id="367"/>
      <w:r>
        <w:rPr>
          <w:rFonts w:ascii="Times New Roman" w:hAnsi="Times New Roman"/>
          <w:sz w:val="20"/>
        </w:rPr>
        <w:t>50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68" w:name="pb49"/>
      <w:bookmarkStart w:id="369" w:name="pb49"/>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70" w:name="hdr50"/>
      <w:bookmarkEnd w:id="3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752"/>
        <w:gridCol w:w="1329"/>
        <w:gridCol w:w="3542"/>
        <w:gridCol w:w="1343"/>
        <w:gridCol w:w="2239"/>
      </w:tblGrid>
      <w:tr>
        <w:trPr/>
        <w:tc>
          <w:tcPr>
            <w:tcW w:w="1752" w:type="dxa"/>
            <w:tcBorders/>
            <w:shd w:fill="auto" w:val="clear"/>
            <w:vAlign w:val="center"/>
          </w:tcPr>
          <w:p>
            <w:pPr>
              <w:pStyle w:val="TableContents"/>
              <w:spacing w:before="0" w:after="0"/>
              <w:jc w:val="left"/>
              <w:rPr/>
            </w:pPr>
            <w:r>
              <w:rPr/>
              <w:t> </w:t>
            </w:r>
          </w:p>
        </w:tc>
        <w:tc>
          <w:tcPr>
            <w:tcW w:w="4871"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Options Outstanding at December 31, 2020</w:t>
            </w:r>
          </w:p>
          <w:p>
            <w:pPr>
              <w:pStyle w:val="TableContents"/>
              <w:spacing w:before="0" w:after="0"/>
              <w:jc w:val="left"/>
              <w:rPr/>
            </w:pPr>
            <w:r>
              <w:rPr/>
              <w:t> </w:t>
            </w:r>
          </w:p>
        </w:tc>
        <w:tc>
          <w:tcPr>
            <w:tcW w:w="3582"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Options Exercisable and Vested at December 31, 2020</w:t>
            </w:r>
          </w:p>
          <w:p>
            <w:pPr>
              <w:pStyle w:val="TableContents"/>
              <w:spacing w:before="0" w:after="0"/>
              <w:jc w:val="left"/>
              <w:rPr/>
            </w:pPr>
            <w:r>
              <w:rPr/>
              <w:t> </w:t>
            </w:r>
          </w:p>
        </w:tc>
      </w:tr>
      <w:tr>
        <w:trPr/>
        <w:tc>
          <w:tcPr>
            <w:tcW w:w="1752"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Exercise Price</w:t>
            </w:r>
          </w:p>
          <w:p>
            <w:pPr>
              <w:pStyle w:val="TableContents"/>
              <w:spacing w:before="0" w:after="0"/>
              <w:jc w:val="left"/>
              <w:rPr/>
            </w:pPr>
            <w:r>
              <w:rPr/>
              <w:t> </w:t>
            </w:r>
          </w:p>
        </w:tc>
        <w:tc>
          <w:tcPr>
            <w:tcW w:w="1329"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Number of Options</w:t>
            </w:r>
          </w:p>
          <w:p>
            <w:pPr>
              <w:pStyle w:val="TableContents"/>
              <w:spacing w:before="0" w:after="0"/>
              <w:jc w:val="left"/>
              <w:rPr/>
            </w:pPr>
            <w:r>
              <w:rPr/>
              <w:t> </w:t>
            </w:r>
          </w:p>
        </w:tc>
        <w:tc>
          <w:tcPr>
            <w:tcW w:w="3542"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Weighted Average Remaining Contractual Life (Years)</w:t>
            </w:r>
          </w:p>
          <w:p>
            <w:pPr>
              <w:pStyle w:val="TableContents"/>
              <w:spacing w:before="0" w:after="0"/>
              <w:jc w:val="left"/>
              <w:rPr/>
            </w:pPr>
            <w:r>
              <w:rPr/>
              <w:t> </w:t>
            </w:r>
          </w:p>
        </w:tc>
        <w:tc>
          <w:tcPr>
            <w:tcW w:w="134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Number of Options</w:t>
            </w:r>
          </w:p>
          <w:p>
            <w:pPr>
              <w:pStyle w:val="TableContents"/>
              <w:spacing w:before="0" w:after="0"/>
              <w:jc w:val="left"/>
              <w:rPr/>
            </w:pPr>
            <w:r>
              <w:rPr/>
              <w:t> </w:t>
            </w:r>
          </w:p>
        </w:tc>
        <w:tc>
          <w:tcPr>
            <w:tcW w:w="2239"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Weighted Average Exercise Price</w:t>
            </w:r>
          </w:p>
          <w:p>
            <w:pPr>
              <w:pStyle w:val="TableContents"/>
              <w:spacing w:before="0" w:after="0"/>
              <w:jc w:val="left"/>
              <w:rPr/>
            </w:pPr>
            <w:r>
              <w:rPr/>
              <w:t> </w:t>
            </w:r>
          </w:p>
        </w:tc>
      </w:tr>
      <w:tr>
        <w:trPr/>
        <w:tc>
          <w:tcPr>
            <w:tcW w:w="175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$0.66 to $6.23</w:t>
            </w:r>
            <w:r>
              <w:rPr>
                <w:color w:val="000000"/>
              </w:rPr>
              <w:t> </w:t>
            </w:r>
          </w:p>
        </w:tc>
        <w:tc>
          <w:tcPr>
            <w:tcW w:w="132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396,500</w:t>
            </w:r>
            <w:r>
              <w:rPr>
                <w:color w:val="000000"/>
              </w:rPr>
              <w:t> </w:t>
            </w:r>
          </w:p>
        </w:tc>
        <w:tc>
          <w:tcPr>
            <w:tcW w:w="354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8.2</w:t>
            </w:r>
            <w:r>
              <w:rPr>
                <w:color w:val="000000"/>
              </w:rPr>
              <w:t> </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30,500</w:t>
            </w:r>
            <w:r>
              <w:rPr>
                <w:color w:val="000000"/>
              </w:rPr>
              <w:t> </w:t>
            </w:r>
          </w:p>
        </w:tc>
        <w:tc>
          <w:tcPr>
            <w:tcW w:w="223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$5.75</w:t>
            </w:r>
            <w:r>
              <w:rPr>
                <w:color w:val="000000"/>
              </w:rPr>
              <w:t> </w:t>
            </w:r>
          </w:p>
        </w:tc>
      </w:tr>
      <w:tr>
        <w:trPr/>
        <w:tc>
          <w:tcPr>
            <w:tcW w:w="1752"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$10.60 to $41.40</w:t>
            </w:r>
            <w:r>
              <w:rPr>
                <w:color w:val="000000"/>
              </w:rPr>
              <w:t> </w:t>
            </w:r>
          </w:p>
        </w:tc>
        <w:tc>
          <w:tcPr>
            <w:tcW w:w="132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32,500</w:t>
            </w:r>
            <w:r>
              <w:rPr>
                <w:color w:val="000000"/>
              </w:rPr>
              <w:t> </w:t>
            </w:r>
          </w:p>
        </w:tc>
        <w:tc>
          <w:tcPr>
            <w:tcW w:w="3542"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6.1</w:t>
            </w:r>
            <w:r>
              <w:rPr>
                <w:color w:val="000000"/>
              </w:rPr>
              <w:t> </w:t>
            </w:r>
          </w:p>
        </w:tc>
        <w:tc>
          <w:tcPr>
            <w:tcW w:w="134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32,500</w:t>
            </w:r>
            <w:r>
              <w:rPr>
                <w:color w:val="000000"/>
              </w:rPr>
              <w:t> </w:t>
            </w:r>
          </w:p>
        </w:tc>
        <w:tc>
          <w:tcPr>
            <w:tcW w:w="223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$29.26</w:t>
            </w:r>
            <w:r>
              <w:rPr>
                <w:color w:val="000000"/>
              </w:rPr>
              <w:t> </w:t>
            </w:r>
          </w:p>
        </w:tc>
      </w:tr>
      <w:tr>
        <w:trPr/>
        <w:tc>
          <w:tcPr>
            <w:tcW w:w="175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$54.40 to $96.40</w:t>
            </w:r>
            <w:r>
              <w:rPr>
                <w:color w:val="000000"/>
              </w:rPr>
              <w:t> </w:t>
            </w:r>
          </w:p>
        </w:tc>
        <w:tc>
          <w:tcPr>
            <w:tcW w:w="132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20,751</w:t>
            </w:r>
            <w:r>
              <w:rPr>
                <w:color w:val="000000"/>
              </w:rPr>
              <w:t> </w:t>
            </w:r>
          </w:p>
        </w:tc>
        <w:tc>
          <w:tcPr>
            <w:tcW w:w="354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4.5</w:t>
            </w:r>
            <w:r>
              <w:rPr>
                <w:color w:val="000000"/>
              </w:rPr>
              <w:t> </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20,751</w:t>
            </w:r>
            <w:r>
              <w:rPr>
                <w:color w:val="000000"/>
              </w:rPr>
              <w:t> </w:t>
            </w:r>
          </w:p>
        </w:tc>
        <w:tc>
          <w:tcPr>
            <w:tcW w:w="223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$70.13</w:t>
            </w:r>
            <w:r>
              <w:rPr>
                <w:color w:val="000000"/>
              </w:rPr>
              <w:t> </w:t>
            </w:r>
          </w:p>
        </w:tc>
      </w:tr>
      <w:tr>
        <w:trPr/>
        <w:tc>
          <w:tcPr>
            <w:tcW w:w="1752"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$113.00 to $1,188.00</w:t>
            </w:r>
            <w:r>
              <w:rPr>
                <w:color w:val="000000"/>
              </w:rPr>
              <w:t> </w:t>
            </w:r>
          </w:p>
        </w:tc>
        <w:tc>
          <w:tcPr>
            <w:tcW w:w="1329"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1,397</w:t>
            </w:r>
            <w:r>
              <w:rPr>
                <w:color w:val="000000"/>
              </w:rPr>
              <w:t> </w:t>
            </w:r>
          </w:p>
        </w:tc>
        <w:tc>
          <w:tcPr>
            <w:tcW w:w="3542"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3.0</w:t>
            </w:r>
            <w:r>
              <w:rPr>
                <w:color w:val="000000"/>
              </w:rPr>
              <w:t> </w:t>
            </w:r>
          </w:p>
        </w:tc>
        <w:tc>
          <w:tcPr>
            <w:tcW w:w="134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1,397</w:t>
            </w:r>
            <w:r>
              <w:rPr>
                <w:color w:val="000000"/>
              </w:rPr>
              <w:t> </w:t>
            </w:r>
          </w:p>
        </w:tc>
        <w:tc>
          <w:tcPr>
            <w:tcW w:w="2239"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$178.14</w:t>
            </w:r>
            <w:r>
              <w:rPr>
                <w:color w:val="000000"/>
              </w:rPr>
              <w:t> </w:t>
            </w:r>
          </w:p>
        </w:tc>
      </w:tr>
      <w:tr>
        <w:trPr/>
        <w:tc>
          <w:tcPr>
            <w:tcW w:w="1752" w:type="dxa"/>
            <w:tcBorders/>
            <w:shd w:fill="CCEEFF" w:val="clear"/>
            <w:vAlign w:val="center"/>
          </w:tcPr>
          <w:p>
            <w:pPr>
              <w:pStyle w:val="TableContents"/>
              <w:spacing w:before="0" w:after="0"/>
              <w:ind w:left="0" w:right="0" w:hanging="0"/>
              <w:rPr/>
            </w:pPr>
            <w:r>
              <w:rPr/>
              <w:t> </w:t>
            </w:r>
          </w:p>
        </w:tc>
        <w:tc>
          <w:tcPr>
            <w:tcW w:w="132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451,148</w:t>
            </w:r>
            <w:r>
              <w:rPr>
                <w:color w:val="000000"/>
              </w:rPr>
              <w:t> </w:t>
            </w:r>
          </w:p>
        </w:tc>
        <w:tc>
          <w:tcPr>
            <w:tcW w:w="3542"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7.9</w:t>
            </w:r>
            <w:r>
              <w:rPr>
                <w:color w:val="000000"/>
              </w:rPr>
              <w:t> </w:t>
            </w:r>
          </w:p>
        </w:tc>
        <w:tc>
          <w:tcPr>
            <w:tcW w:w="134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85,148</w:t>
            </w:r>
            <w:r>
              <w:rPr>
                <w:color w:val="000000"/>
              </w:rPr>
              <w:t> </w:t>
            </w:r>
          </w:p>
        </w:tc>
        <w:tc>
          <w:tcPr>
            <w:tcW w:w="2239"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$33.24</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summarizes options outstanding that have vested and are expected to vest based on options outstanding as of December 31, 2020:</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132"/>
        <w:gridCol w:w="1533"/>
        <w:gridCol w:w="1840"/>
        <w:gridCol w:w="1725"/>
        <w:gridCol w:w="2975"/>
      </w:tblGrid>
      <w:tr>
        <w:trPr/>
        <w:tc>
          <w:tcPr>
            <w:tcW w:w="2132" w:type="dxa"/>
            <w:tcBorders/>
            <w:shd w:fill="auto" w:val="clear"/>
            <w:vAlign w:val="center"/>
          </w:tcPr>
          <w:p>
            <w:pPr>
              <w:pStyle w:val="TableContents"/>
              <w:spacing w:before="0" w:after="0"/>
              <w:ind w:left="0" w:right="0" w:hanging="0"/>
              <w:rPr/>
            </w:pPr>
            <w:r>
              <w:rPr/>
              <w:t> </w:t>
            </w:r>
          </w:p>
        </w:tc>
        <w:tc>
          <w:tcPr>
            <w:tcW w:w="153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Number of Option Shares</w:t>
            </w:r>
          </w:p>
          <w:p>
            <w:pPr>
              <w:pStyle w:val="TableContents"/>
              <w:spacing w:before="0" w:after="0"/>
              <w:jc w:val="left"/>
              <w:rPr/>
            </w:pPr>
            <w:r>
              <w:rPr/>
              <w:t> </w:t>
            </w:r>
          </w:p>
        </w:tc>
        <w:tc>
          <w:tcPr>
            <w:tcW w:w="184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Weighted Average Exercise Price</w:t>
            </w:r>
          </w:p>
          <w:p>
            <w:pPr>
              <w:pStyle w:val="TableContents"/>
              <w:spacing w:before="0" w:after="0"/>
              <w:jc w:val="left"/>
              <w:rPr/>
            </w:pPr>
            <w:r>
              <w:rPr/>
              <w:t> </w:t>
            </w:r>
          </w:p>
        </w:tc>
        <w:tc>
          <w:tcPr>
            <w:tcW w:w="172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Aggregate Intrinsic Value (1)</w:t>
            </w:r>
          </w:p>
          <w:p>
            <w:pPr>
              <w:pStyle w:val="TableContents"/>
              <w:spacing w:before="0" w:after="0"/>
              <w:jc w:val="left"/>
              <w:rPr/>
            </w:pPr>
            <w:r>
              <w:rPr/>
              <w:t> </w:t>
            </w:r>
          </w:p>
        </w:tc>
        <w:tc>
          <w:tcPr>
            <w:tcW w:w="297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Weighted Average Remaining Contractual Life (Years)</w:t>
            </w:r>
          </w:p>
          <w:p>
            <w:pPr>
              <w:pStyle w:val="TableContents"/>
              <w:spacing w:before="0" w:after="0"/>
              <w:jc w:val="left"/>
              <w:rPr/>
            </w:pPr>
            <w:r>
              <w:rPr/>
              <w:t> </w:t>
            </w:r>
          </w:p>
        </w:tc>
      </w:tr>
      <w:tr>
        <w:trPr/>
        <w:tc>
          <w:tcPr>
            <w:tcW w:w="2132"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Vested</w:t>
            </w:r>
          </w:p>
        </w:tc>
        <w:tc>
          <w:tcPr>
            <w:tcW w:w="153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85,148</w:t>
            </w:r>
            <w:r>
              <w:rPr>
                <w:color w:val="000000"/>
              </w:rPr>
              <w:t> </w:t>
            </w:r>
          </w:p>
        </w:tc>
        <w:tc>
          <w:tcPr>
            <w:tcW w:w="184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$33.24</w:t>
            </w:r>
            <w:r>
              <w:rPr>
                <w:color w:val="000000"/>
              </w:rPr>
              <w:t> </w:t>
            </w:r>
          </w:p>
        </w:tc>
        <w:tc>
          <w:tcPr>
            <w:tcW w:w="172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$350</w:t>
            </w:r>
            <w:r>
              <w:rPr>
                <w:color w:val="000000"/>
              </w:rPr>
              <w:t> </w:t>
            </w:r>
          </w:p>
        </w:tc>
        <w:tc>
          <w:tcPr>
            <w:tcW w:w="297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6.1</w:t>
            </w:r>
            <w:r>
              <w:rPr>
                <w:color w:val="000000"/>
              </w:rPr>
              <w:t> </w:t>
            </w:r>
          </w:p>
        </w:tc>
      </w:tr>
      <w:tr>
        <w:trPr/>
        <w:tc>
          <w:tcPr>
            <w:tcW w:w="2132"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Vested and expected to vest</w:t>
            </w:r>
          </w:p>
        </w:tc>
        <w:tc>
          <w:tcPr>
            <w:tcW w:w="153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410,888</w:t>
            </w:r>
            <w:r>
              <w:rPr>
                <w:color w:val="000000"/>
              </w:rPr>
              <w:t> </w:t>
            </w:r>
          </w:p>
        </w:tc>
        <w:tc>
          <w:tcPr>
            <w:tcW w:w="184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$8.09</w:t>
            </w:r>
            <w:r>
              <w:rPr>
                <w:color w:val="000000"/>
              </w:rPr>
              <w:t> </w:t>
            </w:r>
          </w:p>
        </w:tc>
        <w:tc>
          <w:tcPr>
            <w:tcW w:w="172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$207,747</w:t>
            </w:r>
            <w:r>
              <w:rPr>
                <w:color w:val="000000"/>
              </w:rPr>
              <w:t> </w:t>
            </w:r>
          </w:p>
        </w:tc>
        <w:tc>
          <w:tcPr>
            <w:tcW w:w="297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7.8</w:t>
            </w:r>
            <w:r>
              <w:rPr>
                <w:color w:val="000000"/>
              </w:rPr>
              <w:t> </w:t>
            </w:r>
          </w:p>
        </w:tc>
      </w:tr>
    </w:tbl>
    <w:p>
      <w:pPr>
        <w:pStyle w:val="TextBody"/>
        <w:spacing w:before="0" w:after="0"/>
        <w:ind w:left="0" w:right="0" w:hanging="0"/>
        <w:jc w:val="both"/>
        <w:rPr/>
      </w:pPr>
      <w:r>
        <w:rPr/>
        <w:t> </w:t>
      </w:r>
    </w:p>
    <w:tbl>
      <w:tblPr>
        <w:tblW w:w="9845" w:type="dxa"/>
        <w:jc w:val="left"/>
        <w:tblInd w:w="360" w:type="dxa"/>
        <w:tblCellMar>
          <w:top w:w="0" w:type="dxa"/>
          <w:left w:w="0" w:type="dxa"/>
          <w:bottom w:w="0" w:type="dxa"/>
          <w:right w:w="0" w:type="dxa"/>
        </w:tblCellMar>
      </w:tblPr>
      <w:tblGrid>
        <w:gridCol w:w="229"/>
        <w:gridCol w:w="9616"/>
      </w:tblGrid>
      <w:tr>
        <w:trPr/>
        <w:tc>
          <w:tcPr>
            <w:tcW w:w="229"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p>
            <w:pPr>
              <w:pStyle w:val="TableContents"/>
              <w:spacing w:before="0" w:after="0"/>
              <w:ind w:left="0" w:right="0" w:hanging="0"/>
              <w:jc w:val="both"/>
              <w:rPr/>
            </w:pPr>
            <w:r>
              <w:rPr/>
              <w:t> </w:t>
            </w:r>
          </w:p>
        </w:tc>
        <w:tc>
          <w:tcPr>
            <w:tcW w:w="96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Amount represents the difference between the exercise price and $1.86, the closing price of Tenax Therapeutics’ stock on December 31, 2020, as reported on the Nasdaq Capital Market, for all in-the-money options outstanding.</w:t>
            </w:r>
          </w:p>
        </w:tc>
      </w:tr>
    </w:tbl>
    <w:p>
      <w:pPr>
        <w:pStyle w:val="TextBody"/>
        <w:spacing w:before="0" w:after="0"/>
        <w:ind w:left="360" w:right="0" w:hanging="0"/>
        <w:rPr/>
      </w:pPr>
      <w:r>
        <w:rPr/>
        <w:t> </w:t>
      </w:r>
    </w:p>
    <w:p>
      <w:pPr>
        <w:pStyle w:val="TextBody"/>
        <w:spacing w:before="0" w:after="0"/>
        <w:rPr>
          <w:rFonts w:ascii="Times New Roman" w:hAnsi="Times New Roman"/>
          <w:i/>
          <w:sz w:val="20"/>
        </w:rPr>
      </w:pPr>
      <w:r>
        <w:rPr>
          <w:rFonts w:ascii="Times New Roman" w:hAnsi="Times New Roman"/>
          <w:i/>
          <w:sz w:val="20"/>
        </w:rPr>
        <w:t>2016 Stock Incentive Plan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June 2016, the Company adopted the 2016 Stock Incentive Plan (the “2016 Plan”).  Under the 2016 Plan, with the approval of the Compensation Committee of the Board of Directors,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summarizes the shares available for grant under the Plan for the years ended December 31, 2020 and 2019:</w:t>
      </w:r>
    </w:p>
    <w:p>
      <w:pPr>
        <w:pStyle w:val="TextBody"/>
        <w:spacing w:before="0" w:after="0"/>
        <w:rPr/>
      </w:pPr>
      <w:r>
        <w:rPr/>
        <w:t> </w:t>
      </w:r>
    </w:p>
    <w:tbl>
      <w:tblPr>
        <w:tblW w:w="5095" w:type="dxa"/>
        <w:jc w:val="left"/>
        <w:tblInd w:w="0" w:type="dxa"/>
        <w:tblCellMar>
          <w:top w:w="0" w:type="dxa"/>
          <w:left w:w="0" w:type="dxa"/>
          <w:bottom w:w="0" w:type="dxa"/>
          <w:right w:w="0" w:type="dxa"/>
        </w:tblCellMar>
      </w:tblPr>
      <w:tblGrid>
        <w:gridCol w:w="3080"/>
        <w:gridCol w:w="2015"/>
      </w:tblGrid>
      <w:tr>
        <w:trPr/>
        <w:tc>
          <w:tcPr>
            <w:tcW w:w="3080" w:type="dxa"/>
            <w:tcBorders/>
            <w:shd w:fill="auto" w:val="clear"/>
            <w:vAlign w:val="center"/>
          </w:tcPr>
          <w:p>
            <w:pPr>
              <w:pStyle w:val="TableContents"/>
              <w:spacing w:before="0" w:after="0"/>
              <w:ind w:left="0" w:right="0" w:hanging="0"/>
              <w:rPr/>
            </w:pPr>
            <w:r>
              <w:rPr/>
              <w:t> </w:t>
            </w:r>
          </w:p>
        </w:tc>
        <w:tc>
          <w:tcPr>
            <w:tcW w:w="20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Shares Available for Grant</w:t>
            </w:r>
          </w:p>
          <w:p>
            <w:pPr>
              <w:pStyle w:val="TableContents"/>
              <w:spacing w:before="0" w:after="0"/>
              <w:jc w:val="left"/>
              <w:rPr/>
            </w:pPr>
            <w:r>
              <w:rPr/>
              <w:t> </w:t>
            </w:r>
          </w:p>
        </w:tc>
      </w:tr>
      <w:tr>
        <w:trPr/>
        <w:tc>
          <w:tcPr>
            <w:tcW w:w="3080" w:type="dxa"/>
            <w:tcBorders/>
            <w:shd w:fill="CCEE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2018</w:t>
            </w:r>
          </w:p>
        </w:tc>
        <w:tc>
          <w:tcPr>
            <w:tcW w:w="20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100,000</w:t>
            </w:r>
            <w:r>
              <w:rPr>
                <w:color w:val="000000"/>
              </w:rPr>
              <w:t> </w:t>
            </w:r>
          </w:p>
        </w:tc>
      </w:tr>
      <w:tr>
        <w:trPr/>
        <w:tc>
          <w:tcPr>
            <w:tcW w:w="3080"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Additional shares reserved</w:t>
            </w:r>
          </w:p>
        </w:tc>
        <w:tc>
          <w:tcPr>
            <w:tcW w:w="201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600,000</w:t>
            </w:r>
            <w:r>
              <w:rPr>
                <w:color w:val="000000"/>
              </w:rPr>
              <w:t> </w:t>
            </w:r>
          </w:p>
        </w:tc>
      </w:tr>
      <w:tr>
        <w:trPr/>
        <w:tc>
          <w:tcPr>
            <w:tcW w:w="3080"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Options granted</w:t>
            </w:r>
          </w:p>
        </w:tc>
        <w:tc>
          <w:tcPr>
            <w:tcW w:w="201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(2,500</w:t>
            </w:r>
            <w:r>
              <w:rPr>
                <w:rFonts w:ascii="Times New Roman" w:hAnsi="Times New Roman"/>
                <w:color w:val="000000"/>
                <w:sz w:val="20"/>
              </w:rPr>
              <w:t>)</w:t>
            </w:r>
          </w:p>
        </w:tc>
      </w:tr>
      <w:tr>
        <w:trPr/>
        <w:tc>
          <w:tcPr>
            <w:tcW w:w="3080" w:type="dxa"/>
            <w:tcBorders/>
            <w:shd w:fill="FFFF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2019</w:t>
            </w:r>
          </w:p>
        </w:tc>
        <w:tc>
          <w:tcPr>
            <w:tcW w:w="201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697,500</w:t>
            </w:r>
            <w:r>
              <w:rPr>
                <w:color w:val="000000"/>
              </w:rPr>
              <w:t> </w:t>
            </w:r>
          </w:p>
        </w:tc>
      </w:tr>
      <w:tr>
        <w:trPr/>
        <w:tc>
          <w:tcPr>
            <w:tcW w:w="3080"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Options granted</w:t>
            </w:r>
          </w:p>
        </w:tc>
        <w:tc>
          <w:tcPr>
            <w:tcW w:w="201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(341,000</w:t>
            </w:r>
            <w:r>
              <w:rPr>
                <w:rFonts w:ascii="Times New Roman" w:hAnsi="Times New Roman"/>
                <w:color w:val="000000"/>
                <w:sz w:val="20"/>
              </w:rPr>
              <w:t>)</w:t>
            </w:r>
          </w:p>
        </w:tc>
      </w:tr>
      <w:tr>
        <w:trPr/>
        <w:tc>
          <w:tcPr>
            <w:tcW w:w="3080" w:type="dxa"/>
            <w:tcBorders/>
            <w:shd w:fill="FFFF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2020</w:t>
            </w:r>
          </w:p>
        </w:tc>
        <w:tc>
          <w:tcPr>
            <w:tcW w:w="201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356,500</w:t>
            </w:r>
            <w:r>
              <w:rPr>
                <w:color w:val="000000"/>
              </w:rPr>
              <w:t> </w:t>
            </w:r>
          </w:p>
        </w:tc>
      </w:tr>
    </w:tbl>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1" w:name="pgbrk51"/>
      <w:bookmarkStart w:id="372" w:name="pgbrk51"/>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73" w:name="ftr50"/>
      <w:bookmarkEnd w:id="3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4" w:name="pn48"/>
      <w:bookmarkEnd w:id="374"/>
      <w:r>
        <w:rPr>
          <w:rFonts w:ascii="Times New Roman" w:hAnsi="Times New Roman"/>
          <w:sz w:val="20"/>
        </w:rPr>
        <w:t>51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75" w:name="pb50"/>
      <w:bookmarkStart w:id="376" w:name="pb50"/>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77" w:name="hdr51"/>
      <w:bookmarkEnd w:id="3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2016 Plan Stock Options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The following table summarizes the outstanding stock options under the 2016 Plan</w:t>
      </w:r>
      <w:r>
        <w:rPr>
          <w:rFonts w:ascii="Times New Roman" w:hAnsi="Times New Roman"/>
          <w:sz w:val="20"/>
        </w:rPr>
        <w:t xml:space="preserve"> for the years ended December 31, 2020 and 2019:</w:t>
      </w:r>
    </w:p>
    <w:p>
      <w:pPr>
        <w:pStyle w:val="TextBody"/>
        <w:spacing w:before="0" w:after="0"/>
        <w:rPr/>
      </w:pPr>
      <w:r>
        <w:rPr/>
        <w:t> </w:t>
      </w:r>
    </w:p>
    <w:tbl>
      <w:tblPr>
        <w:tblW w:w="9665" w:type="dxa"/>
        <w:jc w:val="left"/>
        <w:tblInd w:w="0" w:type="dxa"/>
        <w:tblCellMar>
          <w:top w:w="0" w:type="dxa"/>
          <w:left w:w="0" w:type="dxa"/>
          <w:bottom w:w="0" w:type="dxa"/>
          <w:right w:w="0" w:type="dxa"/>
        </w:tblCellMar>
      </w:tblPr>
      <w:tblGrid>
        <w:gridCol w:w="3035"/>
        <w:gridCol w:w="1535"/>
        <w:gridCol w:w="2870"/>
        <w:gridCol w:w="2225"/>
      </w:tblGrid>
      <w:tr>
        <w:trPr/>
        <w:tc>
          <w:tcPr>
            <w:tcW w:w="3035" w:type="dxa"/>
            <w:tcBorders/>
            <w:shd w:fill="auto" w:val="clear"/>
            <w:vAlign w:val="center"/>
          </w:tcPr>
          <w:p>
            <w:pPr>
              <w:pStyle w:val="TableContents"/>
              <w:spacing w:before="0" w:after="0"/>
              <w:ind w:left="0" w:right="0" w:hanging="0"/>
              <w:rPr/>
            </w:pPr>
            <w:r>
              <w:rPr/>
              <w:t> </w:t>
            </w:r>
          </w:p>
        </w:tc>
        <w:tc>
          <w:tcPr>
            <w:tcW w:w="4405"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Outstanding Options</w:t>
            </w:r>
          </w:p>
          <w:p>
            <w:pPr>
              <w:pStyle w:val="TableContents"/>
              <w:spacing w:before="0" w:after="0"/>
              <w:jc w:val="left"/>
              <w:rPr/>
            </w:pPr>
            <w:r>
              <w:rPr/>
              <w:t> </w:t>
            </w:r>
          </w:p>
        </w:tc>
        <w:tc>
          <w:tcPr>
            <w:tcW w:w="222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35" w:type="dxa"/>
            <w:tcBorders/>
            <w:shd w:fill="auto" w:val="clear"/>
            <w:vAlign w:val="center"/>
          </w:tcPr>
          <w:p>
            <w:pPr>
              <w:pStyle w:val="TableContents"/>
              <w:spacing w:before="0" w:after="0"/>
              <w:ind w:left="0" w:right="0" w:hanging="0"/>
              <w:rPr/>
            </w:pPr>
            <w:r>
              <w:rPr/>
              <w:t> </w:t>
            </w:r>
          </w:p>
        </w:tc>
        <w:tc>
          <w:tcPr>
            <w:tcW w:w="15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Number of Shares</w:t>
            </w:r>
          </w:p>
          <w:p>
            <w:pPr>
              <w:pStyle w:val="TableContents"/>
              <w:spacing w:before="0" w:after="0"/>
              <w:jc w:val="left"/>
              <w:rPr/>
            </w:pPr>
            <w:r>
              <w:rPr/>
              <w:t> </w:t>
            </w:r>
          </w:p>
        </w:tc>
        <w:tc>
          <w:tcPr>
            <w:tcW w:w="287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Weighted Average Exercise Price</w:t>
            </w:r>
          </w:p>
          <w:p>
            <w:pPr>
              <w:pStyle w:val="TableContents"/>
              <w:spacing w:before="0" w:after="0"/>
              <w:jc w:val="left"/>
              <w:rPr/>
            </w:pPr>
            <w:r>
              <w:rPr/>
              <w:t> </w:t>
            </w:r>
          </w:p>
        </w:tc>
        <w:tc>
          <w:tcPr>
            <w:tcW w:w="222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Aggregate Intrinsic Value</w:t>
            </w:r>
          </w:p>
          <w:p>
            <w:pPr>
              <w:pStyle w:val="TableContents"/>
              <w:spacing w:before="0" w:after="0"/>
              <w:jc w:val="left"/>
              <w:rPr/>
            </w:pPr>
            <w:r>
              <w:rPr/>
              <w:t> </w:t>
            </w:r>
          </w:p>
        </w:tc>
      </w:tr>
      <w:tr>
        <w:trPr/>
        <w:tc>
          <w:tcPr>
            <w:tcW w:w="3035" w:type="dxa"/>
            <w:tcBorders/>
            <w:shd w:fill="CCEE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2018</w:t>
            </w:r>
          </w:p>
        </w:tc>
        <w:tc>
          <w:tcPr>
            <w:tcW w:w="15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50,000</w:t>
            </w:r>
            <w:r>
              <w:rPr>
                <w:color w:val="000000"/>
              </w:rPr>
              <w:t> </w:t>
            </w:r>
          </w:p>
        </w:tc>
        <w:tc>
          <w:tcPr>
            <w:tcW w:w="28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$6.10</w:t>
            </w:r>
            <w:r>
              <w:rPr>
                <w:color w:val="000000"/>
              </w:rPr>
              <w:t> </w:t>
            </w:r>
          </w:p>
        </w:tc>
        <w:tc>
          <w:tcPr>
            <w:tcW w:w="2225" w:type="dxa"/>
            <w:tcBorders/>
            <w:shd w:fill="CCEEFF" w:val="clear"/>
            <w:vAlign w:val="center"/>
          </w:tcPr>
          <w:p>
            <w:pPr>
              <w:pStyle w:val="TableContents"/>
              <w:spacing w:before="0" w:after="0"/>
              <w:jc w:val="left"/>
              <w:rPr/>
            </w:pPr>
            <w:r>
              <w:rPr/>
              <w:t>    </w:t>
            </w:r>
          </w:p>
        </w:tc>
      </w:tr>
      <w:tr>
        <w:trPr/>
        <w:tc>
          <w:tcPr>
            <w:tcW w:w="303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Options granted</w:t>
            </w:r>
          </w:p>
        </w:tc>
        <w:tc>
          <w:tcPr>
            <w:tcW w:w="153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2,500</w:t>
            </w:r>
            <w:r>
              <w:rPr>
                <w:color w:val="000000"/>
              </w:rPr>
              <w:t> </w:t>
            </w:r>
          </w:p>
        </w:tc>
        <w:tc>
          <w:tcPr>
            <w:tcW w:w="287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$1.72</w:t>
            </w:r>
            <w:r>
              <w:rPr>
                <w:color w:val="000000"/>
              </w:rPr>
              <w:t> </w:t>
            </w:r>
          </w:p>
        </w:tc>
        <w:tc>
          <w:tcPr>
            <w:tcW w:w="2225" w:type="dxa"/>
            <w:tcBorders/>
            <w:shd w:fill="FFFFFF" w:val="clear"/>
            <w:vAlign w:val="center"/>
          </w:tcPr>
          <w:p>
            <w:pPr>
              <w:pStyle w:val="TableContents"/>
              <w:spacing w:before="0" w:after="0"/>
              <w:jc w:val="left"/>
              <w:rPr/>
            </w:pPr>
            <w:r>
              <w:rPr/>
              <w:t>    </w:t>
            </w:r>
          </w:p>
        </w:tc>
      </w:tr>
      <w:tr>
        <w:trPr/>
        <w:tc>
          <w:tcPr>
            <w:tcW w:w="3035" w:type="dxa"/>
            <w:tcBorders/>
            <w:shd w:fill="CCEE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2019</w:t>
            </w:r>
          </w:p>
        </w:tc>
        <w:tc>
          <w:tcPr>
            <w:tcW w:w="15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52,500</w:t>
            </w:r>
            <w:r>
              <w:rPr>
                <w:color w:val="000000"/>
              </w:rPr>
              <w:t> </w:t>
            </w:r>
          </w:p>
        </w:tc>
        <w:tc>
          <w:tcPr>
            <w:tcW w:w="28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$5.89</w:t>
            </w:r>
            <w:r>
              <w:rPr>
                <w:color w:val="000000"/>
              </w:rPr>
              <w:t> </w:t>
            </w:r>
          </w:p>
        </w:tc>
        <w:tc>
          <w:tcPr>
            <w:tcW w:w="2225" w:type="dxa"/>
            <w:tcBorders/>
            <w:shd w:fill="CCEEFF" w:val="clear"/>
            <w:vAlign w:val="center"/>
          </w:tcPr>
          <w:p>
            <w:pPr>
              <w:pStyle w:val="TableContents"/>
              <w:spacing w:before="0" w:after="0"/>
              <w:jc w:val="left"/>
              <w:rPr/>
            </w:pPr>
            <w:r>
              <w:rPr/>
              <w:t>    </w:t>
            </w:r>
          </w:p>
        </w:tc>
      </w:tr>
      <w:tr>
        <w:trPr/>
        <w:tc>
          <w:tcPr>
            <w:tcW w:w="303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Options granted</w:t>
            </w:r>
          </w:p>
        </w:tc>
        <w:tc>
          <w:tcPr>
            <w:tcW w:w="153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341,000</w:t>
            </w:r>
            <w:r>
              <w:rPr>
                <w:color w:val="000000"/>
              </w:rPr>
              <w:t> </w:t>
            </w:r>
          </w:p>
        </w:tc>
        <w:tc>
          <w:tcPr>
            <w:tcW w:w="287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$1.18</w:t>
            </w:r>
            <w:r>
              <w:rPr>
                <w:color w:val="000000"/>
              </w:rPr>
              <w:t> </w:t>
            </w:r>
          </w:p>
        </w:tc>
        <w:tc>
          <w:tcPr>
            <w:tcW w:w="2225" w:type="dxa"/>
            <w:tcBorders/>
            <w:shd w:fill="FFFFFF" w:val="clear"/>
            <w:vAlign w:val="center"/>
          </w:tcPr>
          <w:p>
            <w:pPr>
              <w:pStyle w:val="TableContents"/>
              <w:spacing w:before="0" w:after="0"/>
              <w:jc w:val="left"/>
              <w:rPr/>
            </w:pPr>
            <w:r>
              <w:rPr/>
              <w:t>    </w:t>
            </w:r>
          </w:p>
        </w:tc>
      </w:tr>
      <w:tr>
        <w:trPr/>
        <w:tc>
          <w:tcPr>
            <w:tcW w:w="3035" w:type="dxa"/>
            <w:tcBorders/>
            <w:shd w:fill="CCEE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2020</w:t>
            </w:r>
          </w:p>
        </w:tc>
        <w:tc>
          <w:tcPr>
            <w:tcW w:w="15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393,500</w:t>
            </w:r>
            <w:r>
              <w:rPr>
                <w:color w:val="000000"/>
              </w:rPr>
              <w:t> </w:t>
            </w:r>
          </w:p>
        </w:tc>
        <w:tc>
          <w:tcPr>
            <w:tcW w:w="287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$1.81</w:t>
            </w:r>
            <w:r>
              <w:rPr>
                <w:color w:val="000000"/>
              </w:rPr>
              <w:t> </w:t>
            </w:r>
          </w:p>
        </w:tc>
        <w:tc>
          <w:tcPr>
            <w:tcW w:w="222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$233,380 (1)</w:t>
            </w:r>
          </w:p>
        </w:tc>
      </w:tr>
    </w:tbl>
    <w:p>
      <w:pPr>
        <w:pStyle w:val="TextBody"/>
        <w:spacing w:before="0" w:after="0"/>
        <w:ind w:left="0" w:right="0" w:hanging="0"/>
        <w:jc w:val="both"/>
        <w:rPr/>
      </w:pPr>
      <w:r>
        <w:rPr/>
        <w:t> </w:t>
      </w:r>
    </w:p>
    <w:tbl>
      <w:tblPr>
        <w:tblW w:w="9845" w:type="dxa"/>
        <w:jc w:val="left"/>
        <w:tblInd w:w="360" w:type="dxa"/>
        <w:tblCellMar>
          <w:top w:w="0" w:type="dxa"/>
          <w:left w:w="0" w:type="dxa"/>
          <w:bottom w:w="0" w:type="dxa"/>
          <w:right w:w="0" w:type="dxa"/>
        </w:tblCellMar>
      </w:tblPr>
      <w:tblGrid>
        <w:gridCol w:w="229"/>
        <w:gridCol w:w="9616"/>
      </w:tblGrid>
      <w:tr>
        <w:trPr/>
        <w:tc>
          <w:tcPr>
            <w:tcW w:w="229"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p>
            <w:pPr>
              <w:pStyle w:val="TableContents"/>
              <w:spacing w:before="0" w:after="0"/>
              <w:ind w:left="0" w:right="0" w:hanging="0"/>
              <w:jc w:val="both"/>
              <w:rPr/>
            </w:pPr>
            <w:r>
              <w:rPr/>
              <w:t> </w:t>
            </w:r>
          </w:p>
        </w:tc>
        <w:tc>
          <w:tcPr>
            <w:tcW w:w="96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Amount represents the difference between the exercise price and $1.86, the closing price of Tenax Therapeutics’ stock on December 31, 2020, as reported on the Nasdaq Capital Market, for all in-the-money options outstanding.</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chose the “straight-line” attribution method for allocating compensation costs of each stock option over the requisite service period using the Black-Scholes Option Pricing Model to calculate the grant date fair value.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used the following assumptions to estimate the fair value of options granted under the 2016 Plan for the years ended December 31, 2020 and 2019:</w:t>
      </w:r>
    </w:p>
    <w:p>
      <w:pPr>
        <w:pStyle w:val="TextBody"/>
        <w:spacing w:before="0" w:after="0"/>
        <w:rPr/>
      </w:pPr>
      <w:r>
        <w:rPr/>
        <w:t> </w:t>
      </w:r>
    </w:p>
    <w:tbl>
      <w:tblPr>
        <w:tblW w:w="6174" w:type="dxa"/>
        <w:jc w:val="center"/>
        <w:tblInd w:w="0" w:type="dxa"/>
        <w:tblCellMar>
          <w:top w:w="0" w:type="dxa"/>
          <w:left w:w="0" w:type="dxa"/>
          <w:bottom w:w="0" w:type="dxa"/>
          <w:right w:w="0" w:type="dxa"/>
        </w:tblCellMar>
      </w:tblPr>
      <w:tblGrid>
        <w:gridCol w:w="3350"/>
        <w:gridCol w:w="1317"/>
        <w:gridCol w:w="1507"/>
      </w:tblGrid>
      <w:tr>
        <w:trPr/>
        <w:tc>
          <w:tcPr>
            <w:tcW w:w="3350" w:type="dxa"/>
            <w:tcBorders/>
            <w:shd w:fill="auto" w:val="clear"/>
            <w:vAlign w:val="center"/>
          </w:tcPr>
          <w:p>
            <w:pPr>
              <w:pStyle w:val="TableContents"/>
              <w:spacing w:before="0" w:after="0"/>
              <w:ind w:left="0" w:right="0" w:hanging="0"/>
              <w:rPr/>
            </w:pPr>
            <w:r>
              <w:rPr/>
              <w:t> </w:t>
            </w:r>
          </w:p>
        </w:tc>
        <w:tc>
          <w:tcPr>
            <w:tcW w:w="2824"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For the year ended December 31,</w:t>
            </w:r>
          </w:p>
          <w:p>
            <w:pPr>
              <w:pStyle w:val="TableContents"/>
              <w:spacing w:before="0" w:after="0"/>
              <w:jc w:val="left"/>
              <w:rPr/>
            </w:pPr>
            <w:r>
              <w:rPr/>
              <w:t> </w:t>
            </w:r>
          </w:p>
        </w:tc>
      </w:tr>
      <w:tr>
        <w:trPr/>
        <w:tc>
          <w:tcPr>
            <w:tcW w:w="3350" w:type="dxa"/>
            <w:tcBorders/>
            <w:shd w:fill="auto" w:val="clear"/>
            <w:vAlign w:val="center"/>
          </w:tcPr>
          <w:p>
            <w:pPr>
              <w:pStyle w:val="TableContents"/>
              <w:spacing w:before="0" w:after="0"/>
              <w:ind w:left="0" w:right="0" w:hanging="0"/>
              <w:rPr/>
            </w:pPr>
            <w:r>
              <w:rPr/>
              <w:t> </w:t>
            </w:r>
          </w:p>
        </w:tc>
        <w:tc>
          <w:tcPr>
            <w:tcW w:w="131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2020</w:t>
            </w:r>
          </w:p>
          <w:p>
            <w:pPr>
              <w:pStyle w:val="TableContents"/>
              <w:spacing w:before="0" w:after="0"/>
              <w:jc w:val="left"/>
              <w:rPr/>
            </w:pPr>
            <w:r>
              <w:rPr/>
              <w:t> </w:t>
            </w:r>
          </w:p>
        </w:tc>
        <w:tc>
          <w:tcPr>
            <w:tcW w:w="150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20"/>
                <w:bdr w:val="single" w:sz="12" w:space="1" w:color="000000"/>
              </w:rPr>
            </w:pPr>
            <w:r>
              <w:rPr>
                <w:rFonts w:ascii="Times New Roman" w:hAnsi="Times New Roman"/>
                <w:b/>
                <w:color w:val="000000"/>
                <w:sz w:val="20"/>
                <w:bdr w:val="single" w:sz="12" w:space="1" w:color="000000"/>
              </w:rPr>
              <w:t>2019</w:t>
            </w:r>
          </w:p>
          <w:p>
            <w:pPr>
              <w:pStyle w:val="TableContents"/>
              <w:spacing w:before="0" w:after="0"/>
              <w:jc w:val="left"/>
              <w:rPr/>
            </w:pPr>
            <w:r>
              <w:rPr/>
              <w:t> </w:t>
            </w:r>
          </w:p>
        </w:tc>
      </w:tr>
      <w:tr>
        <w:trPr/>
        <w:tc>
          <w:tcPr>
            <w:tcW w:w="335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Risk-free interest rate (weighted average)</w:t>
            </w:r>
          </w:p>
        </w:tc>
        <w:tc>
          <w:tcPr>
            <w:tcW w:w="13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1.02%</w:t>
            </w:r>
            <w:r>
              <w:rPr>
                <w:color w:val="000000"/>
              </w:rPr>
              <w:t> </w:t>
            </w:r>
          </w:p>
        </w:tc>
        <w:tc>
          <w:tcPr>
            <w:tcW w:w="150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2.39%</w:t>
            </w:r>
            <w:r>
              <w:rPr>
                <w:color w:val="000000"/>
              </w:rPr>
              <w:t> </w:t>
            </w:r>
          </w:p>
        </w:tc>
      </w:tr>
      <w:tr>
        <w:trPr/>
        <w:tc>
          <w:tcPr>
            <w:tcW w:w="335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Expected volatility (weighted average)</w:t>
            </w:r>
          </w:p>
        </w:tc>
        <w:tc>
          <w:tcPr>
            <w:tcW w:w="131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97.63%</w:t>
            </w:r>
            <w:r>
              <w:rPr>
                <w:color w:val="000000"/>
              </w:rPr>
              <w:t> </w:t>
            </w:r>
          </w:p>
        </w:tc>
        <w:tc>
          <w:tcPr>
            <w:tcW w:w="150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106.74%</w:t>
            </w:r>
            <w:r>
              <w:rPr>
                <w:color w:val="000000"/>
              </w:rPr>
              <w:t> </w:t>
            </w:r>
          </w:p>
        </w:tc>
      </w:tr>
      <w:tr>
        <w:trPr/>
        <w:tc>
          <w:tcPr>
            <w:tcW w:w="335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Expected term (in years)</w:t>
            </w:r>
          </w:p>
        </w:tc>
        <w:tc>
          <w:tcPr>
            <w:tcW w:w="131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7</w:t>
            </w:r>
            <w:r>
              <w:rPr>
                <w:color w:val="000000"/>
              </w:rPr>
              <w:t> </w:t>
            </w:r>
          </w:p>
        </w:tc>
        <w:tc>
          <w:tcPr>
            <w:tcW w:w="1507"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7</w:t>
            </w:r>
            <w:r>
              <w:rPr>
                <w:color w:val="000000"/>
              </w:rPr>
              <w:t> </w:t>
            </w:r>
          </w:p>
        </w:tc>
      </w:tr>
      <w:tr>
        <w:trPr/>
        <w:tc>
          <w:tcPr>
            <w:tcW w:w="335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Expected dividend yield</w:t>
            </w:r>
          </w:p>
        </w:tc>
        <w:tc>
          <w:tcPr>
            <w:tcW w:w="131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0.00%</w:t>
            </w:r>
            <w:r>
              <w:rPr>
                <w:color w:val="000000"/>
              </w:rPr>
              <w:t> </w:t>
            </w:r>
          </w:p>
        </w:tc>
        <w:tc>
          <w:tcPr>
            <w:tcW w:w="1507"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0.00%</w:t>
            </w:r>
            <w:r>
              <w:rPr>
                <w:color w:val="000000"/>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593"/>
        <w:gridCol w:w="8612"/>
      </w:tblGrid>
      <w:tr>
        <w:trPr/>
        <w:tc>
          <w:tcPr>
            <w:tcW w:w="1593"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Risk-Free Interest Rate</w:t>
            </w:r>
          </w:p>
          <w:p>
            <w:pPr>
              <w:pStyle w:val="TableContents"/>
              <w:spacing w:before="0" w:after="0"/>
              <w:ind w:left="0" w:right="0" w:hanging="0"/>
              <w:jc w:val="both"/>
              <w:rPr/>
            </w:pPr>
            <w:r>
              <w:rPr/>
              <w:t> </w:t>
            </w:r>
          </w:p>
        </w:tc>
        <w:tc>
          <w:tcPr>
            <w:tcW w:w="86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risk-free interest rate assumption was based on U.S. Treasury instruments with a term that is consistent with the expected term of the Company’s stock options.</w:t>
            </w:r>
          </w:p>
          <w:p>
            <w:pPr>
              <w:pStyle w:val="TableContents"/>
              <w:spacing w:before="0" w:after="0"/>
              <w:ind w:left="0" w:right="0" w:hanging="0"/>
              <w:jc w:val="both"/>
              <w:rPr/>
            </w:pPr>
            <w:r>
              <w:rPr/>
              <w:t> </w:t>
            </w:r>
          </w:p>
        </w:tc>
      </w:tr>
      <w:tr>
        <w:trPr/>
        <w:tc>
          <w:tcPr>
            <w:tcW w:w="1593"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Expected Volatility</w:t>
            </w:r>
          </w:p>
          <w:p>
            <w:pPr>
              <w:pStyle w:val="TableContents"/>
              <w:spacing w:before="0" w:after="0"/>
              <w:ind w:left="0" w:right="0" w:hanging="0"/>
              <w:jc w:val="both"/>
              <w:rPr/>
            </w:pPr>
            <w:r>
              <w:rPr/>
              <w:t> </w:t>
            </w:r>
          </w:p>
        </w:tc>
        <w:tc>
          <w:tcPr>
            <w:tcW w:w="86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expected stock price volatility for the Company’s common stock was determined by examining the historical volatility and trading history for its common stock over a term consistent with the expected term of its options.</w:t>
            </w:r>
          </w:p>
          <w:p>
            <w:pPr>
              <w:pStyle w:val="TableContents"/>
              <w:spacing w:before="0" w:after="0"/>
              <w:ind w:left="0" w:right="0" w:hanging="0"/>
              <w:jc w:val="both"/>
              <w:rPr/>
            </w:pPr>
            <w:r>
              <w:rPr/>
              <w:t> </w:t>
            </w:r>
          </w:p>
        </w:tc>
      </w:tr>
      <w:tr>
        <w:trPr/>
        <w:tc>
          <w:tcPr>
            <w:tcW w:w="1593"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Expected Term</w:t>
            </w:r>
          </w:p>
          <w:p>
            <w:pPr>
              <w:pStyle w:val="TableContents"/>
              <w:spacing w:before="0" w:after="0"/>
              <w:ind w:left="0" w:right="0" w:hanging="0"/>
              <w:jc w:val="both"/>
              <w:rPr/>
            </w:pPr>
            <w:r>
              <w:rPr/>
              <w:t> </w:t>
            </w:r>
          </w:p>
        </w:tc>
        <w:tc>
          <w:tcPr>
            <w:tcW w:w="86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expected term of stock options represents the weighted average period the stock options are expected to remain outstanding. It was calculated based on the Company’s historical experience with its stock option grants.</w:t>
            </w:r>
          </w:p>
          <w:p>
            <w:pPr>
              <w:pStyle w:val="TableContents"/>
              <w:spacing w:before="0" w:after="0"/>
              <w:ind w:left="0" w:right="0" w:hanging="0"/>
              <w:jc w:val="both"/>
              <w:rPr/>
            </w:pPr>
            <w:r>
              <w:rPr/>
              <w:t> </w:t>
            </w:r>
          </w:p>
        </w:tc>
      </w:tr>
      <w:tr>
        <w:trPr/>
        <w:tc>
          <w:tcPr>
            <w:tcW w:w="1593"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Expected Dividend Yield</w:t>
            </w:r>
          </w:p>
          <w:p>
            <w:pPr>
              <w:pStyle w:val="TableContents"/>
              <w:spacing w:before="0" w:after="0"/>
              <w:ind w:left="0" w:right="0" w:hanging="0"/>
              <w:jc w:val="both"/>
              <w:rPr/>
            </w:pPr>
            <w:r>
              <w:rPr/>
              <w:t> </w:t>
            </w:r>
          </w:p>
        </w:tc>
        <w:tc>
          <w:tcPr>
            <w:tcW w:w="86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expected dividend yield of 0% is based on the Company’s history and expectation of dividend payouts. The Company has not paid and does not anticipate paying any dividends in the near future.</w:t>
            </w:r>
          </w:p>
          <w:p>
            <w:pPr>
              <w:pStyle w:val="TableContents"/>
              <w:spacing w:before="0" w:after="0"/>
              <w:ind w:left="0" w:right="0" w:hanging="0"/>
              <w:jc w:val="both"/>
              <w:rPr/>
            </w:pPr>
            <w:r>
              <w:rPr/>
              <w:t> </w:t>
            </w:r>
          </w:p>
        </w:tc>
      </w:tr>
      <w:tr>
        <w:trPr/>
        <w:tc>
          <w:tcPr>
            <w:tcW w:w="1593"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Forfeitures</w:t>
            </w:r>
          </w:p>
          <w:p>
            <w:pPr>
              <w:pStyle w:val="TableContents"/>
              <w:spacing w:before="0" w:after="0"/>
              <w:ind w:left="0" w:right="0" w:hanging="0"/>
              <w:jc w:val="both"/>
              <w:rPr/>
            </w:pPr>
            <w:r>
              <w:rPr/>
              <w:t> </w:t>
            </w:r>
          </w:p>
        </w:tc>
        <w:tc>
          <w:tcPr>
            <w:tcW w:w="86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As stock-based compensation expense recognized in the statement of operations for the years ended December 31, 2020 and 2019 is based on awards ultimately expected to vest, it has been reduced for estimated forfeitures. ASC 718 requires forfeitures to be estimated at the time of grant and revised, if necessary, in subsequent periods if actual forfeitures differ from those estimates. Forfeitures were estimated based on the Company’s historical experience.</w:t>
            </w:r>
          </w:p>
          <w:p>
            <w:pPr>
              <w:pStyle w:val="TableContents"/>
              <w:spacing w:before="0" w:after="0"/>
              <w:ind w:left="0" w:right="0" w:hanging="0"/>
              <w:jc w:val="both"/>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8" w:name="pgbrk52"/>
      <w:bookmarkStart w:id="379" w:name="pgbrk52"/>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80" w:name="ftr51"/>
      <w:bookmarkEnd w:id="38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1" w:name="pn49"/>
      <w:bookmarkEnd w:id="381"/>
      <w:r>
        <w:rPr>
          <w:rFonts w:ascii="Times New Roman" w:hAnsi="Times New Roman"/>
          <w:sz w:val="20"/>
        </w:rPr>
        <w:t>52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82" w:name="pb51"/>
      <w:bookmarkStart w:id="383" w:name="pb51"/>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84" w:name="hdr52"/>
      <w:bookmarkEnd w:id="3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weighted-average grant-date fair value of options granted during the years ended December 31, 2020 and 2019 was $0.95 and $1.47, respectively.</w:t>
      </w:r>
    </w:p>
    <w:p>
      <w:pPr>
        <w:pStyle w:val="TextBody"/>
        <w:spacing w:before="0" w:after="0"/>
        <w:rPr/>
      </w:pPr>
      <w:r>
        <w:rPr/>
        <w:t> </w:t>
      </w:r>
    </w:p>
    <w:p>
      <w:pPr>
        <w:pStyle w:val="TextBody"/>
        <w:spacing w:before="0" w:after="0"/>
        <w:ind w:left="0" w:right="0" w:hanging="0"/>
        <w:jc w:val="left"/>
        <w:rPr>
          <w:rFonts w:ascii="Times New Roman" w:hAnsi="Times New Roman"/>
          <w:sz w:val="20"/>
          <w:highlight w:val="white"/>
        </w:rPr>
      </w:pPr>
      <w:r>
        <w:rPr>
          <w:rFonts w:ascii="Times New Roman" w:hAnsi="Times New Roman"/>
          <w:sz w:val="20"/>
          <w:highlight w:val="white"/>
        </w:rPr>
        <w:t>The Company recorded compensation expense for these stock options grants of $218,148 and $92,919 for the years ended December 31, 2020 and 2019, respectively.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there were unrecognized compensation costs of approximately $152,000 related to non-vested stock option awards under the 2016 Plan that will be recognized on a straight-line basis over the weighted average remaining vesting period of 1.13 years.</w:t>
      </w:r>
    </w:p>
    <w:p>
      <w:pPr>
        <w:pStyle w:val="TextBody"/>
        <w:spacing w:before="0" w:after="0"/>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1999 Amended Stock Plan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1999 Plan Stock Options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The following table summarizes the outstanding stock options under the 1999 Plan</w:t>
      </w:r>
      <w:r>
        <w:rPr>
          <w:rFonts w:ascii="Times New Roman" w:hAnsi="Times New Roman"/>
          <w:sz w:val="20"/>
        </w:rPr>
        <w:t xml:space="preserve"> for the years ended December 31, 2020 and 2019:</w:t>
      </w:r>
    </w:p>
    <w:p>
      <w:pPr>
        <w:pStyle w:val="TextBody"/>
        <w:spacing w:before="0" w:after="0"/>
        <w:ind w:left="0" w:right="0" w:hanging="0"/>
        <w:jc w:val="left"/>
        <w:rPr/>
      </w:pPr>
      <w:r>
        <w:rPr/>
        <w:t> </w:t>
      </w:r>
    </w:p>
    <w:tbl>
      <w:tblPr>
        <w:tblW w:w="8705" w:type="dxa"/>
        <w:jc w:val="left"/>
        <w:tblInd w:w="0" w:type="dxa"/>
        <w:tblCellMar>
          <w:top w:w="0" w:type="dxa"/>
          <w:left w:w="0" w:type="dxa"/>
          <w:bottom w:w="0" w:type="dxa"/>
          <w:right w:w="0" w:type="dxa"/>
        </w:tblCellMar>
      </w:tblPr>
      <w:tblGrid>
        <w:gridCol w:w="3035"/>
        <w:gridCol w:w="1325"/>
        <w:gridCol w:w="2435"/>
        <w:gridCol w:w="1910"/>
      </w:tblGrid>
      <w:tr>
        <w:trPr/>
        <w:tc>
          <w:tcPr>
            <w:tcW w:w="3035" w:type="dxa"/>
            <w:tcBorders/>
            <w:shd w:fill="auto" w:val="clear"/>
            <w:vAlign w:val="center"/>
          </w:tcPr>
          <w:p>
            <w:pPr>
              <w:pStyle w:val="TableContents"/>
              <w:spacing w:before="0" w:after="0"/>
              <w:ind w:left="0" w:right="0" w:hanging="0"/>
              <w:rPr/>
            </w:pPr>
            <w:r>
              <w:rPr/>
              <w:t> </w:t>
            </w:r>
          </w:p>
        </w:tc>
        <w:tc>
          <w:tcPr>
            <w:tcW w:w="3760"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Outstanding Options</w:t>
            </w:r>
          </w:p>
          <w:p>
            <w:pPr>
              <w:pStyle w:val="TableContents"/>
              <w:spacing w:before="0" w:after="0"/>
              <w:jc w:val="left"/>
              <w:rPr/>
            </w:pPr>
            <w:r>
              <w:rPr/>
              <w:t> </w:t>
            </w:r>
          </w:p>
        </w:tc>
        <w:tc>
          <w:tcPr>
            <w:tcW w:w="19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35" w:type="dxa"/>
            <w:tcBorders/>
            <w:shd w:fill="auto" w:val="clear"/>
            <w:vAlign w:val="center"/>
          </w:tcPr>
          <w:p>
            <w:pPr>
              <w:pStyle w:val="TableContents"/>
              <w:spacing w:before="0" w:after="0"/>
              <w:ind w:left="0" w:right="0" w:hanging="0"/>
              <w:rPr/>
            </w:pPr>
            <w:r>
              <w:rPr/>
              <w:t> </w:t>
            </w:r>
          </w:p>
        </w:tc>
        <w:tc>
          <w:tcPr>
            <w:tcW w:w="132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Number of Shares</w:t>
            </w:r>
          </w:p>
          <w:p>
            <w:pPr>
              <w:pStyle w:val="TableContents"/>
              <w:spacing w:before="0" w:after="0"/>
              <w:jc w:val="left"/>
              <w:rPr/>
            </w:pPr>
            <w:r>
              <w:rPr/>
              <w:t> </w:t>
            </w:r>
          </w:p>
        </w:tc>
        <w:tc>
          <w:tcPr>
            <w:tcW w:w="24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Weighted Average Exercise Price</w:t>
            </w:r>
          </w:p>
          <w:p>
            <w:pPr>
              <w:pStyle w:val="TableContents"/>
              <w:spacing w:before="0" w:after="0"/>
              <w:jc w:val="left"/>
              <w:rPr/>
            </w:pPr>
            <w:r>
              <w:rPr/>
              <w:t> </w:t>
            </w:r>
          </w:p>
        </w:tc>
        <w:tc>
          <w:tcPr>
            <w:tcW w:w="19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Aggregate Intrinsic Value</w:t>
            </w:r>
          </w:p>
          <w:p>
            <w:pPr>
              <w:pStyle w:val="TableContents"/>
              <w:spacing w:before="0" w:after="0"/>
              <w:jc w:val="left"/>
              <w:rPr/>
            </w:pPr>
            <w:r>
              <w:rPr/>
              <w:t> </w:t>
            </w:r>
          </w:p>
        </w:tc>
      </w:tr>
      <w:tr>
        <w:trPr/>
        <w:tc>
          <w:tcPr>
            <w:tcW w:w="3035" w:type="dxa"/>
            <w:tcBorders/>
            <w:shd w:fill="CCEE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2018</w:t>
            </w:r>
          </w:p>
        </w:tc>
        <w:tc>
          <w:tcPr>
            <w:tcW w:w="132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191,735</w:t>
            </w:r>
            <w:r>
              <w:rPr>
                <w:color w:val="000000"/>
              </w:rPr>
              <w:t> </w:t>
            </w:r>
          </w:p>
        </w:tc>
        <w:tc>
          <w:tcPr>
            <w:tcW w:w="24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$93.72</w:t>
            </w:r>
            <w:r>
              <w:rPr>
                <w:color w:val="000000"/>
              </w:rPr>
              <w:t> </w:t>
            </w:r>
          </w:p>
        </w:tc>
        <w:tc>
          <w:tcPr>
            <w:tcW w:w="1910" w:type="dxa"/>
            <w:tcBorders/>
            <w:shd w:fill="CCEEFF" w:val="clear"/>
            <w:vAlign w:val="center"/>
          </w:tcPr>
          <w:p>
            <w:pPr>
              <w:pStyle w:val="TableContents"/>
              <w:spacing w:before="0" w:after="0"/>
              <w:jc w:val="left"/>
              <w:rPr/>
            </w:pPr>
            <w:r>
              <w:rPr/>
              <w:t>    </w:t>
            </w:r>
          </w:p>
        </w:tc>
      </w:tr>
      <w:tr>
        <w:trPr/>
        <w:tc>
          <w:tcPr>
            <w:tcW w:w="303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Options cancelled</w:t>
            </w:r>
          </w:p>
        </w:tc>
        <w:tc>
          <w:tcPr>
            <w:tcW w:w="132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(29</w:t>
            </w:r>
            <w:r>
              <w:rPr>
                <w:rFonts w:ascii="Times New Roman" w:hAnsi="Times New Roman"/>
                <w:color w:val="000000"/>
                <w:sz w:val="20"/>
              </w:rPr>
              <w:t>)</w:t>
            </w:r>
          </w:p>
        </w:tc>
        <w:tc>
          <w:tcPr>
            <w:tcW w:w="24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$2,203.00</w:t>
            </w:r>
            <w:r>
              <w:rPr>
                <w:color w:val="000000"/>
              </w:rPr>
              <w:t> </w:t>
            </w:r>
          </w:p>
        </w:tc>
        <w:tc>
          <w:tcPr>
            <w:tcW w:w="1910" w:type="dxa"/>
            <w:tcBorders/>
            <w:shd w:fill="FFFFFF" w:val="clear"/>
            <w:vAlign w:val="center"/>
          </w:tcPr>
          <w:p>
            <w:pPr>
              <w:pStyle w:val="TableContents"/>
              <w:spacing w:before="0" w:after="0"/>
              <w:jc w:val="left"/>
              <w:rPr/>
            </w:pPr>
            <w:r>
              <w:rPr/>
              <w:t>    </w:t>
            </w:r>
          </w:p>
        </w:tc>
      </w:tr>
      <w:tr>
        <w:trPr/>
        <w:tc>
          <w:tcPr>
            <w:tcW w:w="3035" w:type="dxa"/>
            <w:tcBorders/>
            <w:shd w:fill="CCEE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2019</w:t>
            </w:r>
          </w:p>
        </w:tc>
        <w:tc>
          <w:tcPr>
            <w:tcW w:w="132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191,706</w:t>
            </w:r>
            <w:r>
              <w:rPr>
                <w:color w:val="000000"/>
              </w:rPr>
              <w:t> </w:t>
            </w:r>
          </w:p>
        </w:tc>
        <w:tc>
          <w:tcPr>
            <w:tcW w:w="24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$93.40</w:t>
            </w:r>
            <w:r>
              <w:rPr>
                <w:color w:val="000000"/>
              </w:rPr>
              <w:t> </w:t>
            </w:r>
          </w:p>
        </w:tc>
        <w:tc>
          <w:tcPr>
            <w:tcW w:w="1910" w:type="dxa"/>
            <w:tcBorders/>
            <w:shd w:fill="CCEEFF" w:val="clear"/>
            <w:vAlign w:val="center"/>
          </w:tcPr>
          <w:p>
            <w:pPr>
              <w:pStyle w:val="TableContents"/>
              <w:spacing w:before="0" w:after="0"/>
              <w:jc w:val="left"/>
              <w:rPr/>
            </w:pPr>
            <w:r>
              <w:rPr/>
              <w:t>    </w:t>
            </w:r>
          </w:p>
        </w:tc>
      </w:tr>
      <w:tr>
        <w:trPr/>
        <w:tc>
          <w:tcPr>
            <w:tcW w:w="3035"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Options cancelled</w:t>
            </w:r>
          </w:p>
        </w:tc>
        <w:tc>
          <w:tcPr>
            <w:tcW w:w="132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(134,058</w:t>
            </w:r>
            <w:r>
              <w:rPr>
                <w:rFonts w:ascii="Times New Roman" w:hAnsi="Times New Roman"/>
                <w:color w:val="000000"/>
                <w:sz w:val="20"/>
              </w:rPr>
              <w:t>)</w:t>
            </w:r>
          </w:p>
        </w:tc>
        <w:tc>
          <w:tcPr>
            <w:tcW w:w="24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$113.64</w:t>
            </w:r>
            <w:r>
              <w:rPr>
                <w:color w:val="000000"/>
              </w:rPr>
              <w:t> </w:t>
            </w:r>
          </w:p>
        </w:tc>
        <w:tc>
          <w:tcPr>
            <w:tcW w:w="1910" w:type="dxa"/>
            <w:tcBorders/>
            <w:shd w:fill="FFFFFF" w:val="clear"/>
            <w:vAlign w:val="center"/>
          </w:tcPr>
          <w:p>
            <w:pPr>
              <w:pStyle w:val="TableContents"/>
              <w:spacing w:before="0" w:after="0"/>
              <w:jc w:val="left"/>
              <w:rPr/>
            </w:pPr>
            <w:r>
              <w:rPr/>
              <w:t>    </w:t>
            </w:r>
          </w:p>
        </w:tc>
      </w:tr>
      <w:tr>
        <w:trPr/>
        <w:tc>
          <w:tcPr>
            <w:tcW w:w="3035" w:type="dxa"/>
            <w:tcBorders/>
            <w:shd w:fill="CCEE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2020</w:t>
            </w:r>
          </w:p>
        </w:tc>
        <w:tc>
          <w:tcPr>
            <w:tcW w:w="132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57,648</w:t>
            </w:r>
            <w:r>
              <w:rPr>
                <w:color w:val="000000"/>
              </w:rPr>
              <w:t> </w:t>
            </w:r>
          </w:p>
        </w:tc>
        <w:tc>
          <w:tcPr>
            <w:tcW w:w="24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$46.34</w:t>
            </w:r>
            <w:r>
              <w:rPr>
                <w:color w:val="000000"/>
              </w:rPr>
              <w:t> </w:t>
            </w:r>
          </w:p>
        </w:tc>
        <w:tc>
          <w:tcPr>
            <w:tcW w:w="19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 (1)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w:t>
            </w:r>
          </w:p>
          <w:p>
            <w:pPr>
              <w:pStyle w:val="TableContents"/>
              <w:spacing w:before="0" w:after="0"/>
              <w:ind w:left="0" w:right="0" w:hanging="0"/>
              <w:jc w:val="both"/>
              <w:rPr/>
            </w:pPr>
            <w:r>
              <w:rPr/>
              <w:t> </w:t>
            </w:r>
          </w:p>
        </w:tc>
        <w:tc>
          <w:tcPr>
            <w:tcW w:w="9975" w:type="dxa"/>
            <w:tcBorders/>
            <w:shd w:fill="auto" w:val="clear"/>
            <w:vAlign w:val="center"/>
          </w:tcPr>
          <w:p>
            <w:pPr>
              <w:pStyle w:val="TableContents"/>
              <w:spacing w:before="0" w:after="0"/>
              <w:ind w:left="0" w:right="0" w:hanging="0"/>
              <w:jc w:val="left"/>
              <w:rPr/>
            </w:pPr>
            <w:r>
              <w:rPr/>
              <w:t xml:space="preserve">  </w:t>
            </w:r>
            <w:r>
              <w:rPr>
                <w:rFonts w:ascii="Times New Roman" w:hAnsi="Times New Roman"/>
                <w:sz w:val="20"/>
              </w:rPr>
              <w:t>Amount represents the difference between the exercise price and $1.86, the closing price of Tenax Therapeutics’ stock on December 31, 2020, as reported on the Nasdaq Capital Market, for all in-the-money options outstanding.</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chose the “straight-line” attribution method for allocating compensation costs of each stock option over the requisite service period using the Black-Scholes Option Pricing Model to calculate the grant date fair value.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used the following assumptions to estimate the fair value of options granted under the 1999 Plan for the year ended December 31, 2019:</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5" w:name="pgbrk53"/>
      <w:bookmarkStart w:id="386" w:name="pgbrk53"/>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87" w:name="ftr52"/>
      <w:bookmarkEnd w:id="3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8" w:name="pn50"/>
      <w:bookmarkEnd w:id="388"/>
      <w:r>
        <w:rPr>
          <w:rFonts w:ascii="Times New Roman" w:hAnsi="Times New Roman"/>
          <w:sz w:val="20"/>
        </w:rPr>
        <w:t>53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89" w:name="pb52"/>
      <w:bookmarkStart w:id="390" w:name="pb52"/>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91" w:name="hdr53"/>
      <w:bookmarkEnd w:id="3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190"/>
        <w:gridCol w:w="9015"/>
      </w:tblGrid>
      <w:tr>
        <w:trPr/>
        <w:tc>
          <w:tcPr>
            <w:tcW w:w="1190"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Risk-Free Interest Rate</w:t>
            </w:r>
          </w:p>
          <w:p>
            <w:pPr>
              <w:pStyle w:val="TableContents"/>
              <w:spacing w:before="0" w:after="0"/>
              <w:ind w:left="0" w:right="0" w:hanging="0"/>
              <w:jc w:val="both"/>
              <w:rPr/>
            </w:pPr>
            <w:r>
              <w:rPr/>
              <w:t> </w:t>
            </w:r>
          </w:p>
        </w:tc>
        <w:tc>
          <w:tcPr>
            <w:tcW w:w="901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risk-free interest rate assumption was based on U.S. Treasury instruments with a term that is consistent with the expected term of the Company’s stock options.</w:t>
            </w:r>
          </w:p>
          <w:p>
            <w:pPr>
              <w:pStyle w:val="TableContents"/>
              <w:spacing w:before="0" w:after="0"/>
              <w:ind w:left="0" w:right="0" w:hanging="0"/>
              <w:jc w:val="both"/>
              <w:rPr/>
            </w:pPr>
            <w:r>
              <w:rPr/>
              <w:t> </w:t>
            </w:r>
          </w:p>
        </w:tc>
      </w:tr>
      <w:tr>
        <w:trPr/>
        <w:tc>
          <w:tcPr>
            <w:tcW w:w="1190"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Expected Volatility</w:t>
            </w:r>
          </w:p>
          <w:p>
            <w:pPr>
              <w:pStyle w:val="TableContents"/>
              <w:spacing w:before="0" w:after="0"/>
              <w:ind w:left="0" w:right="0" w:hanging="0"/>
              <w:jc w:val="both"/>
              <w:rPr/>
            </w:pPr>
            <w:r>
              <w:rPr/>
              <w:t> </w:t>
            </w:r>
          </w:p>
        </w:tc>
        <w:tc>
          <w:tcPr>
            <w:tcW w:w="901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expected stock price volatility for the Company’s common stock was determined by examining the historical volatility and trading history for its common stock over a term consistent with the expected term of its options.</w:t>
            </w:r>
          </w:p>
          <w:p>
            <w:pPr>
              <w:pStyle w:val="TableContents"/>
              <w:spacing w:before="0" w:after="0"/>
              <w:ind w:left="0" w:right="0" w:hanging="0"/>
              <w:jc w:val="both"/>
              <w:rPr/>
            </w:pPr>
            <w:r>
              <w:rPr/>
              <w:t> </w:t>
            </w:r>
          </w:p>
        </w:tc>
      </w:tr>
      <w:tr>
        <w:trPr/>
        <w:tc>
          <w:tcPr>
            <w:tcW w:w="1190"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Expected Term</w:t>
            </w:r>
          </w:p>
          <w:p>
            <w:pPr>
              <w:pStyle w:val="TableContents"/>
              <w:spacing w:before="0" w:after="0"/>
              <w:ind w:left="0" w:right="0" w:hanging="0"/>
              <w:jc w:val="both"/>
              <w:rPr/>
            </w:pPr>
            <w:r>
              <w:rPr/>
              <w:t> </w:t>
            </w:r>
          </w:p>
        </w:tc>
        <w:tc>
          <w:tcPr>
            <w:tcW w:w="901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expected term of stock options represents the weighted average period the stock options are expected to remain outstanding. It was calculated based on the historical experience that the Company has had with its stock option grants.</w:t>
            </w:r>
          </w:p>
          <w:p>
            <w:pPr>
              <w:pStyle w:val="TableContents"/>
              <w:spacing w:before="0" w:after="0"/>
              <w:ind w:left="0" w:right="0" w:hanging="0"/>
              <w:jc w:val="both"/>
              <w:rPr/>
            </w:pPr>
            <w:r>
              <w:rPr/>
              <w:t> </w:t>
            </w:r>
          </w:p>
        </w:tc>
      </w:tr>
      <w:tr>
        <w:trPr/>
        <w:tc>
          <w:tcPr>
            <w:tcW w:w="1190"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Expected Dividend Yield</w:t>
            </w:r>
          </w:p>
          <w:p>
            <w:pPr>
              <w:pStyle w:val="TableContents"/>
              <w:spacing w:before="0" w:after="0"/>
              <w:ind w:left="0" w:right="0" w:hanging="0"/>
              <w:jc w:val="both"/>
              <w:rPr/>
            </w:pPr>
            <w:r>
              <w:rPr/>
              <w:t> </w:t>
            </w:r>
          </w:p>
        </w:tc>
        <w:tc>
          <w:tcPr>
            <w:tcW w:w="901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The expected dividend yield of 0% is based on the Company’s history and expectation of dividend payouts. The Company has not paid and do not anticipate paying any dividends in the near future.</w:t>
            </w:r>
          </w:p>
          <w:p>
            <w:pPr>
              <w:pStyle w:val="TableContents"/>
              <w:spacing w:before="0" w:after="0"/>
              <w:ind w:left="0" w:right="0" w:hanging="0"/>
              <w:jc w:val="both"/>
              <w:rPr/>
            </w:pPr>
            <w:r>
              <w:rPr/>
              <w:t> </w:t>
            </w:r>
          </w:p>
        </w:tc>
      </w:tr>
      <w:tr>
        <w:trPr/>
        <w:tc>
          <w:tcPr>
            <w:tcW w:w="1190"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Forfeitures</w:t>
            </w:r>
          </w:p>
          <w:p>
            <w:pPr>
              <w:pStyle w:val="TableContents"/>
              <w:spacing w:before="0" w:after="0"/>
              <w:ind w:left="0" w:right="0" w:hanging="0"/>
              <w:jc w:val="both"/>
              <w:rPr/>
            </w:pPr>
            <w:r>
              <w:rPr/>
              <w:t> </w:t>
            </w:r>
          </w:p>
        </w:tc>
        <w:tc>
          <w:tcPr>
            <w:tcW w:w="901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As stock-based compensation expense recognized in the statement of operations for the years ended December 31, 2020 and 2019 is based on awards ultimately expected to vest, it has been reduced for estimated forfeitures. ASC 718 requires forfeitures to be estimated at the time of grant and revised, if necessary, in subsequent periods if actual forfeitures differ from those estimates. Forfeitures were estimated based on the Company’s historical experience.</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highlight w:val="white"/>
        </w:rPr>
      </w:pPr>
      <w:r>
        <w:rPr>
          <w:rFonts w:ascii="Times New Roman" w:hAnsi="Times New Roman"/>
          <w:sz w:val="20"/>
          <w:highlight w:val="white"/>
        </w:rPr>
        <w:t>The Company recorded compensation expense for these stock options grants of $34,498 and $78,297 for the years ended December 31, 2020 and 2019, respectively.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there were unrecognized compensation costs of approximately $1,500 related to non-vested stock option awards that will be recognized on a straight-line basis over the weighted average remaining vesting period of 0.25 years.</w:t>
      </w:r>
    </w:p>
    <w:p>
      <w:pPr>
        <w:pStyle w:val="TextBody"/>
        <w:spacing w:before="0" w:after="0"/>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Restricted Stock Grants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The following table summarizes the outstanding restricted stock under the 1999 Plan for the year ended December 31, 2019</w:t>
      </w:r>
      <w:r>
        <w:rPr>
          <w:rFonts w:ascii="Times New Roman" w:hAnsi="Times New Roman"/>
          <w:sz w:val="20"/>
        </w:rPr>
        <w:t>:</w:t>
      </w:r>
    </w:p>
    <w:p>
      <w:pPr>
        <w:pStyle w:val="TextBody"/>
        <w:spacing w:before="0" w:after="0"/>
        <w:rPr/>
      </w:pPr>
      <w:r>
        <w:rPr/>
        <w:t> </w:t>
      </w:r>
    </w:p>
    <w:tbl>
      <w:tblPr>
        <w:tblW w:w="7500" w:type="dxa"/>
        <w:jc w:val="left"/>
        <w:tblInd w:w="0" w:type="dxa"/>
        <w:tblCellMar>
          <w:top w:w="0" w:type="dxa"/>
          <w:left w:w="0" w:type="dxa"/>
          <w:bottom w:w="0" w:type="dxa"/>
          <w:right w:w="0" w:type="dxa"/>
        </w:tblCellMar>
      </w:tblPr>
      <w:tblGrid>
        <w:gridCol w:w="3080"/>
        <w:gridCol w:w="1325"/>
        <w:gridCol w:w="3095"/>
      </w:tblGrid>
      <w:tr>
        <w:trPr/>
        <w:tc>
          <w:tcPr>
            <w:tcW w:w="3080" w:type="dxa"/>
            <w:tcBorders/>
            <w:shd w:fill="auto" w:val="clear"/>
            <w:vAlign w:val="center"/>
          </w:tcPr>
          <w:p>
            <w:pPr>
              <w:pStyle w:val="TableContents"/>
              <w:spacing w:before="0" w:after="0"/>
              <w:ind w:left="0" w:right="0" w:hanging="0"/>
              <w:rPr/>
            </w:pPr>
            <w:r>
              <w:rPr/>
              <w:t> </w:t>
            </w:r>
          </w:p>
        </w:tc>
        <w:tc>
          <w:tcPr>
            <w:tcW w:w="4420"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Outstanding Restricted Stock Grants</w:t>
            </w:r>
          </w:p>
          <w:p>
            <w:pPr>
              <w:pStyle w:val="TableContents"/>
              <w:spacing w:before="0" w:after="0"/>
              <w:jc w:val="left"/>
              <w:rPr/>
            </w:pPr>
            <w:r>
              <w:rPr/>
              <w:t> </w:t>
            </w:r>
          </w:p>
        </w:tc>
      </w:tr>
      <w:tr>
        <w:trPr/>
        <w:tc>
          <w:tcPr>
            <w:tcW w:w="3080" w:type="dxa"/>
            <w:tcBorders/>
            <w:shd w:fill="auto" w:val="clear"/>
            <w:vAlign w:val="center"/>
          </w:tcPr>
          <w:p>
            <w:pPr>
              <w:pStyle w:val="TableContents"/>
              <w:spacing w:before="0" w:after="0"/>
              <w:ind w:left="0" w:right="0" w:hanging="0"/>
              <w:rPr/>
            </w:pPr>
            <w:r>
              <w:rPr/>
              <w:t> </w:t>
            </w:r>
          </w:p>
        </w:tc>
        <w:tc>
          <w:tcPr>
            <w:tcW w:w="132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Number of Shares</w:t>
            </w:r>
          </w:p>
          <w:p>
            <w:pPr>
              <w:pStyle w:val="TableContents"/>
              <w:spacing w:before="0" w:after="0"/>
              <w:jc w:val="left"/>
              <w:rPr/>
            </w:pPr>
            <w:r>
              <w:rPr/>
              <w:t> </w:t>
            </w:r>
          </w:p>
        </w:tc>
        <w:tc>
          <w:tcPr>
            <w:tcW w:w="309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Weighted Average Grant Date Fair Value</w:t>
            </w:r>
          </w:p>
          <w:p>
            <w:pPr>
              <w:pStyle w:val="TableContents"/>
              <w:spacing w:before="0" w:after="0"/>
              <w:jc w:val="left"/>
              <w:rPr/>
            </w:pPr>
            <w:r>
              <w:rPr/>
              <w:t> </w:t>
            </w:r>
          </w:p>
        </w:tc>
      </w:tr>
      <w:tr>
        <w:trPr/>
        <w:tc>
          <w:tcPr>
            <w:tcW w:w="3080" w:type="dxa"/>
            <w:tcBorders/>
            <w:shd w:fill="CCEE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2018</w:t>
            </w:r>
          </w:p>
        </w:tc>
        <w:tc>
          <w:tcPr>
            <w:tcW w:w="132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19,914</w:t>
            </w:r>
            <w:r>
              <w:rPr>
                <w:color w:val="000000"/>
              </w:rPr>
              <w:t> </w:t>
            </w:r>
          </w:p>
        </w:tc>
        <w:tc>
          <w:tcPr>
            <w:tcW w:w="30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$6.29</w:t>
            </w:r>
            <w:r>
              <w:rPr>
                <w:color w:val="000000"/>
              </w:rPr>
              <w:t> </w:t>
            </w:r>
          </w:p>
        </w:tc>
      </w:tr>
      <w:tr>
        <w:trPr/>
        <w:tc>
          <w:tcPr>
            <w:tcW w:w="3080" w:type="dxa"/>
            <w:tcBorders/>
            <w:shd w:fill="FFFF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Restricted stock vested</w:t>
            </w:r>
          </w:p>
        </w:tc>
        <w:tc>
          <w:tcPr>
            <w:tcW w:w="132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(12,195)</w:t>
            </w:r>
          </w:p>
        </w:tc>
        <w:tc>
          <w:tcPr>
            <w:tcW w:w="30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$6.28</w:t>
            </w:r>
            <w:r>
              <w:rPr>
                <w:color w:val="000000"/>
              </w:rPr>
              <w:t> </w:t>
            </w:r>
          </w:p>
        </w:tc>
      </w:tr>
      <w:tr>
        <w:trPr/>
        <w:tc>
          <w:tcPr>
            <w:tcW w:w="3080"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Restricted stock cancelled</w:t>
            </w:r>
          </w:p>
        </w:tc>
        <w:tc>
          <w:tcPr>
            <w:tcW w:w="132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(7,719</w:t>
            </w:r>
            <w:r>
              <w:rPr>
                <w:rFonts w:ascii="Times New Roman" w:hAnsi="Times New Roman"/>
                <w:color w:val="000000"/>
                <w:sz w:val="20"/>
              </w:rPr>
              <w:t>)</w:t>
            </w:r>
          </w:p>
        </w:tc>
        <w:tc>
          <w:tcPr>
            <w:tcW w:w="30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$6.27</w:t>
            </w:r>
            <w:r>
              <w:rPr>
                <w:color w:val="000000"/>
              </w:rPr>
              <w:t> </w:t>
            </w:r>
          </w:p>
        </w:tc>
      </w:tr>
      <w:tr>
        <w:trPr/>
        <w:tc>
          <w:tcPr>
            <w:tcW w:w="3080" w:type="dxa"/>
            <w:tcBorders/>
            <w:shd w:fill="FFFFFF" w:val="clear"/>
            <w:vAlign w:val="center"/>
          </w:tcPr>
          <w:p>
            <w:pPr>
              <w:pStyle w:val="TableContents"/>
              <w:spacing w:before="0" w:after="0"/>
              <w:ind w:left="0" w:right="0" w:firstLine="360"/>
              <w:jc w:val="left"/>
              <w:rPr>
                <w:rFonts w:ascii="Times New Roman" w:hAnsi="Times New Roman"/>
                <w:b/>
                <w:color w:val="000000"/>
                <w:sz w:val="20"/>
              </w:rPr>
            </w:pPr>
            <w:r>
              <w:rPr>
                <w:rFonts w:ascii="Times New Roman" w:hAnsi="Times New Roman"/>
                <w:b/>
                <w:color w:val="000000"/>
                <w:sz w:val="20"/>
              </w:rPr>
              <w:t>Balances at December 31, 2019</w:t>
            </w:r>
          </w:p>
        </w:tc>
        <w:tc>
          <w:tcPr>
            <w:tcW w:w="132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309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highlight w:val="white"/>
        </w:rPr>
      </w:pPr>
      <w:r>
        <w:rPr>
          <w:rFonts w:ascii="Times New Roman" w:hAnsi="Times New Roman"/>
          <w:sz w:val="20"/>
          <w:highlight w:val="white"/>
        </w:rPr>
        <w:t>The Company recorded no compensation expense for these restricted stock grants for the year ended December 31, 2020 and 2019.</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there were no unrecognized compensation costs related to the non-vested restricted stock grants.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F—COMMITMENTS AND CONTINGENCIES</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Operating Leases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described above in “NOTE B- SUMMARY OF SIGNIFICANT ACCOUNTING POLICIES”, the Company adopted ASC 842 as of January 1, 2019. Prior period amounts have not been adjusted and continue to be reported in accordance with the Company’s historic accounting under ASC 840.</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2" w:name="pgbrk54"/>
      <w:bookmarkStart w:id="393" w:name="pgbrk54"/>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94" w:name="ftr53"/>
      <w:bookmarkEnd w:id="3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5" w:name="pn51"/>
      <w:bookmarkEnd w:id="395"/>
      <w:r>
        <w:rPr>
          <w:rFonts w:ascii="Times New Roman" w:hAnsi="Times New Roman"/>
          <w:sz w:val="20"/>
        </w:rPr>
        <w:t>54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96" w:name="pb53"/>
      <w:bookmarkStart w:id="397" w:name="pb53"/>
      <w:bookmarkEnd w:id="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98" w:name="hdr54"/>
      <w:bookmarkEnd w:id="3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January 2011, the Company entered into the Lease with Concourse Associates, LLC for office facilities located at the premises in Morrisville, North Carolina (the “Lease”).  The Lease was amended in August 2015 to extend the term for the 5,954 square foot rental.  The current term began on March 1, 2016 and continues for 64 months to September 30, 2021. Rent payments began on July 1, 2016, following the conclusion of a four-month rent abatement period.  The Company has two five-year options to extend the Lease and a one-time option to terminate the Lease 36 months after the commencement of the initial term if no additional space (“Expansion Space”) became available; none of these optional periods have been considered in the determination of the right-of-use asset or the lease liability for the Lease as the Company did not consider it reasonably certain that it would exercise any such options.  The Lease further provides that the Company is obligated to pay to the landlord certain variable costs, including taxes and operating expenses. The Company also has a right of first offer to lease the Expansion Space, of no less than 1,000 square feet, as that additional space becomes available adjacent to the premises over the remainder of the initial term of the Lease, at the same rate per square foot as the current premises, with an extension of the term of 60 additional months starting at the commencement date of acquiring the Expansion Space.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performed an evaluation of its other contracts with customers and suppliers in accordance with ASC 842 and determined that, except for the Lease described above, none of the Company’s contracts contain a lease.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balance sheet classification of our lease liabilities was as follows:</w:t>
      </w:r>
    </w:p>
    <w:p>
      <w:pPr>
        <w:pStyle w:val="TextBody"/>
        <w:spacing w:before="0" w:after="0"/>
        <w:rPr/>
      </w:pPr>
      <w:r>
        <w:rPr/>
        <w:t> </w:t>
      </w:r>
    </w:p>
    <w:tbl>
      <w:tblPr>
        <w:tblW w:w="6615" w:type="dxa"/>
        <w:jc w:val="left"/>
        <w:tblInd w:w="0" w:type="dxa"/>
        <w:tblCellMar>
          <w:top w:w="0" w:type="dxa"/>
          <w:left w:w="0" w:type="dxa"/>
          <w:bottom w:w="0" w:type="dxa"/>
          <w:right w:w="0" w:type="dxa"/>
        </w:tblCellMar>
      </w:tblPr>
      <w:tblGrid>
        <w:gridCol w:w="3770"/>
        <w:gridCol w:w="1415"/>
        <w:gridCol w:w="1430"/>
      </w:tblGrid>
      <w:tr>
        <w:trPr/>
        <w:tc>
          <w:tcPr>
            <w:tcW w:w="3770" w:type="dxa"/>
            <w:tcBorders/>
            <w:shd w:fill="auto" w:val="clear"/>
            <w:vAlign w:val="center"/>
          </w:tcPr>
          <w:p>
            <w:pPr>
              <w:pStyle w:val="TableContents"/>
              <w:spacing w:before="0" w:after="0"/>
              <w:ind w:left="0" w:right="0" w:hanging="0"/>
              <w:rPr/>
            </w:pPr>
            <w:r>
              <w:rPr/>
              <w:t> </w:t>
            </w:r>
          </w:p>
        </w:tc>
        <w:tc>
          <w:tcPr>
            <w:tcW w:w="14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2020</w:t>
            </w:r>
          </w:p>
          <w:p>
            <w:pPr>
              <w:pStyle w:val="TableContents"/>
              <w:spacing w:before="0" w:after="0"/>
              <w:jc w:val="left"/>
              <w:rPr/>
            </w:pPr>
            <w:r>
              <w:rPr/>
              <w:t> </w:t>
            </w:r>
          </w:p>
        </w:tc>
        <w:tc>
          <w:tcPr>
            <w:tcW w:w="14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 2019</w:t>
            </w:r>
          </w:p>
          <w:p>
            <w:pPr>
              <w:pStyle w:val="TableContents"/>
              <w:spacing w:before="0" w:after="0"/>
              <w:jc w:val="left"/>
              <w:rPr/>
            </w:pPr>
            <w:r>
              <w:rPr/>
              <w:t> </w:t>
            </w:r>
          </w:p>
        </w:tc>
      </w:tr>
      <w:tr>
        <w:trPr/>
        <w:tc>
          <w:tcPr>
            <w:tcW w:w="377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Current portion included in accrued liabilities</w:t>
            </w:r>
          </w:p>
        </w:tc>
        <w:tc>
          <w:tcPr>
            <w:tcW w:w="14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$60,379</w:t>
            </w:r>
            <w:r>
              <w:rPr>
                <w:color w:val="000000"/>
              </w:rPr>
              <w:t> </w:t>
            </w:r>
          </w:p>
        </w:tc>
        <w:tc>
          <w:tcPr>
            <w:tcW w:w="14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$111,353</w:t>
            </w:r>
            <w:r>
              <w:rPr>
                <w:color w:val="000000"/>
              </w:rPr>
              <w:t> </w:t>
            </w:r>
          </w:p>
        </w:tc>
      </w:tr>
      <w:tr>
        <w:trPr/>
        <w:tc>
          <w:tcPr>
            <w:tcW w:w="377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Long term lease liability</w:t>
            </w:r>
          </w:p>
        </w:tc>
        <w:tc>
          <w:tcPr>
            <w:tcW w:w="141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w:t>
            </w:r>
            <w:r>
              <w:rPr>
                <w:color w:val="000000"/>
              </w:rPr>
              <w:t> </w:t>
            </w:r>
          </w:p>
        </w:tc>
        <w:tc>
          <w:tcPr>
            <w:tcW w:w="143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60,379</w:t>
            </w:r>
            <w:r>
              <w:rPr>
                <w:color w:val="000000"/>
              </w:rPr>
              <w:t> </w:t>
            </w:r>
          </w:p>
        </w:tc>
      </w:tr>
      <w:tr>
        <w:trPr/>
        <w:tc>
          <w:tcPr>
            <w:tcW w:w="3770" w:type="dxa"/>
            <w:tcBorders/>
            <w:shd w:fill="CCEEFF" w:val="clear"/>
            <w:vAlign w:val="center"/>
          </w:tcPr>
          <w:p>
            <w:pPr>
              <w:pStyle w:val="TableContents"/>
              <w:spacing w:before="0" w:after="0"/>
              <w:ind w:left="0" w:right="0" w:hanging="0"/>
              <w:jc w:val="left"/>
              <w:rPr>
                <w:color w:val="000000"/>
              </w:rPr>
            </w:pPr>
            <w:r>
              <w:rPr>
                <w:color w:val="000000"/>
              </w:rPr>
              <w:t>  </w:t>
            </w:r>
          </w:p>
        </w:tc>
        <w:tc>
          <w:tcPr>
            <w:tcW w:w="14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$60,379</w:t>
            </w:r>
            <w:r>
              <w:rPr>
                <w:color w:val="000000"/>
              </w:rPr>
              <w:t> </w:t>
            </w:r>
          </w:p>
        </w:tc>
        <w:tc>
          <w:tcPr>
            <w:tcW w:w="14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$171,732</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the maturities of our operating lease liabilities were as follows:</w:t>
      </w:r>
    </w:p>
    <w:p>
      <w:pPr>
        <w:pStyle w:val="TextBody"/>
        <w:spacing w:before="0" w:after="0"/>
        <w:rPr/>
      </w:pPr>
      <w:r>
        <w:rPr/>
        <w:t> </w:t>
      </w:r>
    </w:p>
    <w:tbl>
      <w:tblPr>
        <w:tblW w:w="3100" w:type="dxa"/>
        <w:jc w:val="left"/>
        <w:tblInd w:w="0" w:type="dxa"/>
        <w:tblCellMar>
          <w:top w:w="0" w:type="dxa"/>
          <w:left w:w="0" w:type="dxa"/>
          <w:bottom w:w="0" w:type="dxa"/>
          <w:right w:w="0" w:type="dxa"/>
        </w:tblCellMar>
      </w:tblPr>
      <w:tblGrid>
        <w:gridCol w:w="2270"/>
        <w:gridCol w:w="830"/>
      </w:tblGrid>
      <w:tr>
        <w:trPr/>
        <w:tc>
          <w:tcPr>
            <w:tcW w:w="2270" w:type="dxa"/>
            <w:tcBorders/>
            <w:shd w:fill="auto" w:val="clear"/>
            <w:vAlign w:val="center"/>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Year ending December 31,</w:t>
            </w:r>
          </w:p>
        </w:tc>
        <w:tc>
          <w:tcPr>
            <w:tcW w:w="83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270" w:type="dxa"/>
            <w:tcBorders/>
            <w:shd w:fill="CCEEFF" w:val="clear"/>
            <w:vAlign w:val="center"/>
          </w:tcPr>
          <w:p>
            <w:pPr>
              <w:pStyle w:val="TableContents"/>
              <w:spacing w:before="0" w:after="0"/>
              <w:ind w:left="0" w:right="0" w:firstLine="360"/>
              <w:jc w:val="left"/>
              <w:rPr>
                <w:rFonts w:ascii="Times New Roman" w:hAnsi="Times New Roman"/>
                <w:color w:val="000000"/>
                <w:sz w:val="20"/>
              </w:rPr>
            </w:pPr>
            <w:r>
              <w:rPr>
                <w:rFonts w:ascii="Times New Roman" w:hAnsi="Times New Roman"/>
                <w:color w:val="000000"/>
                <w:sz w:val="20"/>
              </w:rPr>
              <w:t>2021</w:t>
            </w:r>
          </w:p>
        </w:tc>
        <w:tc>
          <w:tcPr>
            <w:tcW w:w="8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61,803</w:t>
            </w:r>
            <w:r>
              <w:rPr>
                <w:color w:val="000000"/>
              </w:rPr>
              <w:t> </w:t>
            </w:r>
          </w:p>
        </w:tc>
      </w:tr>
      <w:tr>
        <w:trPr/>
        <w:tc>
          <w:tcPr>
            <w:tcW w:w="22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jc w:val="left"/>
              <w:rPr/>
            </w:pPr>
            <w:r>
              <w:rPr/>
              <w:t>    </w:t>
            </w:r>
          </w:p>
        </w:tc>
      </w:tr>
      <w:tr>
        <w:trPr/>
        <w:tc>
          <w:tcPr>
            <w:tcW w:w="2270"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Total lease payments</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single" w:sz="12" w:space="1" w:color="000000"/>
              </w:rPr>
              <w:t>$61,803</w:t>
            </w:r>
            <w:r>
              <w:rPr>
                <w:color w:val="000000"/>
              </w:rPr>
              <w:t> </w:t>
            </w:r>
          </w:p>
        </w:tc>
      </w:tr>
      <w:tr>
        <w:trPr/>
        <w:tc>
          <w:tcPr>
            <w:tcW w:w="2270"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Less: Imputed interest</w:t>
            </w:r>
          </w:p>
        </w:tc>
        <w:tc>
          <w:tcPr>
            <w:tcW w:w="83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(1,424</w:t>
            </w:r>
            <w:r>
              <w:rPr>
                <w:rFonts w:ascii="Times New Roman" w:hAnsi="Times New Roman"/>
                <w:color w:val="000000"/>
                <w:sz w:val="20"/>
              </w:rPr>
              <w:t>)</w:t>
            </w:r>
          </w:p>
        </w:tc>
      </w:tr>
      <w:tr>
        <w:trPr/>
        <w:tc>
          <w:tcPr>
            <w:tcW w:w="2270" w:type="dxa"/>
            <w:tcBorders/>
            <w:shd w:fill="CCEEFF" w:val="clear"/>
            <w:vAlign w:val="center"/>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Operating lease liability</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$60,379</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Simdax license agreement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On November 13, 2013, the Company acquired,</w:t>
      </w:r>
      <w:r>
        <w:rPr>
          <w:rFonts w:ascii="Times New Roman" w:hAnsi="Times New Roman"/>
          <w:sz w:val="20"/>
        </w:rPr>
        <w:t xml:space="preserve"> through its wholly owned subsidiary, Life Newco, </w:t>
      </w:r>
      <w:r>
        <w:rPr>
          <w:rFonts w:ascii="Times New Roman" w:hAnsi="Times New Roman"/>
          <w:color w:val="000000"/>
          <w:sz w:val="20"/>
        </w:rPr>
        <w:t>that certain</w:t>
      </w:r>
      <w:r>
        <w:rPr>
          <w:rFonts w:ascii="Times New Roman" w:hAnsi="Times New Roman"/>
          <w:sz w:val="20"/>
        </w:rPr>
        <w:t xml:space="preserve"> License Agreement (the “License”), dated September 20, 2013 by and between Phyxius and Orion, and that certain Side Letter, dated October 15, 2013 by and between Phyxius and Orion. The License grants the Company </w:t>
      </w:r>
      <w:r>
        <w:rPr>
          <w:rFonts w:ascii="Times New Roman" w:hAnsi="Times New Roman"/>
          <w:color w:val="000000"/>
          <w:sz w:val="20"/>
        </w:rPr>
        <w:t>an exclusive, sublicensable right to develop and commercialize pharmaceutical products containing levosimendan (the “Product”) in the United States and Canada (the “Territory”) from Orion.  Pursuant to the License, the Company must use Orion’s “Simdax®” trademark to commercialize the Product.  The License also grants to the Company a right of first refusal to commercialize new developments of the Product, including developments as to the formulation, presentation, means of delivery, route of administration, dosage or indication, i.e., line extension products.  Orion’s ongoing role under the License includes sublicense approval, serving as the sole source of manufacture, holding a first right to enforce intellectual property rights in the Territory, and certain regulatory participation rights.  Additionally, the Company must grant back to Orion a broad non-exclusive license to any patents or clinical trial data related to the Product developed by the Company under the License.  The License has a fifteen-year term, provided, however, that the License will continue after the end of the 15-year term in each country in the Territory until the expiration of Orion’s patent rights in the Product in such country.  </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On October 9, 2020, the Company entered into the Amendment to include two new oral products containing levosimendan, in capsule and solid dosage form, and a subcutaneously administered product containing levosimendan to the scope of the License, subject to specified limitations. The Amendment also amends the tiered royalty payments based on net sales of the Product in the Territory (each as defined in the License, as amended by the Amendment) made by the Company and its sublicensees. Pursuant to the Amendment, the term of the License has been extended until 10 years after the launch of the Product in the Territory, provided that </w:t>
      </w:r>
      <w:r>
        <w:rPr>
          <w:rFonts w:ascii="Times New Roman" w:hAnsi="Times New Roman"/>
          <w:color w:val="000000"/>
          <w:sz w:val="20"/>
          <w:highlight w:val="white"/>
        </w:rPr>
        <w:t>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9" w:name="pgbrk55"/>
      <w:bookmarkStart w:id="400" w:name="pgbrk55"/>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01" w:name="ftr54"/>
      <w:bookmarkEnd w:id="40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2" w:name="pn52"/>
      <w:bookmarkEnd w:id="402"/>
      <w:r>
        <w:rPr>
          <w:rFonts w:ascii="Times New Roman" w:hAnsi="Times New Roman"/>
          <w:sz w:val="20"/>
        </w:rPr>
        <w:t>55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03" w:name="pb54"/>
      <w:bookmarkStart w:id="404" w:name="pb54"/>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05" w:name="hdr55"/>
      <w:bookmarkEnd w:id="4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Pursuant to the terms of the License, the Company paid to Orion a non-refundable up-front payment in the amount of $1.0 million.  The License also includes the following development milestones for which the Company shall make non-refundable payments to Orion no later than 28 days after the occurrence of the applicable milestone event: (i) $2.0 million upon the grant of FDA approval, including all registrations, licenses, authorizations and necessary approvals, to develop and/or commercialize the Product in the United States; and (ii)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of the License, the Company must pay Orion a royalty based on net sales of the Product in the Territory for as long as the Company sells the Product in the Territory</w:t>
      </w:r>
      <w:r>
        <w:rPr>
          <w:rFonts w:ascii="Times New Roman" w:hAnsi="Times New Roman"/>
          <w:sz w:val="20"/>
        </w:rPr>
        <w:t>.</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the Company has not met any of the developmental milestones and, accordingly, has not recorded any liability for the contingent payments due to Orion.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On July 3, 2019, Orion filed a request for arbitration against the Company under the Arbitration Rules of the Arbitration Institute of the Stockholm Chamber of Commerce seeking </w:t>
      </w:r>
      <w:r>
        <w:rPr>
          <w:rFonts w:ascii="Times New Roman" w:hAnsi="Times New Roman"/>
          <w:color w:val="000000"/>
          <w:sz w:val="20"/>
          <w:highlight w:val="white"/>
        </w:rPr>
        <w:t>a declaration regarding the correct interpretation of the line extension provisions of the License and whether or not such provisions apply to the oral form of levosimendan recently developed by Orion. Additionally, Orion requested the Company reimburse Orion for all legal fees associated with the arbitration. The Company submitted its response to the request for arbitration on July 31, 2019 and rejected Orion’s position that the oral formation was not a line extension product under the License and requested Orion reimburse the Company for all legal fees associated with the arbitration. The hearing on this matter was held before the arbitral tribunal on April 7 and April 8, 2020. </w:t>
      </w:r>
      <w:r>
        <w:rPr>
          <w:rFonts w:ascii="Times New Roman" w:hAnsi="Times New Roman"/>
          <w:sz w:val="20"/>
        </w:rPr>
        <w:t>The Final Award was issued May 21, 2020 and held in favor of the Company. The tribunal determined that oral levosimendan was a line extension product under the License and ordered Orion to reimburse the Company approximately $358,000 for its direct arbitration costs, including legal fees incurred.</w:t>
      </w:r>
    </w:p>
    <w:p>
      <w:pPr>
        <w:pStyle w:val="TextBody"/>
        <w:spacing w:before="0" w:after="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Litigation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is subject to litigation in the normal course of business, none of which management believes will have a material adverse effect on the Company’s consolidated financial statements.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G—401(k) BENEFIT PLAN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sponsors a 401(k) Retirement Savings Plan (the “401(k) Plan”) for all eligible employees. Full-time employees over the age of 18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The 401(k) Plan is managed by a third-party trustee.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For the years ended December 31, 2020 and 2019, the Company recorded $69,793 and $68,587 for matching contributions expense, respectively.</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6" w:name="pgbrk56"/>
      <w:bookmarkStart w:id="407" w:name="pgbrk56"/>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08" w:name="ftr55"/>
      <w:bookmarkEnd w:id="40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9" w:name="pn53"/>
      <w:bookmarkEnd w:id="409"/>
      <w:r>
        <w:rPr>
          <w:rFonts w:ascii="Times New Roman" w:hAnsi="Times New Roman"/>
          <w:sz w:val="20"/>
        </w:rPr>
        <w:t>56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10" w:name="pb55"/>
      <w:bookmarkStart w:id="411" w:name="pb55"/>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12" w:name="hdr56"/>
      <w:bookmarkEnd w:id="4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H—INCOME TAXES</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recorded any income tax expense (benefit) for the period ended December 31, 2020 due to its history of net operating losses.</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reconciliation of income tax expense (benefit) at the statutory federal income tax rate of 21% for the periods ended December 31, 2020 and December 31, 2019 is as follows:</w:t>
      </w:r>
    </w:p>
    <w:p>
      <w:pPr>
        <w:pStyle w:val="TextBody"/>
        <w:spacing w:before="0" w:after="0"/>
        <w:rPr/>
      </w:pPr>
      <w:r>
        <w:rPr/>
        <w:t> </w:t>
      </w:r>
    </w:p>
    <w:tbl>
      <w:tblPr>
        <w:tblW w:w="6630" w:type="dxa"/>
        <w:jc w:val="left"/>
        <w:tblInd w:w="0" w:type="dxa"/>
        <w:tblCellMar>
          <w:top w:w="0" w:type="dxa"/>
          <w:left w:w="0" w:type="dxa"/>
          <w:bottom w:w="0" w:type="dxa"/>
          <w:right w:w="0" w:type="dxa"/>
        </w:tblCellMar>
      </w:tblPr>
      <w:tblGrid>
        <w:gridCol w:w="4355"/>
        <w:gridCol w:w="1130"/>
        <w:gridCol w:w="1145"/>
      </w:tblGrid>
      <w:tr>
        <w:trPr/>
        <w:tc>
          <w:tcPr>
            <w:tcW w:w="4355" w:type="dxa"/>
            <w:tcBorders/>
            <w:shd w:fill="auto" w:val="clear"/>
            <w:vAlign w:val="center"/>
          </w:tcPr>
          <w:p>
            <w:pPr>
              <w:pStyle w:val="TableContents"/>
              <w:spacing w:before="0" w:after="0"/>
              <w:ind w:left="0" w:right="0" w:hanging="0"/>
              <w:rPr/>
            </w:pPr>
            <w:r>
              <w:rPr/>
              <w:t> </w:t>
            </w:r>
          </w:p>
        </w:tc>
        <w:tc>
          <w:tcPr>
            <w:tcW w:w="2275"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w:t>
            </w:r>
          </w:p>
          <w:p>
            <w:pPr>
              <w:pStyle w:val="TableContents"/>
              <w:spacing w:before="0" w:after="0"/>
              <w:jc w:val="left"/>
              <w:rPr/>
            </w:pPr>
            <w:r>
              <w:rPr/>
              <w:t> </w:t>
            </w:r>
          </w:p>
        </w:tc>
      </w:tr>
      <w:tr>
        <w:trPr/>
        <w:tc>
          <w:tcPr>
            <w:tcW w:w="4355" w:type="dxa"/>
            <w:tcBorders/>
            <w:shd w:fill="auto" w:val="clear"/>
            <w:vAlign w:val="center"/>
          </w:tcPr>
          <w:p>
            <w:pPr>
              <w:pStyle w:val="TableContents"/>
              <w:spacing w:before="0" w:after="0"/>
              <w:ind w:left="0" w:right="0" w:hanging="0"/>
              <w:rPr/>
            </w:pPr>
            <w:r>
              <w:rPr/>
              <w:t> </w:t>
            </w:r>
          </w:p>
        </w:tc>
        <w:tc>
          <w:tcPr>
            <w:tcW w:w="11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14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r>
      <w:tr>
        <w:trPr/>
        <w:tc>
          <w:tcPr>
            <w:tcW w:w="435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U.S. federal tax benefit at statutory rate</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$(2,068,792)</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$(1,762,816)</w:t>
            </w:r>
          </w:p>
        </w:tc>
      </w:tr>
      <w:tr>
        <w:trPr/>
        <w:tc>
          <w:tcPr>
            <w:tcW w:w="435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State income tax benefit, net of federal benefit</w:t>
            </w:r>
          </w:p>
        </w:tc>
        <w:tc>
          <w:tcPr>
            <w:tcW w:w="113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(194,565)</w:t>
            </w:r>
          </w:p>
        </w:tc>
        <w:tc>
          <w:tcPr>
            <w:tcW w:w="114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(165,789)</w:t>
            </w:r>
          </w:p>
        </w:tc>
      </w:tr>
      <w:tr>
        <w:trPr/>
        <w:tc>
          <w:tcPr>
            <w:tcW w:w="435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Stock compensation</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57,611</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37,761</w:t>
            </w:r>
            <w:r>
              <w:rPr>
                <w:color w:val="000000"/>
              </w:rPr>
              <w:t> </w:t>
            </w:r>
          </w:p>
        </w:tc>
      </w:tr>
      <w:tr>
        <w:trPr/>
        <w:tc>
          <w:tcPr>
            <w:tcW w:w="435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Other nondeductible, including goodwill impairment</w:t>
            </w:r>
          </w:p>
        </w:tc>
        <w:tc>
          <w:tcPr>
            <w:tcW w:w="113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576</w:t>
            </w:r>
            <w:r>
              <w:rPr>
                <w:color w:val="000000"/>
              </w:rPr>
              <w:t> </w:t>
            </w:r>
          </w:p>
        </w:tc>
        <w:tc>
          <w:tcPr>
            <w:tcW w:w="114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1,373</w:t>
            </w:r>
            <w:r>
              <w:rPr>
                <w:color w:val="000000"/>
              </w:rPr>
              <w:t> </w:t>
            </w:r>
          </w:p>
        </w:tc>
      </w:tr>
      <w:tr>
        <w:trPr/>
        <w:tc>
          <w:tcPr>
            <w:tcW w:w="435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Change in state tax rate</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27,945</w:t>
            </w:r>
            <w:r>
              <w:rPr>
                <w:color w:val="000000"/>
              </w:rPr>
              <w:t> </w:t>
            </w:r>
          </w:p>
        </w:tc>
      </w:tr>
      <w:tr>
        <w:trPr/>
        <w:tc>
          <w:tcPr>
            <w:tcW w:w="435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Federal and state net operating loss adjustments</w:t>
            </w:r>
          </w:p>
        </w:tc>
        <w:tc>
          <w:tcPr>
            <w:tcW w:w="113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1,605,223</w:t>
            </w:r>
            <w:r>
              <w:rPr>
                <w:color w:val="000000"/>
              </w:rPr>
              <w:t> </w:t>
            </w:r>
          </w:p>
        </w:tc>
        <w:tc>
          <w:tcPr>
            <w:tcW w:w="114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20"/>
              </w:rPr>
              <w:t>234,659</w:t>
            </w:r>
            <w:r>
              <w:rPr>
                <w:color w:val="000000"/>
              </w:rPr>
              <w:t> </w:t>
            </w:r>
          </w:p>
        </w:tc>
      </w:tr>
      <w:tr>
        <w:trPr/>
        <w:tc>
          <w:tcPr>
            <w:tcW w:w="4355" w:type="dxa"/>
            <w:tcBorders/>
            <w:shd w:fill="CCEE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Other, including effect of tax rate brackets</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(56,640)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(17,043)</w:t>
            </w:r>
          </w:p>
        </w:tc>
      </w:tr>
      <w:tr>
        <w:trPr/>
        <w:tc>
          <w:tcPr>
            <w:tcW w:w="435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Change in valuation allowance</w:t>
            </w:r>
          </w:p>
        </w:tc>
        <w:tc>
          <w:tcPr>
            <w:tcW w:w="1130"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656,587</w:t>
            </w:r>
            <w:r>
              <w:rPr>
                <w:color w:val="000000"/>
              </w:rPr>
              <w:t> </w:t>
            </w:r>
          </w:p>
        </w:tc>
        <w:tc>
          <w:tcPr>
            <w:tcW w:w="1145"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1,643,910</w:t>
            </w:r>
            <w:r>
              <w:rPr>
                <w:color w:val="000000"/>
              </w:rPr>
              <w:t> </w:t>
            </w:r>
          </w:p>
        </w:tc>
      </w:tr>
      <w:tr>
        <w:trPr/>
        <w:tc>
          <w:tcPr>
            <w:tcW w:w="4355" w:type="dxa"/>
            <w:tcBorders/>
            <w:shd w:fill="CCEEFF" w:val="clear"/>
            <w:vAlign w:val="center"/>
          </w:tcPr>
          <w:p>
            <w:pPr>
              <w:pStyle w:val="TableContents"/>
              <w:spacing w:before="0" w:after="0"/>
              <w:ind w:left="0" w:right="0" w:hanging="0"/>
              <w:jc w:val="left"/>
              <w:rPr>
                <w:color w:val="000000"/>
              </w:rPr>
            </w:pPr>
            <w:r>
              <w:rPr>
                <w:color w:val="000000"/>
              </w:rPr>
              <w:t>  </w:t>
            </w:r>
          </w:p>
        </w:tc>
        <w:tc>
          <w:tcPr>
            <w:tcW w:w="11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w:t>
            </w:r>
            <w:r>
              <w:rPr>
                <w:color w:val="000000"/>
              </w:rPr>
              <w:t> </w:t>
            </w:r>
          </w:p>
        </w:tc>
        <w:tc>
          <w:tcPr>
            <w:tcW w:w="11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tax effects of temporary differences and carry forwards that give rise to significant portions of the deferred tax assets are as follows:</w:t>
      </w:r>
    </w:p>
    <w:p>
      <w:pPr>
        <w:pStyle w:val="TextBody"/>
        <w:spacing w:before="0" w:after="0"/>
        <w:rPr/>
      </w:pPr>
      <w:r>
        <w:rPr/>
        <w:t> </w:t>
      </w:r>
    </w:p>
    <w:tbl>
      <w:tblPr>
        <w:tblW w:w="5580" w:type="dxa"/>
        <w:jc w:val="left"/>
        <w:tblInd w:w="0" w:type="dxa"/>
        <w:tblCellMar>
          <w:top w:w="0" w:type="dxa"/>
          <w:left w:w="0" w:type="dxa"/>
          <w:bottom w:w="0" w:type="dxa"/>
          <w:right w:w="0" w:type="dxa"/>
        </w:tblCellMar>
      </w:tblPr>
      <w:tblGrid>
        <w:gridCol w:w="3185"/>
        <w:gridCol w:w="1190"/>
        <w:gridCol w:w="1205"/>
      </w:tblGrid>
      <w:tr>
        <w:trPr/>
        <w:tc>
          <w:tcPr>
            <w:tcW w:w="3185" w:type="dxa"/>
            <w:tcBorders/>
            <w:shd w:fill="auto" w:val="clear"/>
            <w:vAlign w:val="center"/>
          </w:tcPr>
          <w:p>
            <w:pPr>
              <w:pStyle w:val="TableContents"/>
              <w:spacing w:before="0" w:after="0"/>
              <w:ind w:left="0" w:right="0" w:hanging="0"/>
              <w:rPr/>
            </w:pPr>
            <w:r>
              <w:rPr/>
              <w:t> </w:t>
            </w:r>
          </w:p>
        </w:tc>
        <w:tc>
          <w:tcPr>
            <w:tcW w:w="2395"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December 31,</w:t>
            </w:r>
          </w:p>
          <w:p>
            <w:pPr>
              <w:pStyle w:val="TableContents"/>
              <w:spacing w:before="0" w:after="0"/>
              <w:jc w:val="left"/>
              <w:rPr/>
            </w:pPr>
            <w:r>
              <w:rPr/>
              <w:t> </w:t>
            </w:r>
          </w:p>
        </w:tc>
      </w:tr>
      <w:tr>
        <w:trPr/>
        <w:tc>
          <w:tcPr>
            <w:tcW w:w="318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Deferred Tax Assets</w:t>
            </w:r>
          </w:p>
        </w:tc>
        <w:tc>
          <w:tcPr>
            <w:tcW w:w="119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2020</w:t>
            </w:r>
          </w:p>
          <w:p>
            <w:pPr>
              <w:pStyle w:val="TableContents"/>
              <w:spacing w:before="0" w:after="0"/>
              <w:jc w:val="left"/>
              <w:rPr/>
            </w:pPr>
            <w:r>
              <w:rPr/>
              <w:t> </w:t>
            </w:r>
          </w:p>
        </w:tc>
        <w:tc>
          <w:tcPr>
            <w:tcW w:w="120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7"/>
                <w:bdr w:val="single" w:sz="12" w:space="1" w:color="000000"/>
              </w:rPr>
            </w:pPr>
            <w:r>
              <w:rPr>
                <w:rFonts w:ascii="Times New Roman" w:hAnsi="Times New Roman"/>
                <w:b/>
                <w:color w:val="000000"/>
                <w:sz w:val="17"/>
                <w:bdr w:val="single" w:sz="12" w:space="1" w:color="000000"/>
              </w:rPr>
              <w:t>2019</w:t>
            </w:r>
          </w:p>
          <w:p>
            <w:pPr>
              <w:pStyle w:val="TableContents"/>
              <w:spacing w:before="0" w:after="0"/>
              <w:jc w:val="left"/>
              <w:rPr/>
            </w:pPr>
            <w:r>
              <w:rPr/>
              <w:t> </w:t>
            </w:r>
          </w:p>
        </w:tc>
      </w:tr>
      <w:tr>
        <w:trPr/>
        <w:tc>
          <w:tcPr>
            <w:tcW w:w="3185" w:type="dxa"/>
            <w:tcBorders/>
            <w:shd w:fill="CCEE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Net operating loss carryforwards</w:t>
            </w:r>
          </w:p>
        </w:tc>
        <w:tc>
          <w:tcPr>
            <w:tcW w:w="11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$35,540,911</w:t>
            </w:r>
            <w:r>
              <w:rPr>
                <w:color w:val="000000"/>
              </w:rPr>
              <w:t> </w:t>
            </w:r>
          </w:p>
        </w:tc>
        <w:tc>
          <w:tcPr>
            <w:tcW w:w="120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$34,933,500</w:t>
            </w:r>
            <w:r>
              <w:rPr>
                <w:color w:val="000000"/>
              </w:rPr>
              <w:t> </w:t>
            </w:r>
          </w:p>
        </w:tc>
      </w:tr>
      <w:tr>
        <w:trPr/>
        <w:tc>
          <w:tcPr>
            <w:tcW w:w="3185" w:type="dxa"/>
            <w:tcBorders/>
            <w:shd w:fill="FFFF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Accruals and other</w:t>
            </w:r>
          </w:p>
        </w:tc>
        <w:tc>
          <w:tcPr>
            <w:tcW w:w="119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545,225</w:t>
            </w:r>
            <w:r>
              <w:rPr>
                <w:color w:val="000000"/>
              </w:rPr>
              <w:t> </w:t>
            </w:r>
          </w:p>
        </w:tc>
        <w:tc>
          <w:tcPr>
            <w:tcW w:w="120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rPr>
              <w:t>498,572</w:t>
            </w:r>
            <w:r>
              <w:rPr>
                <w:color w:val="000000"/>
              </w:rPr>
              <w:t> </w:t>
            </w:r>
          </w:p>
        </w:tc>
      </w:tr>
      <w:tr>
        <w:trPr/>
        <w:tc>
          <w:tcPr>
            <w:tcW w:w="3185" w:type="dxa"/>
            <w:tcBorders/>
            <w:shd w:fill="CCEE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Capital loss carryforwards</w:t>
            </w:r>
          </w:p>
        </w:tc>
        <w:tc>
          <w:tcPr>
            <w:tcW w:w="11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11,003</w:t>
            </w:r>
            <w:r>
              <w:rPr>
                <w:color w:val="000000"/>
              </w:rPr>
              <w:t> </w:t>
            </w:r>
          </w:p>
        </w:tc>
        <w:tc>
          <w:tcPr>
            <w:tcW w:w="120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20"/>
              </w:rPr>
              <w:t>16,908</w:t>
            </w:r>
            <w:r>
              <w:rPr>
                <w:color w:val="000000"/>
              </w:rPr>
              <w:t> </w:t>
            </w:r>
          </w:p>
        </w:tc>
      </w:tr>
      <w:tr>
        <w:trPr/>
        <w:tc>
          <w:tcPr>
            <w:tcW w:w="3185" w:type="dxa"/>
            <w:tcBorders/>
            <w:shd w:fill="FFFF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Valuation allowance</w:t>
            </w:r>
          </w:p>
        </w:tc>
        <w:tc>
          <w:tcPr>
            <w:tcW w:w="119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(36,096,792</w:t>
            </w:r>
            <w:r>
              <w:rPr>
                <w:rFonts w:ascii="Times New Roman" w:hAnsi="Times New Roman"/>
                <w:color w:val="000000"/>
                <w:sz w:val="20"/>
              </w:rPr>
              <w:t>)</w:t>
            </w:r>
          </w:p>
        </w:tc>
        <w:tc>
          <w:tcPr>
            <w:tcW w:w="120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(35,440,205</w:t>
            </w:r>
            <w:r>
              <w:rPr>
                <w:rFonts w:ascii="Times New Roman" w:hAnsi="Times New Roman"/>
                <w:color w:val="000000"/>
                <w:sz w:val="20"/>
              </w:rPr>
              <w:t>)</w:t>
            </w:r>
          </w:p>
        </w:tc>
      </w:tr>
      <w:tr>
        <w:trPr/>
        <w:tc>
          <w:tcPr>
            <w:tcW w:w="3185" w:type="dxa"/>
            <w:tcBorders/>
            <w:shd w:fill="CCEE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Net deferred tax assets</w:t>
            </w:r>
          </w:p>
        </w:tc>
        <w:tc>
          <w:tcPr>
            <w:tcW w:w="119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347</w:t>
            </w:r>
            <w:r>
              <w:rPr>
                <w:color w:val="000000"/>
              </w:rPr>
              <w:t> </w:t>
            </w:r>
          </w:p>
        </w:tc>
        <w:tc>
          <w:tcPr>
            <w:tcW w:w="120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8,775</w:t>
            </w:r>
            <w:r>
              <w:rPr>
                <w:color w:val="000000"/>
              </w:rPr>
              <w:t> </w:t>
            </w:r>
          </w:p>
        </w:tc>
      </w:tr>
      <w:tr>
        <w:trPr/>
        <w:tc>
          <w:tcPr>
            <w:tcW w:w="31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Deferred Tax Liabilities</w:t>
            </w:r>
          </w:p>
        </w:tc>
        <w:tc>
          <w:tcPr>
            <w:tcW w:w="1190" w:type="dxa"/>
            <w:tcBorders/>
            <w:shd w:fill="FFFFFF" w:val="clear"/>
            <w:vAlign w:val="center"/>
          </w:tcPr>
          <w:p>
            <w:pPr>
              <w:pStyle w:val="TableContents"/>
              <w:spacing w:before="0" w:after="0"/>
              <w:jc w:val="left"/>
              <w:rPr/>
            </w:pPr>
            <w:r>
              <w:rPr/>
              <w:t>    </w:t>
            </w:r>
          </w:p>
        </w:tc>
        <w:tc>
          <w:tcPr>
            <w:tcW w:w="1205" w:type="dxa"/>
            <w:tcBorders/>
            <w:shd w:fill="FFFFFF" w:val="clear"/>
            <w:vAlign w:val="center"/>
          </w:tcPr>
          <w:p>
            <w:pPr>
              <w:pStyle w:val="TableContents"/>
              <w:spacing w:before="0" w:after="0"/>
              <w:jc w:val="left"/>
              <w:rPr/>
            </w:pPr>
            <w:r>
              <w:rPr/>
              <w:t>    </w:t>
            </w:r>
          </w:p>
        </w:tc>
      </w:tr>
      <w:tr>
        <w:trPr/>
        <w:tc>
          <w:tcPr>
            <w:tcW w:w="3185" w:type="dxa"/>
            <w:tcBorders/>
            <w:shd w:fill="CCEEFF" w:val="clear"/>
            <w:vAlign w:val="center"/>
          </w:tcPr>
          <w:p>
            <w:pPr>
              <w:pStyle w:val="TableContents"/>
              <w:spacing w:before="0" w:after="0"/>
              <w:ind w:left="0" w:right="0" w:firstLine="540"/>
              <w:jc w:val="left"/>
              <w:rPr>
                <w:rFonts w:ascii="Times New Roman" w:hAnsi="Times New Roman"/>
                <w:color w:val="000000"/>
                <w:sz w:val="20"/>
              </w:rPr>
            </w:pPr>
            <w:r>
              <w:rPr>
                <w:rFonts w:ascii="Times New Roman" w:hAnsi="Times New Roman"/>
                <w:color w:val="000000"/>
                <w:sz w:val="20"/>
              </w:rPr>
              <w:t>Other liabilities</w:t>
            </w:r>
          </w:p>
        </w:tc>
        <w:tc>
          <w:tcPr>
            <w:tcW w:w="119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(347</w:t>
            </w:r>
            <w:r>
              <w:rPr>
                <w:rFonts w:ascii="Times New Roman" w:hAnsi="Times New Roman"/>
                <w:color w:val="000000"/>
                <w:sz w:val="20"/>
              </w:rPr>
              <w:t>)</w:t>
            </w:r>
          </w:p>
        </w:tc>
        <w:tc>
          <w:tcPr>
            <w:tcW w:w="120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20"/>
                <w:bdr w:val="single" w:sz="12" w:space="1" w:color="000000"/>
              </w:rPr>
              <w:t>(8,775</w:t>
            </w:r>
            <w:r>
              <w:rPr>
                <w:rFonts w:ascii="Times New Roman" w:hAnsi="Times New Roman"/>
                <w:color w:val="000000"/>
                <w:sz w:val="20"/>
              </w:rPr>
              <w:t>)</w:t>
            </w:r>
          </w:p>
        </w:tc>
      </w:tr>
      <w:tr>
        <w:trPr/>
        <w:tc>
          <w:tcPr>
            <w:tcW w:w="3185" w:type="dxa"/>
            <w:tcBorders/>
            <w:shd w:fill="FFFFFF"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Net Deferred Tax Liabilities</w:t>
            </w:r>
          </w:p>
        </w:tc>
        <w:tc>
          <w:tcPr>
            <w:tcW w:w="119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w:t>
            </w:r>
            <w:r>
              <w:rPr>
                <w:color w:val="000000"/>
              </w:rPr>
              <w:t> </w:t>
            </w:r>
          </w:p>
        </w:tc>
        <w:tc>
          <w:tcPr>
            <w:tcW w:w="120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20"/>
                <w:bdr w:val="double" w:sz="8" w:space="1" w:color="000000"/>
              </w:rPr>
              <w:t>$-</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increase in the valuation allowance during 2020 was approximately $0.7 million.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2020, the Company had Federal and State net operating loss carryforwards of approximately $153.0 million and $109.3 million available to offset future federal and state taxable income, respectively. Federal net operating losses of $128.7 million begin to expire in 2021, while the remaining $24.3 million carryforward indefinitely. State net operating losses begin to expire in 2024.</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Management has evaluated all other tax positions that could have a significant effect on the financial statements and determined the Company had no uncertain income tax positions on December 31, 2020.</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files U.S. and state income tax returns with varying statutes of limitations. The tax years 2002 and forward remain open to examination due to the carryover of unused net operating losses or tax credit.</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I—SUBSEQUENT EVENTS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January 15, 2021, the Company, Life Newco II, PHPM, and Dr. Stuart Rich, solely in his capacity as holders’ representative (in such capacity, the “Representative”), entered into the Merger Agreement, pursuant to which, subject to the satisfaction or waiver of the conditions set forth in the Merger Agreement, the Company would acquire 100% of the equity of PHPM. Under the terms of the Merger Agreement, Life Newco II would merge with and into PHPM, with PHPM surviving as a wholly owned subsidiary of the Company. On January 15, 2021, the Company completed the Acquisition.</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3" w:name="pgbrk57"/>
      <w:bookmarkStart w:id="414" w:name="pgbrk57"/>
      <w:bookmarkEnd w:id="4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15" w:name="ftr56"/>
      <w:bookmarkEnd w:id="4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6" w:name="pn54"/>
      <w:bookmarkEnd w:id="416"/>
      <w:r>
        <w:rPr>
          <w:rFonts w:ascii="Times New Roman" w:hAnsi="Times New Roman"/>
          <w:sz w:val="20"/>
        </w:rPr>
        <w:t>57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17" w:name="pb56"/>
      <w:bookmarkStart w:id="418" w:name="pb56"/>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19" w:name="hdr57"/>
      <w:bookmarkEnd w:id="4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consideration for the Merger, the stockholders of PHPM received (i) 1,892,905 shares of the Company’s common stock (“Common Stock”), and (ii) 10,232 shares of the Company’s Series B convertible preferred stock, which are convertible into up to an aggregate of 10,232,000 shares of Common Stock (“Preferred Stock”) (collectively, the “Merger Consideration”). The issuance of 1,212,492 shares of Common Stock issuable upon conversion of the Preferred Stock, representing approximately 10% of the Merger Consideration, will be delayed as security for closing adjustments and post-closing indemnification obligations of PHPM and the stockholders of PHPM. Each share of Preferred Stock will automatically convert into (i) 881.5 shares of Common Stock following receipt of the approval of the stockholders of the Company for the Conversion (as defined herein), and (ii) 118.5 shares of Common Stock 24 months after the date of issuance of the Preferred Stock, subject to reduction for indemnification claims. The number of shares of Common Stock into which the Preferred Stock converts is subject to adjustment in the case of stock splits, stock dividends, combinations of shares and similar recapitalization transactions. The Preferred Stock does not carry dividends or a liquidation preference. The Preferred Stock carries voting rights aggregating 4.99% of the Company’s Common Stock voting power immediately prior to the closing of the Merger. The rights, preferences and privileges of the Preferred Stock are set forth in the Certificate of Designation of Series B Convertible Preferred Stock that the Company filed with the Secretary of State of the State of Delaware on January 15, 2021 (the “Certificate of Designation”).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Pursuant to the Merger Agreement, the Company must, no later than July 31, 2021, take all action necessary to call, convene and hold a meeting of the Company’s stockholders to vote upon the conversion of the Preferred Stock pursuant to the Certificate of Designation (the “Conversion”). If stockholder approval is not obtained at such meeting, the Company must call a meeting every 90 days thereafter to seek stockholder approval for the Conversion until the earlier of the date stockholder approval for the Conversion is obtained or the Preferred Stock is no longer outstanding.</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terms of the Merger Agreement also require the board of directors of the Company (the “Board”) to, subject to the Board’s fiduciary duties under applicable law, (i) recommend to the Company’s stockholders that they approve the Conversion at any meeting of the Company’s stockholders called for the approval of the Conversion, and (ii) use reasonable best efforts to solicit from the Company’s stockholders, the affirmative vote of the holders of shares representing a majority of the shares of the Company’s capital stock voting in person or by proxy at any such meeting. A vote on the Conversion is expected to take place at the Company’s next annual meeting of stockholders. In addition, (i) at the Company’s first regularly scheduled Board meeting following the closing of the Merger, the Board must appoint one director designated by the Representative to serve on the Board, and (ii) as promptly as practicable after the Company has obtained stockholder approval for the Conversion, the Board must appoint two additional directors designated by the Representative to serve on the Board. Dr. Stuart Rich, the co-founder and Chief Executive Officer, and a stockholder of PHPM, and Dr. Michael Davidson and Dr. Declan Doogan, the two other designees of the Representative, were appointed to the Board on February 25, 2021. In connection with the closing of the Merger, Dr. Stuart Rich was also appointed Chief Medical Officer of the Company.</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9—</w:t>
      </w:r>
      <w:bookmarkStart w:id="420" w:name="CHAN"/>
      <w:bookmarkEnd w:id="420"/>
      <w:r>
        <w:rPr>
          <w:rFonts w:ascii="Times New Roman" w:hAnsi="Times New Roman"/>
          <w:b/>
          <w:sz w:val="20"/>
        </w:rPr>
        <w:t>CHANGES IN AND DISAGREEMENTS WITH ACCOUNTANTS ON ACCOUNTING AND FINANCIAL DISCLOSURE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None.</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9A—</w:t>
      </w:r>
      <w:bookmarkStart w:id="421" w:name="CONT"/>
      <w:bookmarkEnd w:id="421"/>
      <w:r>
        <w:rPr>
          <w:rFonts w:ascii="Times New Roman" w:hAnsi="Times New Roman"/>
          <w:b/>
          <w:sz w:val="20"/>
        </w:rPr>
        <w:t>CONTROLS AND PROCEDURES</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Disclosure Controls and Procedures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disclosure controls and procedures, as defined in Rule 13a-15(e) and 15d-15(e) under the Exchange Act, are designed to ensure that information required to be disclosed by us in reports that we file or submit under the Exchange Act is recorded, processed, summarized, and reported within the time periods specified in rules and forms adopted by the SEC, and that such information is accumulated and communicated to management, including our Chief Executive Officer and Chief Financial Officer, to allow timely decisions regarding required disclosures.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Management, with the participation of our Chief Executive Officer and Chief Financial Officer, has evaluated the effectiveness of our disclosure controls and procedures as of the end of the period covered by this Form 10-K. Based on such evaluation, our Chief Executive Officer and Chief Financial Officer concluded that, as of December 31, 2020, our disclosure controls and procedures were effective at the reasonable assurance level.</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2" w:name="pgbrk58"/>
      <w:bookmarkStart w:id="423" w:name="pgbrk58"/>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24" w:name="ftr57"/>
      <w:bookmarkEnd w:id="4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5" w:name="pn55"/>
      <w:bookmarkEnd w:id="425"/>
      <w:r>
        <w:rPr>
          <w:rFonts w:ascii="Times New Roman" w:hAnsi="Times New Roman"/>
          <w:sz w:val="20"/>
        </w:rPr>
        <w:t>58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26" w:name="pb57"/>
      <w:bookmarkStart w:id="427" w:name="pb57"/>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28" w:name="hdr58"/>
      <w:bookmarkEnd w:id="4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Controls over Financial Reporting</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From time to time, we may review and make changes to our internal control over financial reporting that are intended to enhance the effectiveness of our internal control over financial reporting and which do not have a material effect on our overall internal control over financial reporting. During the three months ended December 31, 2020, we made no changes to our internal control over financial reporting, as such term is defined in Rules 13a-15(f) and 15d-15(f) under the Exchange Act, that we believe materially affected, or are reasonably likely to materially affect, our internal control over financial reporting.</w:t>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Management’s Annual Report on Internal Control over Financial Reporting</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Our management is responsible for establishing and maintaining adequate internal control over financial reporting. Internal control over financial reporting, as defined in Rule 13a-15(f) and Rule 15(d)-15(f) under the Exchange Act, is a process designed by, or under the supervision of, our Chief Executive Officer and Chief Financial Officer and affected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w:t>
      </w:r>
    </w:p>
    <w:p>
      <w:pPr>
        <w:pStyle w:val="TextBody"/>
        <w:spacing w:before="0" w:after="0"/>
        <w:rPr/>
      </w:pPr>
      <w:r>
        <w:rPr/>
        <w:t> </w:t>
      </w:r>
    </w:p>
    <w:tbl>
      <w:tblPr>
        <w:tblW w:w="9845" w:type="dxa"/>
        <w:jc w:val="left"/>
        <w:tblInd w:w="360" w:type="dxa"/>
        <w:tblCellMar>
          <w:top w:w="0" w:type="dxa"/>
          <w:left w:w="0" w:type="dxa"/>
          <w:bottom w:w="0" w:type="dxa"/>
          <w:right w:w="0" w:type="dxa"/>
        </w:tblCellMar>
      </w:tblPr>
      <w:tblGrid>
        <w:gridCol w:w="95"/>
        <w:gridCol w:w="9750"/>
      </w:tblGrid>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Pertain to the maintenance of records that in reasonable detail accurately and fairly reflect the transactions and dispositions of our assets;</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Provide reasonable assurance that transactions are recorded as necessary to permit preparation of financial statements in accordance with GAAP, and that our receipts and expenditures are being made only in accordance with authorizations of our management and our Board of Directors; and</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75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Provide reasonable assurance regarding prevention or timely detection of unauthorized acquisition, use or disposition of our assets that could have a material effect on our financial statements.</w:t>
            </w:r>
          </w:p>
          <w:p>
            <w:pPr>
              <w:pStyle w:val="TableContents"/>
              <w:spacing w:before="0" w:after="0"/>
              <w:ind w:left="0" w:right="0" w:hanging="0"/>
              <w:jc w:val="both"/>
              <w:rPr/>
            </w:pPr>
            <w:r>
              <w:rPr/>
              <w:t> </w:t>
            </w:r>
          </w:p>
        </w:tc>
      </w:tr>
    </w:tbl>
    <w:p>
      <w:pPr>
        <w:pStyle w:val="TextBody"/>
        <w:spacing w:before="0" w:after="0"/>
        <w:ind w:left="0" w:right="0" w:hanging="0"/>
        <w:jc w:val="left"/>
        <w:rPr>
          <w:rFonts w:ascii="Times New Roman" w:hAnsi="Times New Roman"/>
          <w:sz w:val="20"/>
        </w:rPr>
      </w:pPr>
      <w:r>
        <w:rPr>
          <w:rFonts w:ascii="Times New Roman" w:hAnsi="Times New Roman"/>
          <w:sz w:val="20"/>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Our management assessed the effectiveness of our internal control over financial reporting as of December 31, 2020. In making its assessment, management used the criteria established by the Committee of Sponsoring Organizations of the Treadway Commission in its 2013 </w:t>
      </w:r>
      <w:r>
        <w:rPr>
          <w:rFonts w:ascii="Times New Roman" w:hAnsi="Times New Roman"/>
          <w:i/>
          <w:sz w:val="20"/>
        </w:rPr>
        <w:t>Internal Control — Integrated Framework</w:t>
      </w:r>
      <w:r>
        <w:rPr>
          <w:rFonts w:ascii="Times New Roman" w:hAnsi="Times New Roman"/>
          <w:sz w:val="20"/>
        </w:rPr>
        <w:t>. Based on its assessment, management has concluded that our internal control over financial reporting was effective as of December 31, 2020.</w:t>
      </w:r>
    </w:p>
    <w:p>
      <w:pPr>
        <w:pStyle w:val="TextBody"/>
        <w:spacing w:before="0" w:after="0"/>
        <w:rPr>
          <w:rFonts w:ascii="Times New Roman" w:hAnsi="Times New Roman"/>
        </w:rPr>
      </w:pPr>
      <w:r>
        <w:rPr>
          <w:rFonts w:ascii="Times New Roman" w:hAnsi="Times New Roman"/>
        </w:rPr>
      </w:r>
    </w:p>
    <w:p>
      <w:pPr>
        <w:pStyle w:val="TextBody"/>
        <w:spacing w:before="0" w:after="0"/>
        <w:ind w:left="1080" w:right="0" w:hanging="1080"/>
        <w:jc w:val="left"/>
        <w:rPr>
          <w:rFonts w:ascii="Times New Roman" w:hAnsi="Times New Roman"/>
          <w:b/>
          <w:sz w:val="20"/>
        </w:rPr>
      </w:pPr>
      <w:r>
        <w:rPr>
          <w:rFonts w:ascii="Times New Roman" w:hAnsi="Times New Roman"/>
          <w:b/>
          <w:sz w:val="20"/>
        </w:rPr>
        <w:t>ITEM 9B—</w:t>
      </w:r>
      <w:bookmarkStart w:id="429" w:name="OTHE"/>
      <w:bookmarkEnd w:id="429"/>
      <w:r>
        <w:rPr>
          <w:rFonts w:ascii="Times New Roman" w:hAnsi="Times New Roman"/>
          <w:b/>
          <w:sz w:val="20"/>
        </w:rPr>
        <w:t>OTHER INFORMATION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There is no information to report under this item for the quarter ended December 31, 2020.</w:t>
      </w:r>
    </w:p>
    <w:p>
      <w:pPr>
        <w:pStyle w:val="TextBody"/>
        <w:spacing w:before="0" w:after="0"/>
        <w:rPr/>
      </w:pPr>
      <w:r>
        <w:rPr/>
        <w:t> </w:t>
      </w:r>
    </w:p>
    <w:p>
      <w:pPr>
        <w:pStyle w:val="TextBody"/>
        <w:spacing w:before="0" w:after="0"/>
        <w:ind w:left="0" w:right="0" w:hanging="0"/>
        <w:jc w:val="center"/>
        <w:rPr>
          <w:rFonts w:ascii="Times New Roman" w:hAnsi="Times New Roman"/>
          <w:b/>
          <w:sz w:val="20"/>
        </w:rPr>
      </w:pPr>
      <w:bookmarkStart w:id="430" w:name="PARTIII"/>
      <w:bookmarkEnd w:id="430"/>
      <w:r>
        <w:rPr>
          <w:rFonts w:ascii="Times New Roman" w:hAnsi="Times New Roman"/>
          <w:b/>
          <w:sz w:val="20"/>
        </w:rPr>
        <w:t>PART III</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 xml:space="preserve">ITEM 10— </w:t>
      </w:r>
      <w:bookmarkStart w:id="431" w:name="DIRE"/>
      <w:bookmarkEnd w:id="431"/>
      <w:r>
        <w:rPr>
          <w:rFonts w:ascii="Times New Roman" w:hAnsi="Times New Roman"/>
          <w:b/>
          <w:sz w:val="20"/>
        </w:rPr>
        <w:t>DIRECTORS, EXECUTIVE OFFICERS, AND CORPORATE GOVERNANCE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information required by this item is incorporated by reference to our Proxy Statement for our 2021 Annual Meeting of Stockholders, which will be filed with the SEC within 120 days after the end of fiscal 2020.</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11—</w:t>
      </w:r>
      <w:bookmarkStart w:id="432" w:name="EXEC"/>
      <w:bookmarkEnd w:id="432"/>
      <w:r>
        <w:rPr>
          <w:rFonts w:ascii="Times New Roman" w:hAnsi="Times New Roman"/>
          <w:b/>
          <w:sz w:val="20"/>
        </w:rPr>
        <w:t>EXECUTIVE COMPENSATION</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information required by this item is incorporated by reference to our Proxy Statement for our 2021 Annual Meeting of Stockholders, which will be filed with the SEC within 120 days after the end of fiscal 2020.</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3" w:name="pgbrk59"/>
      <w:bookmarkStart w:id="434" w:name="pgbrk59"/>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35" w:name="ftr58"/>
      <w:bookmarkEnd w:id="4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6" w:name="pn56"/>
      <w:bookmarkEnd w:id="436"/>
      <w:r>
        <w:rPr>
          <w:rFonts w:ascii="Times New Roman" w:hAnsi="Times New Roman"/>
          <w:sz w:val="20"/>
        </w:rPr>
        <w:t>59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37" w:name="pb58"/>
      <w:bookmarkStart w:id="438" w:name="pb58"/>
      <w:bookmarkEnd w:id="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39" w:name="hdr59"/>
      <w:bookmarkEnd w:id="4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12—</w:t>
      </w:r>
      <w:bookmarkStart w:id="440" w:name="SECU"/>
      <w:bookmarkEnd w:id="440"/>
      <w:r>
        <w:rPr>
          <w:rFonts w:ascii="Times New Roman" w:hAnsi="Times New Roman"/>
          <w:b/>
          <w:sz w:val="20"/>
        </w:rPr>
        <w:t>SECURITY OWNERSHIP OF CERTAIN BENEFICIAL OWNERS AND MANAGEMENT AND RELATED STOCKHOLDER MATTERS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information required by this item is incorporated by reference to our Proxy Statement for our 2021 Annual Meeting of Stockholders, which will be filed with the SEC within 120 days after the end of fiscal 2020.</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13—</w:t>
      </w:r>
      <w:bookmarkStart w:id="441" w:name="CERT"/>
      <w:bookmarkEnd w:id="441"/>
      <w:r>
        <w:rPr>
          <w:rFonts w:ascii="Times New Roman" w:hAnsi="Times New Roman"/>
          <w:b/>
          <w:sz w:val="20"/>
        </w:rPr>
        <w:t>CERTAIN RELATIONSHIPS AND RELATED TRANSACTIONS AND DIRECTOR INDEPENDENCE</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information required by this item is incorporated by reference to our Proxy Statement for our 2021 Annual Meeting of Stockholders, which will be filed with the SEC within 120 days after the end of fiscal 2020.</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14—</w:t>
      </w:r>
      <w:bookmarkStart w:id="442" w:name="PRIN"/>
      <w:bookmarkEnd w:id="442"/>
      <w:r>
        <w:rPr>
          <w:rFonts w:ascii="Times New Roman" w:hAnsi="Times New Roman"/>
          <w:b/>
          <w:sz w:val="20"/>
        </w:rPr>
        <w:t>PRINCIPAL ACCOUNTANT FEES AND SERVICES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information required by this item is incorporated by reference to our Proxy Statement for our 2021 Annual Meeting of Stockholders, which will be filed with the SEC within 120 days after the end of fiscal 2020.</w:t>
      </w:r>
    </w:p>
    <w:p>
      <w:pPr>
        <w:pStyle w:val="TextBody"/>
        <w:spacing w:before="0" w:after="0"/>
        <w:rPr/>
      </w:pPr>
      <w:r>
        <w:rPr/>
        <w:t> </w:t>
      </w: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3" w:name="pgbrk60"/>
      <w:bookmarkStart w:id="444" w:name="pgbrk60"/>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45" w:name="ftr59"/>
      <w:bookmarkEnd w:id="4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6" w:name="pn57"/>
      <w:bookmarkEnd w:id="446"/>
      <w:r>
        <w:rPr>
          <w:rFonts w:ascii="Times New Roman" w:hAnsi="Times New Roman"/>
          <w:sz w:val="20"/>
        </w:rPr>
        <w:t>60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47" w:name="pb59"/>
      <w:bookmarkStart w:id="448" w:name="pb59"/>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49" w:name="hdr60"/>
      <w:bookmarkEnd w:id="4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450" w:name="PARTIV"/>
      <w:bookmarkEnd w:id="450"/>
      <w:r>
        <w:rPr>
          <w:rFonts w:ascii="Times New Roman" w:hAnsi="Times New Roman"/>
          <w:b/>
          <w:sz w:val="20"/>
        </w:rPr>
        <w:t>PART IV</w:t>
      </w:r>
    </w:p>
    <w:p>
      <w:pPr>
        <w:pStyle w:val="TextBody"/>
        <w:spacing w:before="0" w:after="0"/>
        <w:rPr/>
      </w:pPr>
      <w:r>
        <w:rPr/>
        <w:t> </w:t>
      </w:r>
    </w:p>
    <w:p>
      <w:pPr>
        <w:pStyle w:val="TextBody"/>
        <w:spacing w:before="0" w:after="0"/>
        <w:ind w:left="1080" w:right="0" w:hanging="1080"/>
        <w:jc w:val="left"/>
        <w:rPr>
          <w:rFonts w:ascii="Times New Roman" w:hAnsi="Times New Roman"/>
          <w:b/>
          <w:sz w:val="20"/>
        </w:rPr>
      </w:pPr>
      <w:r>
        <w:rPr>
          <w:rFonts w:ascii="Times New Roman" w:hAnsi="Times New Roman"/>
          <w:b/>
          <w:sz w:val="20"/>
        </w:rPr>
        <w:t>ITEM 15—</w:t>
      </w:r>
      <w:bookmarkStart w:id="451" w:name="EXH"/>
      <w:bookmarkEnd w:id="451"/>
      <w:r>
        <w:rPr>
          <w:rFonts w:ascii="Times New Roman" w:hAnsi="Times New Roman"/>
          <w:b/>
          <w:sz w:val="20"/>
        </w:rPr>
        <w:t>EXHIBITS AND FINANCIAL STATEMENT SCHEDULES</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(A)(1) The Consolidated Financial Statements and information listed below are included in this report in Part II, Item 8.</w:t>
      </w:r>
    </w:p>
    <w:p>
      <w:pPr>
        <w:pStyle w:val="TextBody"/>
        <w:spacing w:before="0" w:after="0"/>
        <w:rPr/>
      </w:pPr>
      <w:r>
        <w:rPr/>
        <w:t> </w:t>
      </w:r>
    </w:p>
    <w:tbl>
      <w:tblPr>
        <w:tblW w:w="9430" w:type="dxa"/>
        <w:jc w:val="left"/>
        <w:tblInd w:w="360" w:type="dxa"/>
        <w:tblCellMar>
          <w:top w:w="0" w:type="dxa"/>
          <w:left w:w="0" w:type="dxa"/>
          <w:bottom w:w="0" w:type="dxa"/>
          <w:right w:w="0" w:type="dxa"/>
        </w:tblCellMar>
      </w:tblPr>
      <w:tblGrid>
        <w:gridCol w:w="95"/>
        <w:gridCol w:w="9335"/>
      </w:tblGrid>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3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Report of Independent Registered Public Accounting Firm.</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3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Balance Sheets as of December 31, 2020 and December 31, 2019.</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3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Operations and Comprehensive Loss for the years ended December 31, 2020 and 2019.</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3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Stockholders’ Equity for the years ended December 31, 2020 and 2019.</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3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Cash Flows for the years ended December 31, 2020 and 2019.</w:t>
            </w:r>
          </w:p>
          <w:p>
            <w:pPr>
              <w:pStyle w:val="TableContents"/>
              <w:spacing w:before="0" w:after="0"/>
              <w:ind w:left="0" w:right="0" w:hanging="0"/>
              <w:jc w:val="both"/>
              <w:rPr/>
            </w:pPr>
            <w:r>
              <w:rPr/>
              <w:t> </w:t>
            </w:r>
          </w:p>
        </w:tc>
      </w:tr>
      <w:tr>
        <w:trPr/>
        <w:tc>
          <w:tcPr>
            <w:tcW w:w="9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933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Notes to the Consolidated Financial Statements.</w:t>
            </w:r>
          </w:p>
          <w:p>
            <w:pPr>
              <w:pStyle w:val="TableContents"/>
              <w:spacing w:before="0" w:after="0"/>
              <w:ind w:left="0" w:right="0" w:hanging="0"/>
              <w:jc w:val="both"/>
              <w:rPr/>
            </w:pPr>
            <w:r>
              <w:rPr/>
              <w:t> </w:t>
            </w:r>
          </w:p>
        </w:tc>
      </w:tr>
    </w:tbl>
    <w:p>
      <w:pPr>
        <w:pStyle w:val="TextBody"/>
        <w:spacing w:before="0" w:after="0"/>
        <w:ind w:left="0" w:right="0" w:hanging="0"/>
        <w:jc w:val="left"/>
        <w:rPr>
          <w:rFonts w:ascii="Times New Roman" w:hAnsi="Times New Roman"/>
          <w:sz w:val="20"/>
        </w:rPr>
      </w:pPr>
      <w:r>
        <w:rPr>
          <w:rFonts w:ascii="Times New Roman" w:hAnsi="Times New Roman"/>
          <w:sz w:val="20"/>
        </w:rPr>
        <w:t>(A)(2) No schedules have been included because they are not applicable, or the required information is shown in our Consolidated Financial Statements or our notes thereto.</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(A)(3) The following exhibits have been or are being filed herewith and are numbered in accordance with Item 601 of Regulation S-K:</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860"/>
        <w:gridCol w:w="120"/>
        <w:gridCol w:w="9225"/>
      </w:tblGrid>
      <w:tr>
        <w:trPr/>
        <w:tc>
          <w:tcPr>
            <w:tcW w:w="860"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7"/>
              </w:rPr>
            </w:pPr>
            <w:r>
              <w:rPr>
                <w:rFonts w:ascii="Times New Roman" w:hAnsi="Times New Roman"/>
                <w:b/>
                <w:sz w:val="17"/>
              </w:rPr>
              <w:t>Exhibit No.</w:t>
            </w:r>
          </w:p>
        </w:tc>
        <w:tc>
          <w:tcPr>
            <w:tcW w:w="120" w:type="dxa"/>
            <w:tcBorders/>
            <w:shd w:fill="auto" w:val="clear"/>
            <w:tcMar>
              <w:bottom w:w="0" w:type="dxa"/>
            </w:tcMar>
            <w:vAlign w:val="center"/>
          </w:tcPr>
          <w:p>
            <w:pPr>
              <w:pStyle w:val="TableContents"/>
              <w:spacing w:before="0" w:after="0"/>
              <w:ind w:left="0" w:right="0" w:hanging="0"/>
              <w:jc w:val="left"/>
              <w:rPr/>
            </w:pPr>
            <w:r>
              <w:rPr/>
              <w:t> </w:t>
            </w:r>
          </w:p>
        </w:tc>
        <w:tc>
          <w:tcPr>
            <w:tcW w:w="9225"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7"/>
              </w:rPr>
            </w:pPr>
            <w:r>
              <w:rPr>
                <w:rFonts w:ascii="Times New Roman" w:hAnsi="Times New Roman"/>
                <w:b/>
                <w:sz w:val="17"/>
              </w:rPr>
              <w:t>Exhibits Required by Item 601 of Regulation S-K</w:t>
            </w:r>
          </w:p>
        </w:tc>
      </w:tr>
      <w:tr>
        <w:trPr/>
        <w:tc>
          <w:tcPr>
            <w:tcW w:w="860" w:type="dxa"/>
            <w:tcBorders/>
            <w:shd w:fill="CCEEFF" w:val="clear"/>
            <w:tcMar>
              <w:bottom w:w="0" w:type="dxa"/>
            </w:tcMar>
            <w:vAlign w:val="center"/>
          </w:tcPr>
          <w:p>
            <w:pPr>
              <w:pStyle w:val="TableContents"/>
              <w:spacing w:before="0" w:after="0"/>
              <w:ind w:left="360" w:right="0" w:hanging="360"/>
              <w:jc w:val="left"/>
              <w:rPr/>
            </w:pPr>
            <w:hyperlink r:id="rId2">
              <w:r>
                <w:rPr>
                  <w:rStyle w:val="InternetLink"/>
                  <w:rFonts w:ascii="Times New Roman" w:hAnsi="Times New Roman"/>
                  <w:color w:val="0000FF"/>
                  <w:sz w:val="20"/>
                </w:rPr>
                <w:t>2.1</w:t>
              </w:r>
            </w:hyperlink>
          </w:p>
          <w:p>
            <w:pPr>
              <w:pStyle w:val="TableContents"/>
              <w:spacing w:before="0" w:after="0"/>
              <w:ind w:left="0" w:right="0" w:hanging="0"/>
              <w:jc w:val="both"/>
              <w:rPr/>
            </w:pPr>
            <w:r>
              <w:rPr/>
              <w:t> </w:t>
            </w:r>
          </w:p>
        </w:tc>
        <w:tc>
          <w:tcPr>
            <w:tcW w:w="120" w:type="dxa"/>
            <w:tcBorders/>
            <w:shd w:fill="CCEEFF" w:val="clear"/>
            <w:tcMar>
              <w:bottom w:w="0" w:type="dxa"/>
            </w:tcMar>
            <w:vAlign w:val="center"/>
          </w:tcPr>
          <w:p>
            <w:pPr>
              <w:pStyle w:val="TableContents"/>
              <w:spacing w:before="0" w:after="0"/>
              <w:ind w:left="0" w:right="0" w:hanging="0"/>
              <w:jc w:val="left"/>
              <w:rPr/>
            </w:pPr>
            <w:r>
              <w:rPr/>
              <w:t>  </w:t>
            </w:r>
          </w:p>
          <w:p>
            <w:pPr>
              <w:pStyle w:val="TableContents"/>
              <w:spacing w:before="0" w:after="0"/>
              <w:ind w:left="0" w:right="0" w:hanging="0"/>
              <w:jc w:val="both"/>
              <w:rPr/>
            </w:pPr>
            <w:r>
              <w:rPr/>
              <w:t> </w:t>
            </w:r>
          </w:p>
        </w:tc>
        <w:tc>
          <w:tcPr>
            <w:tcW w:w="9225" w:type="dxa"/>
            <w:tcBorders/>
            <w:shd w:fill="CCEEFF" w:val="clear"/>
            <w:tcMar>
              <w:bottom w:w="0" w:type="dxa"/>
            </w:tcM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Agreement and Plan of Merger between Synthetic Blood International, Inc. and Oxygen Biotherapeutics, Inc. dated April 28, 2008 (incorporated herein by reference to Exhibit 2.01 to our current report on Form 8-K filed with the SEC on June 30, 2008)</w:t>
            </w:r>
          </w:p>
        </w:tc>
      </w:tr>
      <w:tr>
        <w:trPr/>
        <w:tc>
          <w:tcPr>
            <w:tcW w:w="860"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9225" w:type="dxa"/>
            <w:tcBorders/>
            <w:shd w:fill="auto" w:val="clear"/>
            <w:tcMar>
              <w:bottom w:w="0" w:type="dxa"/>
            </w:tcMar>
            <w:vAlign w:val="center"/>
          </w:tcPr>
          <w:p>
            <w:pPr>
              <w:pStyle w:val="TableContents"/>
              <w:spacing w:before="0" w:after="0"/>
              <w:rPr/>
            </w:pPr>
            <w:r>
              <w:rPr/>
              <w:t> </w:t>
            </w:r>
          </w:p>
        </w:tc>
      </w:tr>
      <w:tr>
        <w:trPr/>
        <w:tc>
          <w:tcPr>
            <w:tcW w:w="860" w:type="dxa"/>
            <w:tcBorders/>
            <w:shd w:fill="CCEEFF" w:val="clear"/>
            <w:tcMar>
              <w:bottom w:w="0" w:type="dxa"/>
            </w:tcMar>
            <w:vAlign w:val="center"/>
          </w:tcPr>
          <w:p>
            <w:pPr>
              <w:pStyle w:val="TableContents"/>
              <w:spacing w:before="0" w:after="0"/>
              <w:ind w:left="360" w:right="0" w:hanging="360"/>
              <w:jc w:val="left"/>
              <w:rPr/>
            </w:pPr>
            <w:hyperlink r:id="rId3">
              <w:r>
                <w:rPr>
                  <w:rStyle w:val="InternetLink"/>
                  <w:rFonts w:ascii="Times New Roman" w:hAnsi="Times New Roman"/>
                  <w:color w:val="0000FF"/>
                  <w:sz w:val="20"/>
                </w:rPr>
                <w:t>2.2</w:t>
              </w:r>
            </w:hyperlink>
          </w:p>
          <w:p>
            <w:pPr>
              <w:pStyle w:val="TableContents"/>
              <w:spacing w:before="0" w:after="0"/>
              <w:ind w:left="0" w:right="0" w:hanging="0"/>
              <w:jc w:val="both"/>
              <w:rPr/>
            </w:pPr>
            <w:r>
              <w:rPr/>
              <w:t> </w:t>
            </w:r>
          </w:p>
        </w:tc>
        <w:tc>
          <w:tcPr>
            <w:tcW w:w="120" w:type="dxa"/>
            <w:tcBorders/>
            <w:shd w:fill="CCEEFF" w:val="clear"/>
            <w:tcMar>
              <w:bottom w:w="0" w:type="dxa"/>
            </w:tcMar>
            <w:vAlign w:val="center"/>
          </w:tcPr>
          <w:p>
            <w:pPr>
              <w:pStyle w:val="TableContents"/>
              <w:spacing w:before="0" w:after="0"/>
              <w:ind w:left="0" w:right="0" w:hanging="0"/>
              <w:jc w:val="left"/>
              <w:rPr/>
            </w:pPr>
            <w:r>
              <w:rPr/>
              <w:t>  </w:t>
            </w:r>
          </w:p>
          <w:p>
            <w:pPr>
              <w:pStyle w:val="TableContents"/>
              <w:spacing w:before="0" w:after="0"/>
              <w:ind w:left="0" w:right="0" w:hanging="0"/>
              <w:jc w:val="both"/>
              <w:rPr/>
            </w:pPr>
            <w:r>
              <w:rPr/>
              <w:t> </w:t>
            </w:r>
          </w:p>
        </w:tc>
        <w:tc>
          <w:tcPr>
            <w:tcW w:w="9225" w:type="dxa"/>
            <w:tcBorders/>
            <w:shd w:fill="CCEEFF" w:val="clear"/>
            <w:tcMar>
              <w:bottom w:w="0" w:type="dxa"/>
            </w:tcM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Asset Purchase Agreement by and between Oxygen Biotherapeutics, Inc., Life Newco, Inc., Phyxius Pharma, Inc., and the stockholders of Phyxius Pharma, Inc. dated October 21, 2013 (incorporated herein by reference to Exhibit 2.1 to our current report on Form 8-K filed with the SEC on October 25, 2013)</w:t>
            </w:r>
          </w:p>
        </w:tc>
      </w:tr>
      <w:tr>
        <w:trPr/>
        <w:tc>
          <w:tcPr>
            <w:tcW w:w="860" w:type="dxa"/>
            <w:tcBorders/>
            <w:shd w:fill="auto" w:val="clear"/>
            <w:tcMar>
              <w:bottom w:w="0" w:type="dxa"/>
            </w:tcMar>
            <w:vAlign w:val="center"/>
          </w:tcPr>
          <w:p>
            <w:pPr>
              <w:pStyle w:val="TableContents"/>
              <w:spacing w:before="0" w:after="0"/>
              <w:ind w:left="360" w:right="0" w:hanging="360"/>
              <w:jc w:val="left"/>
              <w:rPr/>
            </w:pPr>
            <w:r>
              <w:rPr/>
              <w:t> </w:t>
            </w:r>
          </w:p>
        </w:tc>
        <w:tc>
          <w:tcPr>
            <w:tcW w:w="120" w:type="dxa"/>
            <w:tcBorders/>
            <w:shd w:fill="auto" w:val="clear"/>
            <w:tcMar>
              <w:bottom w:w="0" w:type="dxa"/>
            </w:tcMar>
            <w:vAlign w:val="center"/>
          </w:tcPr>
          <w:p>
            <w:pPr>
              <w:pStyle w:val="TableContents"/>
              <w:spacing w:before="0" w:after="0"/>
              <w:ind w:left="0" w:right="0" w:hanging="0"/>
              <w:jc w:val="left"/>
              <w:rPr/>
            </w:pPr>
            <w:r>
              <w:rPr/>
              <w:t>  </w:t>
            </w:r>
          </w:p>
        </w:tc>
        <w:tc>
          <w:tcPr>
            <w:tcW w:w="9225" w:type="dxa"/>
            <w:tcBorders/>
            <w:shd w:fill="auto" w:val="clear"/>
            <w:tcMar>
              <w:bottom w:w="0" w:type="dxa"/>
            </w:tcMar>
            <w:vAlign w:val="center"/>
          </w:tcPr>
          <w:p>
            <w:pPr>
              <w:pStyle w:val="TableContents"/>
              <w:spacing w:before="0" w:after="283"/>
              <w:rPr/>
            </w:pPr>
            <w:r>
              <w:rPr/>
            </w:r>
          </w:p>
        </w:tc>
      </w:tr>
      <w:tr>
        <w:trPr/>
        <w:tc>
          <w:tcPr>
            <w:tcW w:w="860" w:type="dxa"/>
            <w:tcBorders/>
            <w:shd w:fill="CCEEFF" w:val="clear"/>
            <w:tcMar>
              <w:bottom w:w="0" w:type="dxa"/>
            </w:tcMar>
            <w:vAlign w:val="center"/>
          </w:tcPr>
          <w:p>
            <w:pPr>
              <w:pStyle w:val="TableContents"/>
              <w:spacing w:before="0" w:after="0"/>
              <w:ind w:left="360" w:right="0" w:hanging="360"/>
              <w:jc w:val="left"/>
              <w:rPr/>
            </w:pPr>
            <w:hyperlink r:id="rId4">
              <w:r>
                <w:rPr>
                  <w:rStyle w:val="InternetLink"/>
                  <w:rFonts w:ascii="Times New Roman" w:hAnsi="Times New Roman"/>
                  <w:color w:val="0000FF"/>
                  <w:sz w:val="20"/>
                </w:rPr>
                <w:t>2.3</w:t>
              </w:r>
            </w:hyperlink>
          </w:p>
          <w:p>
            <w:pPr>
              <w:pStyle w:val="TableContents"/>
              <w:spacing w:before="0" w:after="0"/>
              <w:ind w:left="0" w:right="0" w:hanging="0"/>
              <w:jc w:val="both"/>
              <w:rPr/>
            </w:pPr>
            <w:r>
              <w:rPr/>
              <w:t> </w:t>
            </w:r>
          </w:p>
        </w:tc>
        <w:tc>
          <w:tcPr>
            <w:tcW w:w="120" w:type="dxa"/>
            <w:tcBorders/>
            <w:shd w:fill="CCEEFF" w:val="clear"/>
            <w:tcMar>
              <w:bottom w:w="0" w:type="dxa"/>
            </w:tcMar>
            <w:vAlign w:val="center"/>
          </w:tcPr>
          <w:p>
            <w:pPr>
              <w:pStyle w:val="TableContents"/>
              <w:spacing w:before="0" w:after="0"/>
              <w:rPr/>
            </w:pPr>
            <w:r>
              <w:rPr/>
              <w:t> </w:t>
            </w:r>
          </w:p>
        </w:tc>
        <w:tc>
          <w:tcPr>
            <w:tcW w:w="9225" w:type="dxa"/>
            <w:tcBorders/>
            <w:shd w:fill="CCEEFF" w:val="clear"/>
            <w:tcMar>
              <w:bottom w:w="0" w:type="dxa"/>
            </w:tcM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Agreement and Plan of Merger among PHPrecisionMed Inc., Tenax Therapeutics, Inc., Life Newco II, Inc., and Dr. Stuart Rich dated January 15, 2021 (incorporated by reference to Exhibit 2.1 to our current report on Form 8-K filed with the SEC on January 19, 2021)</w:t>
            </w:r>
          </w:p>
        </w:tc>
      </w:tr>
      <w:tr>
        <w:trPr/>
        <w:tc>
          <w:tcPr>
            <w:tcW w:w="860"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9225" w:type="dxa"/>
            <w:tcBorders/>
            <w:shd w:fill="auto" w:val="clear"/>
            <w:tcMar>
              <w:bottom w:w="0" w:type="dxa"/>
            </w:tcMar>
            <w:vAlign w:val="center"/>
          </w:tcPr>
          <w:p>
            <w:pPr>
              <w:pStyle w:val="TableContents"/>
              <w:spacing w:before="0" w:after="0"/>
              <w:rPr/>
            </w:pPr>
            <w:r>
              <w:rPr/>
              <w:t> </w:t>
            </w:r>
          </w:p>
        </w:tc>
      </w:tr>
      <w:tr>
        <w:trPr/>
        <w:tc>
          <w:tcPr>
            <w:tcW w:w="860" w:type="dxa"/>
            <w:tcBorders/>
            <w:shd w:fill="CCEEFF" w:val="clear"/>
            <w:tcMar>
              <w:bottom w:w="0" w:type="dxa"/>
            </w:tcMar>
            <w:vAlign w:val="center"/>
          </w:tcPr>
          <w:p>
            <w:pPr>
              <w:pStyle w:val="TableContents"/>
              <w:spacing w:before="0" w:after="0"/>
              <w:ind w:left="360" w:right="0" w:hanging="360"/>
              <w:jc w:val="left"/>
              <w:rPr/>
            </w:pPr>
            <w:hyperlink r:id="rId5">
              <w:r>
                <w:rPr>
                  <w:rStyle w:val="InternetLink"/>
                  <w:rFonts w:ascii="Times New Roman" w:hAnsi="Times New Roman"/>
                  <w:color w:val="0000FF"/>
                  <w:sz w:val="20"/>
                </w:rPr>
                <w:t>3.1</w:t>
              </w:r>
            </w:hyperlink>
          </w:p>
        </w:tc>
        <w:tc>
          <w:tcPr>
            <w:tcW w:w="120" w:type="dxa"/>
            <w:tcBorders/>
            <w:shd w:fill="CCEEFF" w:val="clear"/>
            <w:tcMar>
              <w:bottom w:w="0" w:type="dxa"/>
            </w:tcMar>
            <w:vAlign w:val="center"/>
          </w:tcPr>
          <w:p>
            <w:pPr>
              <w:pStyle w:val="TableContents"/>
              <w:spacing w:before="0" w:after="0"/>
              <w:ind w:left="0" w:right="0" w:hanging="0"/>
              <w:jc w:val="left"/>
              <w:rPr/>
            </w:pPr>
            <w:r>
              <w:rPr/>
              <w:t>  </w:t>
            </w:r>
          </w:p>
        </w:tc>
        <w:tc>
          <w:tcPr>
            <w:tcW w:w="9225" w:type="dxa"/>
            <w:tcBorders/>
            <w:shd w:fill="CCEEFF" w:val="clear"/>
            <w:tcMar>
              <w:bottom w:w="0" w:type="dxa"/>
            </w:tcM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Certificate of Incorporation (incorporated herein by reference to Exhibit 3.01 to our current report on Form 8-K filed with the SEC on June 30, 2008)</w:t>
            </w:r>
          </w:p>
        </w:tc>
      </w:tr>
      <w:tr>
        <w:trPr/>
        <w:tc>
          <w:tcPr>
            <w:tcW w:w="860"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9225" w:type="dxa"/>
            <w:tcBorders/>
            <w:shd w:fill="auto" w:val="clear"/>
            <w:tcMar>
              <w:bottom w:w="0" w:type="dxa"/>
            </w:tcMar>
            <w:vAlign w:val="center"/>
          </w:tcPr>
          <w:p>
            <w:pPr>
              <w:pStyle w:val="TableContents"/>
              <w:spacing w:before="0" w:after="0"/>
              <w:rPr/>
            </w:pPr>
            <w:r>
              <w:rPr/>
              <w:t> </w:t>
            </w:r>
          </w:p>
        </w:tc>
      </w:tr>
      <w:tr>
        <w:trPr/>
        <w:tc>
          <w:tcPr>
            <w:tcW w:w="860" w:type="dxa"/>
            <w:tcBorders/>
            <w:shd w:fill="CCEEFF" w:val="clear"/>
            <w:tcMar>
              <w:bottom w:w="0" w:type="dxa"/>
            </w:tcMar>
            <w:vAlign w:val="center"/>
          </w:tcPr>
          <w:p>
            <w:pPr>
              <w:pStyle w:val="TableContents"/>
              <w:spacing w:before="0" w:after="0"/>
              <w:ind w:left="360" w:right="0" w:hanging="360"/>
              <w:jc w:val="left"/>
              <w:rPr/>
            </w:pPr>
            <w:hyperlink r:id="rId6">
              <w:r>
                <w:rPr>
                  <w:rStyle w:val="InternetLink"/>
                  <w:rFonts w:ascii="Times New Roman" w:hAnsi="Times New Roman"/>
                  <w:color w:val="0000FF"/>
                  <w:sz w:val="20"/>
                </w:rPr>
                <w:t>3.2</w:t>
              </w:r>
            </w:hyperlink>
          </w:p>
        </w:tc>
        <w:tc>
          <w:tcPr>
            <w:tcW w:w="120" w:type="dxa"/>
            <w:tcBorders/>
            <w:shd w:fill="CCEEFF" w:val="clear"/>
            <w:tcMar>
              <w:bottom w:w="0" w:type="dxa"/>
            </w:tcMar>
            <w:vAlign w:val="center"/>
          </w:tcPr>
          <w:p>
            <w:pPr>
              <w:pStyle w:val="TableContents"/>
              <w:spacing w:before="0" w:after="0"/>
              <w:rPr/>
            </w:pPr>
            <w:r>
              <w:rPr/>
              <w:t> </w:t>
            </w:r>
          </w:p>
        </w:tc>
        <w:tc>
          <w:tcPr>
            <w:tcW w:w="9225" w:type="dxa"/>
            <w:tcBorders/>
            <w:shd w:fill="CCEEFF" w:val="clear"/>
            <w:tcMar>
              <w:bottom w:w="0" w:type="dxa"/>
            </w:tcM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Certificate of Amendment of the Certificate of Incorporation (incorporated herein by reference to Exhibit 3.1 to our current report on Form 8-K filed with the SEC on November 13, 2009)</w:t>
            </w:r>
          </w:p>
        </w:tc>
      </w:tr>
      <w:tr>
        <w:trPr/>
        <w:tc>
          <w:tcPr>
            <w:tcW w:w="860"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9225" w:type="dxa"/>
            <w:tcBorders/>
            <w:shd w:fill="auto" w:val="clear"/>
            <w:tcMar>
              <w:bottom w:w="0" w:type="dxa"/>
            </w:tcMar>
            <w:vAlign w:val="center"/>
          </w:tcPr>
          <w:p>
            <w:pPr>
              <w:pStyle w:val="TableContents"/>
              <w:spacing w:before="0" w:after="0"/>
              <w:rPr/>
            </w:pPr>
            <w:r>
              <w:rPr/>
              <w:t> </w:t>
            </w:r>
          </w:p>
        </w:tc>
      </w:tr>
      <w:tr>
        <w:trPr/>
        <w:tc>
          <w:tcPr>
            <w:tcW w:w="860" w:type="dxa"/>
            <w:tcBorders/>
            <w:shd w:fill="CCEEFF" w:val="clear"/>
            <w:tcMar>
              <w:bottom w:w="0" w:type="dxa"/>
            </w:tcMar>
            <w:vAlign w:val="center"/>
          </w:tcPr>
          <w:p>
            <w:pPr>
              <w:pStyle w:val="TableContents"/>
              <w:spacing w:before="0" w:after="0"/>
              <w:ind w:left="360" w:right="0" w:hanging="360"/>
              <w:jc w:val="left"/>
              <w:rPr/>
            </w:pPr>
            <w:hyperlink r:id="rId7">
              <w:r>
                <w:rPr>
                  <w:rStyle w:val="InternetLink"/>
                  <w:rFonts w:ascii="Times New Roman" w:hAnsi="Times New Roman"/>
                  <w:color w:val="0000FF"/>
                  <w:sz w:val="20"/>
                </w:rPr>
                <w:t>3.3</w:t>
              </w:r>
            </w:hyperlink>
          </w:p>
        </w:tc>
        <w:tc>
          <w:tcPr>
            <w:tcW w:w="120" w:type="dxa"/>
            <w:tcBorders/>
            <w:shd w:fill="CCEEFF" w:val="clear"/>
            <w:tcMar>
              <w:bottom w:w="0" w:type="dxa"/>
            </w:tcMar>
            <w:vAlign w:val="center"/>
          </w:tcPr>
          <w:p>
            <w:pPr>
              <w:pStyle w:val="TableContents"/>
              <w:spacing w:before="0" w:after="0"/>
              <w:rPr/>
            </w:pPr>
            <w:r>
              <w:rPr/>
              <w:t> </w:t>
            </w:r>
          </w:p>
        </w:tc>
        <w:tc>
          <w:tcPr>
            <w:tcW w:w="9225" w:type="dxa"/>
            <w:tcBorders/>
            <w:shd w:fill="CCEEFF" w:val="clear"/>
            <w:tcMar>
              <w:bottom w:w="0" w:type="dxa"/>
            </w:tcM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 xml:space="preserve">Certificate of Amendment of the Certificate of Incorporation (incorporated herein by reference to Exhibit 3.1 to our </w:t>
            </w:r>
            <w:r>
              <w:rPr>
                <w:rFonts w:ascii="Times New Roman" w:hAnsi="Times New Roman"/>
                <w:color w:val="000000"/>
                <w:sz w:val="20"/>
              </w:rPr>
              <w:t>current report on Form 8-K filed with the SEC on May 15, 2013</w:t>
            </w:r>
            <w:r>
              <w:rPr>
                <w:rFonts w:ascii="Times New Roman" w:hAnsi="Times New Roman"/>
                <w:sz w:val="20"/>
              </w:rPr>
              <w:t>)</w:t>
            </w:r>
          </w:p>
        </w:tc>
      </w:tr>
      <w:tr>
        <w:trPr/>
        <w:tc>
          <w:tcPr>
            <w:tcW w:w="860"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9225" w:type="dxa"/>
            <w:tcBorders/>
            <w:shd w:fill="auto" w:val="clear"/>
            <w:tcMar>
              <w:bottom w:w="0" w:type="dxa"/>
            </w:tcMar>
            <w:vAlign w:val="center"/>
          </w:tcPr>
          <w:p>
            <w:pPr>
              <w:pStyle w:val="TableContents"/>
              <w:spacing w:before="0" w:after="0"/>
              <w:rPr/>
            </w:pPr>
            <w:r>
              <w:rPr/>
              <w:t> </w:t>
            </w:r>
          </w:p>
        </w:tc>
      </w:tr>
      <w:tr>
        <w:trPr/>
        <w:tc>
          <w:tcPr>
            <w:tcW w:w="860" w:type="dxa"/>
            <w:tcBorders/>
            <w:shd w:fill="CCEEFF" w:val="clear"/>
            <w:tcMar>
              <w:bottom w:w="0" w:type="dxa"/>
            </w:tcMar>
            <w:vAlign w:val="center"/>
          </w:tcPr>
          <w:p>
            <w:pPr>
              <w:pStyle w:val="TableContents"/>
              <w:spacing w:before="0" w:after="0"/>
              <w:ind w:left="360" w:right="0" w:hanging="360"/>
              <w:jc w:val="left"/>
              <w:rPr/>
            </w:pPr>
            <w:hyperlink r:id="rId8">
              <w:r>
                <w:rPr>
                  <w:rStyle w:val="InternetLink"/>
                  <w:rFonts w:ascii="Times New Roman" w:hAnsi="Times New Roman"/>
                  <w:color w:val="0000FF"/>
                  <w:sz w:val="20"/>
                </w:rPr>
                <w:t>3.4</w:t>
              </w:r>
            </w:hyperlink>
          </w:p>
        </w:tc>
        <w:tc>
          <w:tcPr>
            <w:tcW w:w="120" w:type="dxa"/>
            <w:tcBorders/>
            <w:shd w:fill="CCEEFF" w:val="clear"/>
            <w:tcMar>
              <w:bottom w:w="0" w:type="dxa"/>
            </w:tcMar>
            <w:vAlign w:val="center"/>
          </w:tcPr>
          <w:p>
            <w:pPr>
              <w:pStyle w:val="TableContents"/>
              <w:spacing w:before="0" w:after="283"/>
              <w:rPr/>
            </w:pPr>
            <w:r>
              <w:rPr/>
            </w:r>
          </w:p>
        </w:tc>
        <w:tc>
          <w:tcPr>
            <w:tcW w:w="9225" w:type="dxa"/>
            <w:tcBorders/>
            <w:shd w:fill="CCEEFF" w:val="clear"/>
            <w:tcMar>
              <w:bottom w:w="0" w:type="dxa"/>
            </w:tcM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Certificate of Amendment of the Certificate of Incorporation (incorporated herein by reference to Exhibit 3.4 to our quarterly report on Form 10-Q filed with the SEC on December 15, 2014)</w:t>
            </w:r>
          </w:p>
        </w:tc>
      </w:tr>
      <w:tr>
        <w:trPr/>
        <w:tc>
          <w:tcPr>
            <w:tcW w:w="860"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9225" w:type="dxa"/>
            <w:tcBorders/>
            <w:shd w:fill="auto" w:val="clear"/>
            <w:tcMar>
              <w:bottom w:w="0" w:type="dxa"/>
            </w:tcMar>
            <w:vAlign w:val="center"/>
          </w:tcPr>
          <w:p>
            <w:pPr>
              <w:pStyle w:val="TableContents"/>
              <w:spacing w:before="0" w:after="0"/>
              <w:rPr/>
            </w:pPr>
            <w:r>
              <w:rPr/>
              <w:t> </w:t>
            </w:r>
          </w:p>
        </w:tc>
      </w:tr>
      <w:tr>
        <w:trPr/>
        <w:tc>
          <w:tcPr>
            <w:tcW w:w="860" w:type="dxa"/>
            <w:tcBorders/>
            <w:shd w:fill="CCEEFF" w:val="clear"/>
            <w:tcMar>
              <w:bottom w:w="0" w:type="dxa"/>
            </w:tcMar>
            <w:vAlign w:val="center"/>
          </w:tcPr>
          <w:p>
            <w:pPr>
              <w:pStyle w:val="TableContents"/>
              <w:spacing w:before="0" w:after="0"/>
              <w:ind w:left="360" w:right="0" w:hanging="360"/>
              <w:jc w:val="left"/>
              <w:rPr/>
            </w:pPr>
            <w:hyperlink r:id="rId9">
              <w:r>
                <w:rPr>
                  <w:rStyle w:val="InternetLink"/>
                  <w:rFonts w:ascii="Times New Roman" w:hAnsi="Times New Roman"/>
                  <w:color w:val="0000FF"/>
                  <w:sz w:val="20"/>
                </w:rPr>
                <w:t>3.5</w:t>
              </w:r>
            </w:hyperlink>
          </w:p>
        </w:tc>
        <w:tc>
          <w:tcPr>
            <w:tcW w:w="120" w:type="dxa"/>
            <w:tcBorders/>
            <w:shd w:fill="CCEEFF" w:val="clear"/>
            <w:tcMar>
              <w:bottom w:w="0" w:type="dxa"/>
            </w:tcMar>
            <w:vAlign w:val="center"/>
          </w:tcPr>
          <w:p>
            <w:pPr>
              <w:pStyle w:val="TableContents"/>
              <w:spacing w:before="0" w:after="0"/>
              <w:rPr/>
            </w:pPr>
            <w:r>
              <w:rPr/>
              <w:t> </w:t>
            </w:r>
          </w:p>
        </w:tc>
        <w:tc>
          <w:tcPr>
            <w:tcW w:w="9225" w:type="dxa"/>
            <w:tcBorders/>
            <w:shd w:fill="CCEEFF" w:val="clear"/>
            <w:tcMar>
              <w:bottom w:w="0" w:type="dxa"/>
            </w:tcM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Certificate of Amendment of the Certificate of Incorporation (incorporated herein by reference to Exhibit 3.1 to our current report on Form 8-K filed with the SEC on February 23, 2018)</w:t>
            </w:r>
          </w:p>
        </w:tc>
      </w:tr>
      <w:tr>
        <w:trPr/>
        <w:tc>
          <w:tcPr>
            <w:tcW w:w="860" w:type="dxa"/>
            <w:tcBorders/>
            <w:shd w:fill="auto" w:val="clear"/>
            <w:tcMar>
              <w:bottom w:w="0" w:type="dxa"/>
            </w:tcMar>
            <w:vAlign w:val="center"/>
          </w:tcPr>
          <w:p>
            <w:pPr>
              <w:pStyle w:val="TableContents"/>
              <w:spacing w:before="0" w:after="0"/>
              <w:rPr/>
            </w:pPr>
            <w:r>
              <w:rPr/>
              <w:t> </w:t>
            </w:r>
          </w:p>
        </w:tc>
        <w:tc>
          <w:tcPr>
            <w:tcW w:w="120" w:type="dxa"/>
            <w:tcBorders/>
            <w:shd w:fill="auto" w:val="clear"/>
            <w:tcMar>
              <w:bottom w:w="0" w:type="dxa"/>
            </w:tcMar>
            <w:vAlign w:val="center"/>
          </w:tcPr>
          <w:p>
            <w:pPr>
              <w:pStyle w:val="TableContents"/>
              <w:spacing w:before="0" w:after="0"/>
              <w:rPr/>
            </w:pPr>
            <w:r>
              <w:rPr/>
              <w:t> </w:t>
            </w:r>
          </w:p>
        </w:tc>
        <w:tc>
          <w:tcPr>
            <w:tcW w:w="9225" w:type="dxa"/>
            <w:tcBorders/>
            <w:shd w:fill="auto" w:val="clear"/>
            <w:tcMar>
              <w:bottom w:w="0" w:type="dxa"/>
            </w:tcMar>
            <w:vAlign w:val="center"/>
          </w:tcPr>
          <w:p>
            <w:pPr>
              <w:pStyle w:val="TableContents"/>
              <w:spacing w:before="0" w:after="0"/>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2" w:name="pgbrk61"/>
      <w:bookmarkStart w:id="453" w:name="pgbrk61"/>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54" w:name="ftr60"/>
      <w:bookmarkEnd w:id="4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5" w:name="pn58"/>
      <w:bookmarkEnd w:id="455"/>
      <w:r>
        <w:rPr>
          <w:rFonts w:ascii="Times New Roman" w:hAnsi="Times New Roman"/>
          <w:sz w:val="20"/>
        </w:rPr>
        <w:t>61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56" w:name="pb60"/>
      <w:bookmarkStart w:id="457" w:name="pb60"/>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58" w:name="hdr61"/>
      <w:bookmarkEnd w:id="4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39"/>
        <w:gridCol w:w="120"/>
        <w:gridCol w:w="9646"/>
      </w:tblGrid>
      <w:tr>
        <w:trPr/>
        <w:tc>
          <w:tcPr>
            <w:tcW w:w="439" w:type="dxa"/>
            <w:tcBorders/>
            <w:shd w:fill="CCEEFF" w:val="clear"/>
            <w:vAlign w:val="center"/>
          </w:tcPr>
          <w:p>
            <w:pPr>
              <w:pStyle w:val="TableContents"/>
              <w:spacing w:before="0" w:after="0"/>
              <w:ind w:left="0" w:right="0" w:hanging="0"/>
              <w:jc w:val="left"/>
              <w:rPr/>
            </w:pPr>
            <w:hyperlink r:id="rId10">
              <w:r>
                <w:rPr>
                  <w:rStyle w:val="InternetLink"/>
                  <w:rFonts w:ascii="Times New Roman" w:hAnsi="Times New Roman"/>
                  <w:color w:val="0000FF"/>
                  <w:sz w:val="20"/>
                </w:rPr>
                <w:t>3.6</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Certificate of Designation of Series A Convertible Preferred Stock (incorporated herein by reference to Exhibit 4.1 to our current report on Form 8-K filed with the SEC on December 11, 2018)</w:t>
            </w:r>
          </w:p>
        </w:tc>
      </w:tr>
      <w:tr>
        <w:trPr/>
        <w:tc>
          <w:tcPr>
            <w:tcW w:w="439" w:type="dxa"/>
            <w:tcBorders/>
            <w:shd w:fill="auto" w:val="clear"/>
            <w:vAlign w:val="center"/>
          </w:tcPr>
          <w:p>
            <w:pPr>
              <w:pStyle w:val="TableContents"/>
              <w:spacing w:before="0" w:after="0"/>
              <w:ind w:left="0" w:right="0" w:hanging="0"/>
              <w:jc w:val="left"/>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283"/>
              <w:rPr/>
            </w:pPr>
            <w:r>
              <w:rPr/>
            </w:r>
          </w:p>
        </w:tc>
      </w:tr>
      <w:tr>
        <w:trPr/>
        <w:tc>
          <w:tcPr>
            <w:tcW w:w="439" w:type="dxa"/>
            <w:tcBorders/>
            <w:shd w:fill="CCEEFF" w:val="clear"/>
            <w:vAlign w:val="center"/>
          </w:tcPr>
          <w:p>
            <w:pPr>
              <w:pStyle w:val="TableContents"/>
              <w:spacing w:before="0" w:after="0"/>
              <w:ind w:left="0" w:right="0" w:hanging="0"/>
              <w:jc w:val="left"/>
              <w:rPr>
                <w:rFonts w:ascii="Times New Roman" w:hAnsi="Times New Roman"/>
                <w:color w:val="0000FF"/>
                <w:sz w:val="20"/>
              </w:rPr>
            </w:pPr>
            <w:r>
              <w:rPr>
                <w:rFonts w:ascii="Times New Roman" w:hAnsi="Times New Roman"/>
                <w:color w:val="0000FF"/>
                <w:sz w:val="20"/>
              </w:rPr>
              <w:t>3.7</w:t>
            </w:r>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Certificate of Designation of Series B Convertible Preferred Stock (incorporated herein by reference to Exhibit 4.1 to our current report on Form 8-K filed with the SEC on January 19, 2021)</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11">
              <w:r>
                <w:rPr>
                  <w:rStyle w:val="InternetLink"/>
                  <w:rFonts w:ascii="Times New Roman" w:hAnsi="Times New Roman"/>
                  <w:color w:val="0000FF"/>
                  <w:sz w:val="20"/>
                </w:rPr>
                <w:t>3.8</w:t>
              </w:r>
            </w:hyperlink>
          </w:p>
        </w:tc>
        <w:tc>
          <w:tcPr>
            <w:tcW w:w="120" w:type="dxa"/>
            <w:tcBorders/>
            <w:shd w:fill="CCEEFF" w:val="clear"/>
            <w:vAlign w:val="center"/>
          </w:tcPr>
          <w:p>
            <w:pPr>
              <w:pStyle w:val="TableContents"/>
              <w:spacing w:before="0" w:after="0"/>
              <w:ind w:left="0" w:right="0" w:hanging="0"/>
              <w:jc w:val="left"/>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Third Amended and Restated Bylaws (incorporated herein by reference to Exhibit 3.1 to our quarterly report on Form 10-Q filed with the SEC on September 9, 2015)</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12">
              <w:r>
                <w:rPr>
                  <w:rStyle w:val="InternetLink"/>
                  <w:rFonts w:ascii="Times New Roman" w:hAnsi="Times New Roman"/>
                  <w:color w:val="0000FF"/>
                  <w:sz w:val="20"/>
                </w:rPr>
                <w:t>4.1</w:t>
              </w:r>
            </w:hyperlink>
          </w:p>
        </w:tc>
        <w:tc>
          <w:tcPr>
            <w:tcW w:w="12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Specimen Stock Certificate (incorporated herein by reference to Exhibit 4.1 to our annual report on Form 10-K filed with the SEC on July 23, 2010)</w:t>
            </w:r>
          </w:p>
        </w:tc>
      </w:tr>
      <w:tr>
        <w:trPr/>
        <w:tc>
          <w:tcPr>
            <w:tcW w:w="439" w:type="dxa"/>
            <w:tcBorders/>
            <w:shd w:fill="auto" w:val="clear"/>
            <w:vAlign w:val="center"/>
          </w:tcPr>
          <w:p>
            <w:pPr>
              <w:pStyle w:val="TableContents"/>
              <w:spacing w:before="0" w:after="0"/>
              <w:ind w:left="360" w:right="0" w:hanging="360"/>
              <w:jc w:val="left"/>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ind w:left="360" w:right="0" w:hanging="360"/>
              <w:jc w:val="left"/>
              <w:rPr/>
            </w:pPr>
            <w:r>
              <w:rPr/>
              <w:t> </w:t>
            </w:r>
          </w:p>
        </w:tc>
      </w:tr>
      <w:tr>
        <w:trPr/>
        <w:tc>
          <w:tcPr>
            <w:tcW w:w="439" w:type="dxa"/>
            <w:tcBorders/>
            <w:shd w:fill="CCEEFF" w:val="clear"/>
            <w:vAlign w:val="center"/>
          </w:tcPr>
          <w:p>
            <w:pPr>
              <w:pStyle w:val="TableContents"/>
              <w:spacing w:before="0" w:after="0"/>
              <w:ind w:left="360" w:right="0" w:hanging="360"/>
              <w:jc w:val="left"/>
              <w:rPr/>
            </w:pPr>
            <w:hyperlink w:anchor="tenx_ex4-2.htm">
              <w:r>
                <w:rPr>
                  <w:rStyle w:val="InternetLink"/>
                  <w:rFonts w:ascii="Times New Roman" w:hAnsi="Times New Roman"/>
                  <w:sz w:val="20"/>
                </w:rPr>
                <w:t>4.2</w:t>
              </w:r>
            </w:hyperlink>
          </w:p>
        </w:tc>
        <w:tc>
          <w:tcPr>
            <w:tcW w:w="120" w:type="dxa"/>
            <w:tcBorders/>
            <w:shd w:fill="CCEEFF" w:val="clear"/>
            <w:vAlign w:val="center"/>
          </w:tcPr>
          <w:p>
            <w:pPr>
              <w:pStyle w:val="TableContents"/>
              <w:spacing w:before="0" w:after="0"/>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Description of Common Stock*</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13">
              <w:r>
                <w:rPr>
                  <w:rStyle w:val="InternetLink"/>
                  <w:rFonts w:ascii="Times New Roman" w:hAnsi="Times New Roman"/>
                  <w:color w:val="0000FF"/>
                  <w:sz w:val="20"/>
                </w:rPr>
                <w:t>10.1</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ind w:left="0" w:right="0" w:hanging="0"/>
              <w:jc w:val="left"/>
              <w:rPr/>
            </w:pPr>
            <w:r>
              <w:rPr/>
              <w:t>  </w:t>
            </w:r>
          </w:p>
          <w:p>
            <w:pPr>
              <w:pStyle w:val="TableContents"/>
              <w:spacing w:before="0" w:after="0"/>
              <w:ind w:left="0" w:right="0" w:hanging="0"/>
              <w:jc w:val="both"/>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Agreement with Leland C. Clark, Jr., Ph.D. dated November 20, 1992 with amendments, Assignment of Intellectual Property/ Employment (incorporated herein by reference to Exhibit 10.1 to our annual report on Form 10-K filed with the SEC on August 13, 2004)</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14">
              <w:r>
                <w:rPr>
                  <w:rStyle w:val="InternetLink"/>
                  <w:rFonts w:ascii="Times New Roman" w:hAnsi="Times New Roman"/>
                  <w:color w:val="0000FF"/>
                  <w:sz w:val="20"/>
                </w:rPr>
                <w:t>10.2</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ind w:left="0" w:right="0" w:hanging="0"/>
              <w:jc w:val="left"/>
              <w:rPr/>
            </w:pPr>
            <w:r>
              <w:rPr/>
              <w:t>  </w:t>
            </w:r>
          </w:p>
          <w:p>
            <w:pPr>
              <w:pStyle w:val="TableContents"/>
              <w:spacing w:before="0" w:after="0"/>
              <w:ind w:left="0" w:right="0" w:hanging="0"/>
              <w:jc w:val="both"/>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Agreement between the Registrant and Keith R. Watson, Ph.D. Assignment of Invention (incorporated herein by reference to Exhibit 10.2 to our annual report on Form 10-K filed with the SEC on August 13, 2004)</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15">
              <w:r>
                <w:rPr>
                  <w:rStyle w:val="InternetLink"/>
                  <w:rFonts w:ascii="Times New Roman" w:hAnsi="Times New Roman"/>
                  <w:color w:val="0000FF"/>
                  <w:sz w:val="20"/>
                </w:rPr>
                <w:t>10.3</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ind w:left="0" w:right="0" w:hanging="0"/>
              <w:jc w:val="left"/>
              <w:rPr/>
            </w:pPr>
            <w:r>
              <w:rPr/>
              <w:t>  </w:t>
            </w:r>
          </w:p>
          <w:p>
            <w:pPr>
              <w:pStyle w:val="TableContents"/>
              <w:spacing w:before="0" w:after="0"/>
              <w:ind w:left="0" w:right="0" w:hanging="0"/>
              <w:jc w:val="both"/>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Children’s Hospital Research Foundation License Agreement dated February 28, 2001 (incorporated herein by reference to Exhibit 10.3 to our annual report on Form 10-K filed with the SEC on August 13, 2004)</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16">
              <w:r>
                <w:rPr>
                  <w:rStyle w:val="InternetLink"/>
                  <w:rFonts w:ascii="Times New Roman" w:hAnsi="Times New Roman"/>
                  <w:color w:val="0000FF"/>
                  <w:sz w:val="20"/>
                </w:rPr>
                <w:t>10.4</w:t>
              </w:r>
            </w:hyperlink>
          </w:p>
        </w:tc>
        <w:tc>
          <w:tcPr>
            <w:tcW w:w="120" w:type="dxa"/>
            <w:tcBorders/>
            <w:shd w:fill="CCEEFF" w:val="clear"/>
            <w:vAlign w:val="center"/>
          </w:tcPr>
          <w:p>
            <w:pPr>
              <w:pStyle w:val="TableContents"/>
              <w:spacing w:before="0" w:after="0"/>
              <w:ind w:left="0" w:right="0" w:hanging="0"/>
              <w:jc w:val="left"/>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1999 Amended Stock Plan (as amended and restated in 2008) (incorporated herein by reference to Exhibit 10.15 to our annual report on Form 10-K with the SEC on August 13, 2008) +</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17">
              <w:r>
                <w:rPr>
                  <w:rStyle w:val="InternetLink"/>
                  <w:rFonts w:ascii="Times New Roman" w:hAnsi="Times New Roman"/>
                  <w:color w:val="0000FF"/>
                  <w:sz w:val="20"/>
                </w:rPr>
                <w:t>10.5</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ind w:left="0" w:right="0" w:hanging="0"/>
              <w:jc w:val="left"/>
              <w:rPr/>
            </w:pPr>
            <w:r>
              <w:rPr/>
              <w:t>  </w:t>
            </w:r>
          </w:p>
          <w:p>
            <w:pPr>
              <w:pStyle w:val="TableContents"/>
              <w:spacing w:before="0" w:after="0"/>
              <w:ind w:left="0" w:right="0" w:hanging="0"/>
              <w:jc w:val="both"/>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Amendment No. 1 to Oxygen Biotherapeutics, Inc. 1999 Amended Stock Plan (incorporated herein by reference to Exhibit 10.19 to our annual report on Form 10-K filed with the SEC on July 29, 2014) +</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18">
              <w:r>
                <w:rPr>
                  <w:rStyle w:val="InternetLink"/>
                  <w:rFonts w:ascii="Times New Roman" w:hAnsi="Times New Roman"/>
                  <w:color w:val="0000FF"/>
                  <w:sz w:val="20"/>
                </w:rPr>
                <w:t>10.6</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ind w:left="0" w:right="0" w:hanging="0"/>
              <w:jc w:val="left"/>
              <w:rPr/>
            </w:pPr>
            <w:r>
              <w:rPr/>
              <w:t>  </w:t>
            </w:r>
          </w:p>
          <w:p>
            <w:pPr>
              <w:pStyle w:val="TableContents"/>
              <w:spacing w:before="0" w:after="0"/>
              <w:ind w:left="0" w:right="0" w:hanging="0"/>
              <w:jc w:val="both"/>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Amendment No. 2 to Oxygen Biotherapeutics, Inc. 1999 Amended Stock Plan (incorporated herein by reference to Exhibit 10.20 to our annual report on Form 10-K filed with the SEC on July 29, 2014) +</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0" w:right="0" w:hanging="0"/>
              <w:jc w:val="left"/>
              <w:rPr/>
            </w:pPr>
            <w:hyperlink r:id="rId19">
              <w:r>
                <w:rPr>
                  <w:rStyle w:val="InternetLink"/>
                  <w:rFonts w:ascii="Times New Roman" w:hAnsi="Times New Roman"/>
                  <w:color w:val="0000FF"/>
                  <w:sz w:val="20"/>
                </w:rPr>
                <w:t>10.7</w:t>
              </w:r>
            </w:hyperlink>
          </w:p>
        </w:tc>
        <w:tc>
          <w:tcPr>
            <w:tcW w:w="120" w:type="dxa"/>
            <w:tcBorders/>
            <w:shd w:fill="CCEEFF" w:val="clear"/>
            <w:vAlign w:val="center"/>
          </w:tcPr>
          <w:p>
            <w:pPr>
              <w:pStyle w:val="TableContents"/>
              <w:spacing w:before="0" w:after="0"/>
              <w:ind w:left="360" w:right="0" w:hanging="360"/>
              <w:jc w:val="left"/>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Option issued to Executive Officers and Directors (incorporated herein by reference to Exhibit 10.5 to our annual report on Form 10-K filed with the SEC on August 13, 2004) +</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0" w:right="0" w:hanging="0"/>
              <w:jc w:val="left"/>
              <w:rPr/>
            </w:pPr>
            <w:hyperlink r:id="rId20">
              <w:r>
                <w:rPr>
                  <w:rStyle w:val="InternetLink"/>
                  <w:rFonts w:ascii="Times New Roman" w:hAnsi="Times New Roman"/>
                  <w:color w:val="0000FF"/>
                  <w:sz w:val="20"/>
                </w:rPr>
                <w:t>10.8</w:t>
              </w:r>
            </w:hyperlink>
          </w:p>
        </w:tc>
        <w:tc>
          <w:tcPr>
            <w:tcW w:w="120" w:type="dxa"/>
            <w:tcBorders/>
            <w:shd w:fill="CCEEFF" w:val="clear"/>
            <w:vAlign w:val="center"/>
          </w:tcPr>
          <w:p>
            <w:pPr>
              <w:pStyle w:val="TableContents"/>
              <w:spacing w:before="0" w:after="0"/>
              <w:ind w:left="360" w:right="0" w:hanging="360"/>
              <w:jc w:val="left"/>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Option issued to Employees (incorporated herein by reference to Exhibit 10.6 to our annual report on Form 10-K filed with the SEC on August 13, 2004) +</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0" w:right="0" w:hanging="0"/>
              <w:jc w:val="left"/>
              <w:rPr/>
            </w:pPr>
            <w:hyperlink r:id="rId21">
              <w:r>
                <w:rPr>
                  <w:rStyle w:val="InternetLink"/>
                  <w:rFonts w:ascii="Times New Roman" w:hAnsi="Times New Roman"/>
                  <w:color w:val="0000FF"/>
                  <w:sz w:val="20"/>
                </w:rPr>
                <w:t>10.9</w:t>
              </w:r>
            </w:hyperlink>
          </w:p>
        </w:tc>
        <w:tc>
          <w:tcPr>
            <w:tcW w:w="120" w:type="dxa"/>
            <w:tcBorders/>
            <w:shd w:fill="CCEEFF" w:val="clear"/>
            <w:vAlign w:val="center"/>
          </w:tcPr>
          <w:p>
            <w:pPr>
              <w:pStyle w:val="TableContents"/>
              <w:spacing w:before="0" w:after="0"/>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Option Agreement with Form of Notice of Grant (incorporated herein by reference to Exhibit 10.9 to our annual report on Form 10-K filed with the SEC on March 16, 2017) +</w:t>
            </w:r>
          </w:p>
        </w:tc>
      </w:tr>
      <w:tr>
        <w:trPr/>
        <w:tc>
          <w:tcPr>
            <w:tcW w:w="439"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646" w:type="dxa"/>
            <w:tcBorders/>
            <w:shd w:fill="auto" w:val="clear"/>
            <w:vAlign w:val="center"/>
          </w:tcPr>
          <w:p>
            <w:pPr>
              <w:pStyle w:val="TableContents"/>
              <w:spacing w:before="0" w:after="0"/>
              <w:rPr/>
            </w:pPr>
            <w:r>
              <w:rPr/>
              <w:t> </w:t>
            </w:r>
          </w:p>
        </w:tc>
      </w:tr>
      <w:tr>
        <w:trPr/>
        <w:tc>
          <w:tcPr>
            <w:tcW w:w="439" w:type="dxa"/>
            <w:tcBorders/>
            <w:shd w:fill="CCEEFF" w:val="clear"/>
            <w:vAlign w:val="center"/>
          </w:tcPr>
          <w:p>
            <w:pPr>
              <w:pStyle w:val="TableContents"/>
              <w:spacing w:before="0" w:after="0"/>
              <w:ind w:left="360" w:right="0" w:hanging="360"/>
              <w:jc w:val="left"/>
              <w:rPr/>
            </w:pPr>
            <w:hyperlink r:id="rId22">
              <w:r>
                <w:rPr>
                  <w:rStyle w:val="InternetLink"/>
                  <w:rFonts w:ascii="Times New Roman" w:hAnsi="Times New Roman"/>
                  <w:color w:val="0000FF"/>
                  <w:sz w:val="20"/>
                </w:rPr>
                <w:t>10.10</w:t>
              </w:r>
            </w:hyperlink>
          </w:p>
        </w:tc>
        <w:tc>
          <w:tcPr>
            <w:tcW w:w="120" w:type="dxa"/>
            <w:tcBorders/>
            <w:shd w:fill="CCEEFF" w:val="clear"/>
            <w:vAlign w:val="center"/>
          </w:tcPr>
          <w:p>
            <w:pPr>
              <w:pStyle w:val="TableContents"/>
              <w:spacing w:before="0" w:after="0"/>
              <w:rPr/>
            </w:pPr>
            <w:r>
              <w:rPr/>
              <w:t> </w:t>
            </w:r>
          </w:p>
        </w:tc>
        <w:tc>
          <w:tcPr>
            <w:tcW w:w="96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2016 Stock Incentive Plan (incorporated herein by reference to Exhibit 10.1 to our quarterly report on Form 10-Q filed with the SEC on August 9, 2016)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9" w:name="pgbrk62"/>
      <w:bookmarkStart w:id="460" w:name="pgbrk62"/>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61" w:name="ftr61"/>
      <w:bookmarkEnd w:id="4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2" w:name="pn59"/>
      <w:bookmarkEnd w:id="462"/>
      <w:r>
        <w:rPr>
          <w:rFonts w:ascii="Times New Roman" w:hAnsi="Times New Roman"/>
          <w:sz w:val="20"/>
        </w:rPr>
        <w:t>62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63" w:name="pb61"/>
      <w:bookmarkStart w:id="464" w:name="pb61"/>
      <w:bookmarkEnd w:id="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65" w:name="hdr62"/>
      <w:bookmarkEnd w:id="4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500"/>
        <w:gridCol w:w="120"/>
        <w:gridCol w:w="9585"/>
      </w:tblGrid>
      <w:tr>
        <w:trPr/>
        <w:tc>
          <w:tcPr>
            <w:tcW w:w="500" w:type="dxa"/>
            <w:tcBorders/>
            <w:shd w:fill="CCEEFF" w:val="clear"/>
            <w:vAlign w:val="center"/>
          </w:tcPr>
          <w:p>
            <w:pPr>
              <w:pStyle w:val="TableContents"/>
              <w:spacing w:before="0" w:after="0"/>
              <w:ind w:left="360" w:right="0" w:hanging="360"/>
              <w:jc w:val="left"/>
              <w:rPr/>
            </w:pPr>
            <w:hyperlink r:id="rId23">
              <w:r>
                <w:rPr>
                  <w:rStyle w:val="InternetLink"/>
                  <w:rFonts w:ascii="Times New Roman" w:hAnsi="Times New Roman"/>
                  <w:color w:val="0000FF"/>
                  <w:sz w:val="20"/>
                </w:rPr>
                <w:t>10.1</w:t>
              </w:r>
            </w:hyperlink>
            <w:hyperlink r:id="rId24">
              <w:r>
                <w:rPr>
                  <w:rStyle w:val="InternetLink"/>
                  <w:rFonts w:ascii="Times New Roman" w:hAnsi="Times New Roman"/>
                  <w:sz w:val="20"/>
                </w:rPr>
                <w:t>1</w:t>
              </w:r>
            </w:hyperlink>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Amendment No. 1 to 2016 Stock Incentive Plan (incorporated herein by reference to Exhibit 10.1 to our quarterly report on Form 10-Q filed with the SEC on August 14, 2019)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25">
              <w:r>
                <w:rPr>
                  <w:rStyle w:val="InternetLink"/>
                  <w:rFonts w:ascii="Times New Roman" w:hAnsi="Times New Roman"/>
                  <w:color w:val="0000FF"/>
                  <w:sz w:val="20"/>
                </w:rPr>
                <w:t>10.12</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Option issued to Non-Employee Directors under 2016 Stock Incentive Plan (incorporated herein by reference to Exhibit 10.2 to our quarterly report on Form 10-Q filed with the SEC on August 14, 2018)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26">
              <w:r>
                <w:rPr>
                  <w:rStyle w:val="InternetLink"/>
                  <w:rFonts w:ascii="Times New Roman" w:hAnsi="Times New Roman"/>
                  <w:color w:val="0000FF"/>
                  <w:sz w:val="20"/>
                </w:rPr>
                <w:t>10.13</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Option issued to Employees and Contractors under 2016 Stock Incentive Plan (incorporated herein by reference to Exhibit 10.3 to our quarterly report on Form 10-Q filed with the SEC on August 14, 2018)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27">
              <w:r>
                <w:rPr>
                  <w:rStyle w:val="InternetLink"/>
                  <w:rFonts w:ascii="Times New Roman" w:hAnsi="Times New Roman"/>
                  <w:color w:val="0000FF"/>
                  <w:sz w:val="20"/>
                </w:rPr>
                <w:t>10.14</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Incentive Stock Option Agreement under 2016 Stock Incentive Plan (incorporated herein by reference to Exhibit 10.4 to our quarterly report on Form 10-Q filed with the SEC on August 14, 2018)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28">
              <w:r>
                <w:rPr>
                  <w:rStyle w:val="InternetLink"/>
                  <w:rFonts w:ascii="Times New Roman" w:hAnsi="Times New Roman"/>
                  <w:color w:val="0000FF"/>
                  <w:sz w:val="20"/>
                </w:rPr>
                <w:t>10.15</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Second Amended and Restated Employment Agreement with Michael Jebsen dated November 13, 2013 (incorporated herein by reference to Exhibit 10.2 to our current report on Form 8-K filed with the SEC on November 19, 2013)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29">
              <w:r>
                <w:rPr>
                  <w:rStyle w:val="InternetLink"/>
                  <w:rFonts w:ascii="Times New Roman" w:hAnsi="Times New Roman"/>
                  <w:color w:val="0000FF"/>
                  <w:sz w:val="20"/>
                </w:rPr>
                <w:t>10.16</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First Amendment to Second Amended and Restated Employment Agreement with Michael Jebsen dated June 18, 2015 (incorporated herein by reference to Exhibit 10.2 to our current report on Form 8-K filed with the SEC on June 19, 2015)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30">
              <w:r>
                <w:rPr>
                  <w:rStyle w:val="InternetLink"/>
                  <w:rFonts w:ascii="Times New Roman" w:hAnsi="Times New Roman"/>
                  <w:sz w:val="20"/>
                </w:rPr>
                <w:t>10.17</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Employment Agreement with Anthony DiTonno dated June 1, 2018 (incorporated herein by reference to Exhibit 10.36 to our annual report on Form 10-K filed with the SEC on July 15, 2011)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31">
              <w:r>
                <w:rPr>
                  <w:rStyle w:val="InternetLink"/>
                  <w:rFonts w:ascii="Times New Roman" w:hAnsi="Times New Roman"/>
                  <w:color w:val="0000FF"/>
                  <w:sz w:val="20"/>
                </w:rPr>
                <w:t>10.18</w:t>
              </w:r>
            </w:hyperlink>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Indemnification Agreement (incorporated herein by reference to Exhibit 10.36 to our annual report on Form 10-K filed with the SEC on July 15, 2011)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32">
              <w:r>
                <w:rPr>
                  <w:rStyle w:val="InternetLink"/>
                  <w:rFonts w:ascii="Times New Roman" w:hAnsi="Times New Roman"/>
                  <w:color w:val="0000FF"/>
                  <w:sz w:val="20"/>
                </w:rPr>
                <w:t>10.19</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ind w:left="0" w:right="0" w:hanging="0"/>
              <w:jc w:val="left"/>
              <w:rPr/>
            </w:pPr>
            <w:r>
              <w:rPr/>
              <w:t>  </w:t>
            </w:r>
          </w:p>
          <w:p>
            <w:pPr>
              <w:pStyle w:val="TableContents"/>
              <w:spacing w:before="0" w:after="0"/>
              <w:ind w:left="0" w:right="0" w:hanging="0"/>
              <w:jc w:val="both"/>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Description of Non-Employee Director Compensation, effective June 15, 2015 (incorporated herein by reference to Exhibit 10.1 to our quarterly report on Form 10-Q filed with the SEC on September 9, 2015) +</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33">
              <w:r>
                <w:rPr>
                  <w:rStyle w:val="InternetLink"/>
                  <w:rFonts w:ascii="Times New Roman" w:hAnsi="Times New Roman"/>
                  <w:color w:val="0000FF"/>
                  <w:sz w:val="20"/>
                </w:rPr>
                <w:t>10.20</w:t>
              </w:r>
            </w:hyperlink>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Lease Agreement for North Carolina corporate office (incorporated herein by reference to Exhibit 10.6 to our quarterly report on Form 10-Q filed with the SEC on March 21, 2011)</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34">
              <w:r>
                <w:rPr>
                  <w:rStyle w:val="InternetLink"/>
                  <w:rFonts w:ascii="Times New Roman" w:hAnsi="Times New Roman"/>
                  <w:color w:val="0000FF"/>
                  <w:sz w:val="20"/>
                </w:rPr>
                <w:t>10.21</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First Amendment to Lease Agreement for North Carolina corporate office (incorporated herein by reference to Exhibit 10.74 to our transition report on Form 10-KT filed with the SEC on March 14, 2016)</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35">
              <w:r>
                <w:rPr>
                  <w:rStyle w:val="InternetLink"/>
                  <w:rFonts w:ascii="Times New Roman" w:hAnsi="Times New Roman"/>
                  <w:color w:val="0000FF"/>
                  <w:sz w:val="20"/>
                </w:rPr>
                <w:t>10.22</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Task Order between the Company and NextPharma, dated November 15, 2011 (incorporated herein by reference to Exhibit 10.2 to our current report on Form 8-K filed with the SEC on November 16, 2011)</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36">
              <w:r>
                <w:rPr>
                  <w:rStyle w:val="InternetLink"/>
                  <w:rFonts w:ascii="Times New Roman" w:hAnsi="Times New Roman"/>
                  <w:color w:val="0000FF"/>
                  <w:sz w:val="20"/>
                </w:rPr>
                <w:t>10.23</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Fluoromed Supply Agreement (incorporated herein by reference to Exhibit 10.62 to our annual report on Form 10-K filed with the SEC on July 25, 2012)</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37">
              <w:r>
                <w:rPr>
                  <w:rStyle w:val="InternetLink"/>
                  <w:rFonts w:ascii="Times New Roman" w:hAnsi="Times New Roman"/>
                  <w:color w:val="0000FF"/>
                  <w:sz w:val="20"/>
                </w:rPr>
                <w:t>10.24</w:t>
              </w:r>
            </w:hyperlink>
          </w:p>
          <w:p>
            <w:pPr>
              <w:pStyle w:val="TableContents"/>
              <w:spacing w:before="0" w:after="0"/>
              <w:ind w:left="0" w:right="0" w:hanging="0"/>
              <w:jc w:val="both"/>
              <w:rPr/>
            </w:pPr>
            <w:r>
              <w:rPr/>
              <w:t> </w:t>
            </w:r>
          </w:p>
        </w:tc>
        <w:tc>
          <w:tcPr>
            <w:tcW w:w="120" w:type="dxa"/>
            <w:tcBorders/>
            <w:shd w:fill="CCEEFF" w:val="clear"/>
            <w:vAlign w:val="center"/>
          </w:tcPr>
          <w:p>
            <w:pPr>
              <w:pStyle w:val="TableContents"/>
              <w:spacing w:before="0" w:after="0"/>
              <w:rPr/>
            </w:pPr>
            <w:r>
              <w:rPr/>
              <w:t> </w:t>
            </w:r>
          </w:p>
        </w:tc>
        <w:tc>
          <w:tcPr>
            <w:tcW w:w="958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License and Supply Agreement dated February 5, 2013, between Oxygen Biotherapeutics, Inc. and Valor SA (incorporated herein by reference to Exhibit 10.60 to our annual report on Form 10-K filed with the SEC on July 29, 2014)</w:t>
            </w:r>
          </w:p>
        </w:tc>
      </w:tr>
      <w:tr>
        <w:trPr/>
        <w:tc>
          <w:tcPr>
            <w:tcW w:w="50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85" w:type="dxa"/>
            <w:tcBorders/>
            <w:shd w:fill="auto" w:val="clear"/>
            <w:vAlign w:val="center"/>
          </w:tcPr>
          <w:p>
            <w:pPr>
              <w:pStyle w:val="TableContents"/>
              <w:spacing w:before="0" w:after="0"/>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6" w:name="pgbrk63"/>
      <w:bookmarkStart w:id="467" w:name="pgbrk63"/>
      <w:bookmarkEnd w:id="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68" w:name="ftr62"/>
      <w:bookmarkEnd w:id="4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9" w:name="pn60"/>
      <w:bookmarkEnd w:id="469"/>
      <w:r>
        <w:rPr>
          <w:rFonts w:ascii="Times New Roman" w:hAnsi="Times New Roman"/>
          <w:sz w:val="20"/>
        </w:rPr>
        <w:t>63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70" w:name="pb62"/>
      <w:bookmarkStart w:id="471" w:name="pb62"/>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72" w:name="hdr63"/>
      <w:bookmarkEnd w:id="4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spacing w:before="0" w:after="0"/>
              <w:ind w:left="360" w:right="0" w:hanging="360"/>
              <w:jc w:val="left"/>
              <w:rPr/>
            </w:pPr>
            <w:hyperlink r:id="rId38">
              <w:r>
                <w:rPr>
                  <w:rStyle w:val="InternetLink"/>
                  <w:rFonts w:ascii="Times New Roman" w:hAnsi="Times New Roman"/>
                  <w:color w:val="0000FF"/>
                  <w:sz w:val="20"/>
                </w:rPr>
                <w:t>10.25</w:t>
              </w:r>
            </w:hyperlink>
          </w:p>
          <w:p>
            <w:pPr>
              <w:pStyle w:val="TableContents"/>
              <w:spacing w:before="0" w:after="0"/>
              <w:ind w:left="0" w:right="0" w:hanging="0"/>
              <w:jc w:val="both"/>
              <w:rPr/>
            </w:pPr>
            <w:r>
              <w:rPr/>
              <w:t> </w:t>
            </w:r>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License Agreement dated September 20, 2013 by and between Phyxius Pharma, Inc. and Orion Corporation (incorporated herein by reference to Exhibit 10.3 to our quarterly report on Form 10-Q filed with the SEC on March 17, 2014)**</w:t>
            </w:r>
          </w:p>
        </w:tc>
      </w:tr>
      <w:tr>
        <w:trPr/>
        <w:tc>
          <w:tcPr>
            <w:tcW w:w="500" w:type="dxa"/>
            <w:tcBorders/>
            <w:shd w:fill="auto" w:val="clear"/>
            <w:vAlign w:val="center"/>
          </w:tcPr>
          <w:p>
            <w:pPr>
              <w:pStyle w:val="TableContents"/>
              <w:spacing w:before="0" w:after="0"/>
              <w:ind w:left="360" w:right="0" w:hanging="360"/>
              <w:jc w:val="left"/>
              <w:rPr/>
            </w:pPr>
            <w:r>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360" w:right="0" w:hanging="360"/>
              <w:jc w:val="left"/>
              <w:rPr/>
            </w:pPr>
            <w:hyperlink r:id="rId39">
              <w:r>
                <w:rPr>
                  <w:rStyle w:val="InternetLink"/>
                  <w:rFonts w:ascii="Times New Roman" w:hAnsi="Times New Roman"/>
                  <w:color w:val="0000FF"/>
                  <w:sz w:val="20"/>
                </w:rPr>
                <w:t>10.26</w:t>
              </w:r>
            </w:hyperlink>
          </w:p>
          <w:p>
            <w:pPr>
              <w:pStyle w:val="TableContents"/>
              <w:spacing w:before="0" w:after="0"/>
              <w:ind w:left="0" w:right="0" w:hanging="0"/>
              <w:jc w:val="both"/>
              <w:rPr/>
            </w:pPr>
            <w:r>
              <w:rPr/>
              <w:t> </w:t>
            </w:r>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Amendment to License Agreement, dated as of October 9, 2020, by and between Tenax Therapeutics, Inc. and Orion Corporation (incorporated herein by reference to Exhibit 10.1 to our current report on Form 8-K filed with the SEC on October 15, 2020)**</w:t>
            </w:r>
          </w:p>
        </w:tc>
      </w:tr>
      <w:tr>
        <w:trPr/>
        <w:tc>
          <w:tcPr>
            <w:tcW w:w="5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40">
              <w:r>
                <w:rPr>
                  <w:rStyle w:val="InternetLink"/>
                  <w:rFonts w:ascii="Times New Roman" w:hAnsi="Times New Roman"/>
                  <w:color w:val="0000FF"/>
                  <w:sz w:val="20"/>
                </w:rPr>
                <w:t>10.27</w:t>
              </w:r>
            </w:hyperlink>
          </w:p>
          <w:p>
            <w:pPr>
              <w:pStyle w:val="TableContents"/>
              <w:spacing w:before="0" w:after="0"/>
              <w:ind w:left="0" w:right="0" w:hanging="0"/>
              <w:jc w:val="both"/>
              <w:rPr/>
            </w:pPr>
            <w:r>
              <w:rPr/>
              <w:t> </w:t>
            </w:r>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Sales Agreement dated as of February 23, 2015, between Tenax Therapeutics, Inc. and Cowen and Company, LLC (incorporated herein by reference to Exhibit 10.72 to our annual report on Form 10-K filed with the SEC on July 14, 2015)</w:t>
            </w:r>
          </w:p>
        </w:tc>
      </w:tr>
      <w:tr>
        <w:trPr/>
        <w:tc>
          <w:tcPr>
            <w:tcW w:w="5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41">
              <w:r>
                <w:rPr>
                  <w:rStyle w:val="InternetLink"/>
                  <w:rFonts w:ascii="Times New Roman" w:hAnsi="Times New Roman"/>
                  <w:color w:val="0000FF"/>
                  <w:sz w:val="20"/>
                </w:rPr>
                <w:t>10.28</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Representative’s Warrant to Purchase Shares of Common Stock (incorporated herein by reference to Exhibit 4.2 to our current report on Form 8-K filed with the SEC on December 11, 2018)</w:t>
            </w:r>
          </w:p>
        </w:tc>
      </w:tr>
      <w:tr>
        <w:trPr/>
        <w:tc>
          <w:tcPr>
            <w:tcW w:w="5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42">
              <w:r>
                <w:rPr>
                  <w:rStyle w:val="InternetLink"/>
                  <w:rFonts w:ascii="Times New Roman" w:hAnsi="Times New Roman"/>
                  <w:color w:val="0000FF"/>
                  <w:sz w:val="20"/>
                </w:rPr>
                <w:t>10.29</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Warrant to Purchase Shares of Common Stock (incorporated herein by reference to Exhibit 4.3 to our current report on Form 8-K filed with the SEC on December 11, 2018)</w:t>
            </w:r>
          </w:p>
        </w:tc>
      </w:tr>
      <w:tr>
        <w:trPr/>
        <w:tc>
          <w:tcPr>
            <w:tcW w:w="5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0" w:right="0" w:hanging="0"/>
              <w:jc w:val="left"/>
              <w:rPr/>
            </w:pPr>
            <w:hyperlink r:id="rId43">
              <w:r>
                <w:rPr>
                  <w:rStyle w:val="InternetLink"/>
                  <w:rFonts w:ascii="Times New Roman" w:hAnsi="Times New Roman"/>
                  <w:color w:val="0000FF"/>
                  <w:sz w:val="20"/>
                </w:rPr>
                <w:t>10.30</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Warrant Agency Agreement (incorporated herein by reference to Exhibit 4.4 to our current report on Form 8-K filed with the SEC on December 11, 2018)</w:t>
            </w:r>
          </w:p>
        </w:tc>
      </w:tr>
      <w:tr>
        <w:trPr/>
        <w:tc>
          <w:tcPr>
            <w:tcW w:w="50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0" w:right="0" w:hanging="0"/>
              <w:jc w:val="left"/>
              <w:rPr/>
            </w:pPr>
            <w:hyperlink r:id="rId44">
              <w:r>
                <w:rPr>
                  <w:rStyle w:val="InternetLink"/>
                  <w:rFonts w:ascii="Times New Roman" w:hAnsi="Times New Roman"/>
                  <w:color w:val="0000FF"/>
                  <w:sz w:val="20"/>
                </w:rPr>
                <w:t>10.31</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Securities Purchase Agreement, dated as of March 11, 2020, by and between Tenax Therapeutics, Inc. and the investor identified on the signature page thereto (incorporated herein by reference to Exhibit 10.1 to our current report on Form 8-K filed with the SEC on March 13, 2020)</w:t>
            </w:r>
          </w:p>
        </w:tc>
      </w:tr>
      <w:tr>
        <w:trPr/>
        <w:tc>
          <w:tcPr>
            <w:tcW w:w="500" w:type="dxa"/>
            <w:tcBorders/>
            <w:shd w:fill="auto" w:val="clear"/>
            <w:vAlign w:val="center"/>
          </w:tcPr>
          <w:p>
            <w:pPr>
              <w:pStyle w:val="TableContents"/>
              <w:spacing w:before="0" w:after="0"/>
              <w:ind w:left="0" w:right="0" w:hanging="0"/>
              <w:jc w:val="left"/>
              <w:rPr>
                <w:color w:val="0000FF"/>
              </w:rPr>
            </w:pPr>
            <w:r>
              <w:rPr>
                <w:color w:val="0000FF"/>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283"/>
              <w:rPr/>
            </w:pPr>
            <w:r>
              <w:rPr/>
            </w:r>
          </w:p>
        </w:tc>
      </w:tr>
      <w:tr>
        <w:trPr/>
        <w:tc>
          <w:tcPr>
            <w:tcW w:w="500" w:type="dxa"/>
            <w:tcBorders/>
            <w:shd w:fill="CCEEFF" w:val="clear"/>
            <w:vAlign w:val="center"/>
          </w:tcPr>
          <w:p>
            <w:pPr>
              <w:pStyle w:val="TableContents"/>
              <w:spacing w:before="0" w:after="0"/>
              <w:ind w:left="0" w:right="0" w:hanging="0"/>
              <w:jc w:val="left"/>
              <w:rPr/>
            </w:pPr>
            <w:hyperlink r:id="rId45">
              <w:r>
                <w:rPr>
                  <w:rStyle w:val="InternetLink"/>
                  <w:rFonts w:ascii="Times New Roman" w:hAnsi="Times New Roman"/>
                  <w:color w:val="0000FF"/>
                  <w:sz w:val="20"/>
                </w:rPr>
                <w:t>10.32</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Pre-Funded Warrant (incorporated herein by reference to Exhibit 4.1 to our current report on Form 8-K filed with the SEC on March 13, 2020)</w:t>
            </w:r>
          </w:p>
        </w:tc>
      </w:tr>
      <w:tr>
        <w:trPr/>
        <w:tc>
          <w:tcPr>
            <w:tcW w:w="500" w:type="dxa"/>
            <w:tcBorders/>
            <w:shd w:fill="auto" w:val="clear"/>
            <w:vAlign w:val="center"/>
          </w:tcPr>
          <w:p>
            <w:pPr>
              <w:pStyle w:val="TableContents"/>
              <w:spacing w:before="0" w:after="283"/>
              <w:rPr/>
            </w:pPr>
            <w:r>
              <w:rPr/>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0" w:right="0" w:hanging="0"/>
              <w:jc w:val="left"/>
              <w:rPr/>
            </w:pPr>
            <w:hyperlink r:id="rId46">
              <w:r>
                <w:rPr>
                  <w:rStyle w:val="InternetLink"/>
                  <w:rFonts w:ascii="Times New Roman" w:hAnsi="Times New Roman"/>
                  <w:color w:val="0000FF"/>
                  <w:sz w:val="20"/>
                </w:rPr>
                <w:t>10.33</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Unregistered Warrant (incorporated herein by reference to Exhibit 4.2 to our current report on Form 8-K filed with the SEC on March 13, 2020)</w:t>
            </w:r>
          </w:p>
        </w:tc>
      </w:tr>
      <w:tr>
        <w:trPr/>
        <w:tc>
          <w:tcPr>
            <w:tcW w:w="500" w:type="dxa"/>
            <w:tcBorders/>
            <w:shd w:fill="auto" w:val="clear"/>
            <w:vAlign w:val="center"/>
          </w:tcPr>
          <w:p>
            <w:pPr>
              <w:pStyle w:val="TableContents"/>
              <w:spacing w:before="0" w:after="0"/>
              <w:ind w:left="0" w:right="0" w:hanging="0"/>
              <w:jc w:val="left"/>
              <w:rPr>
                <w:color w:val="0000FF"/>
              </w:rPr>
            </w:pPr>
            <w:r>
              <w:rPr>
                <w:color w:val="0000FF"/>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0" w:right="0" w:hanging="0"/>
              <w:jc w:val="left"/>
              <w:rPr/>
            </w:pPr>
            <w:hyperlink r:id="rId47">
              <w:r>
                <w:rPr>
                  <w:rStyle w:val="InternetLink"/>
                  <w:rFonts w:ascii="Times New Roman" w:hAnsi="Times New Roman"/>
                  <w:color w:val="0000FF"/>
                  <w:sz w:val="20"/>
                </w:rPr>
                <w:t>10.34</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Placement Agent Warrant (incorporated herein by reference to Exhibit 4.3 to our current report on Form 8-K filed with the SEC on March 13, 2020)</w:t>
            </w:r>
          </w:p>
        </w:tc>
      </w:tr>
      <w:tr>
        <w:trPr/>
        <w:tc>
          <w:tcPr>
            <w:tcW w:w="500" w:type="dxa"/>
            <w:tcBorders/>
            <w:shd w:fill="auto" w:val="clear"/>
            <w:vAlign w:val="center"/>
          </w:tcPr>
          <w:p>
            <w:pPr>
              <w:pStyle w:val="TableContents"/>
              <w:spacing w:before="0" w:after="0"/>
              <w:ind w:left="0" w:right="0" w:hanging="0"/>
              <w:jc w:val="left"/>
              <w:rPr>
                <w:color w:val="0000FF"/>
              </w:rPr>
            </w:pPr>
            <w:r>
              <w:rPr>
                <w:color w:val="0000FF"/>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0" w:right="0" w:hanging="0"/>
              <w:jc w:val="left"/>
              <w:rPr/>
            </w:pPr>
            <w:hyperlink r:id="rId48">
              <w:r>
                <w:rPr>
                  <w:rStyle w:val="InternetLink"/>
                  <w:rFonts w:ascii="Times New Roman" w:hAnsi="Times New Roman"/>
                  <w:color w:val="0000FF"/>
                  <w:sz w:val="20"/>
                </w:rPr>
                <w:t>10.35</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Note, dated April 30, 2020, between Tenax Therapeutics, Inc. and First Horizon Bank (incorporated herein by reference to Exhibit 10.1 to our quarterly report on Form 10-Q filed with the SEC on May 15, 2020)</w:t>
            </w:r>
          </w:p>
        </w:tc>
      </w:tr>
      <w:tr>
        <w:trPr/>
        <w:tc>
          <w:tcPr>
            <w:tcW w:w="500" w:type="dxa"/>
            <w:tcBorders/>
            <w:shd w:fill="auto" w:val="clear"/>
            <w:vAlign w:val="center"/>
          </w:tcPr>
          <w:p>
            <w:pPr>
              <w:pStyle w:val="TableContents"/>
              <w:spacing w:before="0" w:after="0"/>
              <w:ind w:left="0" w:right="0" w:hanging="0"/>
              <w:jc w:val="left"/>
              <w:rPr>
                <w:color w:val="0000FF"/>
              </w:rPr>
            </w:pPr>
            <w:r>
              <w:rPr>
                <w:color w:val="0000FF"/>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0" w:right="0" w:hanging="0"/>
              <w:jc w:val="left"/>
              <w:rPr/>
            </w:pPr>
            <w:hyperlink r:id="rId49">
              <w:r>
                <w:rPr>
                  <w:rStyle w:val="InternetLink"/>
                  <w:rFonts w:ascii="Times New Roman" w:hAnsi="Times New Roman"/>
                  <w:color w:val="0000FF"/>
                  <w:sz w:val="20"/>
                </w:rPr>
                <w:t>10.36</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Pre-Funded Warrant (incorporated herein by reference to Exhibit 4.1 to our current report on Form 8-K filed with the SEC on July 8, 2020)</w:t>
            </w:r>
          </w:p>
        </w:tc>
      </w:tr>
      <w:tr>
        <w:trPr/>
        <w:tc>
          <w:tcPr>
            <w:tcW w:w="50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rPr/>
            </w:pPr>
            <w:r>
              <w:rPr/>
              <w:t> </w:t>
            </w:r>
          </w:p>
        </w:tc>
      </w:tr>
      <w:tr>
        <w:trPr/>
        <w:tc>
          <w:tcPr>
            <w:tcW w:w="500" w:type="dxa"/>
            <w:tcBorders/>
            <w:shd w:fill="CCEEFF" w:val="clear"/>
            <w:vAlign w:val="center"/>
          </w:tcPr>
          <w:p>
            <w:pPr>
              <w:pStyle w:val="TableContents"/>
              <w:spacing w:before="0" w:after="0"/>
              <w:ind w:left="360" w:right="0" w:hanging="360"/>
              <w:jc w:val="left"/>
              <w:rPr/>
            </w:pPr>
            <w:hyperlink r:id="rId50">
              <w:r>
                <w:rPr>
                  <w:rStyle w:val="InternetLink"/>
                  <w:rFonts w:ascii="Times New Roman" w:hAnsi="Times New Roman"/>
                  <w:color w:val="0000FF"/>
                  <w:sz w:val="20"/>
                </w:rPr>
                <w:t>10.37</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Unregistered Warrant (incorporated herein by reference to Exhibit 4.2 to our current report on Form 8-K filed with the SEC on July 8, 2020)</w:t>
            </w:r>
          </w:p>
        </w:tc>
      </w:tr>
      <w:tr>
        <w:trPr/>
        <w:tc>
          <w:tcPr>
            <w:tcW w:w="500" w:type="dxa"/>
            <w:tcBorders/>
            <w:shd w:fill="auto" w:val="clear"/>
            <w:vAlign w:val="center"/>
          </w:tcPr>
          <w:p>
            <w:pPr>
              <w:pStyle w:val="TableContents"/>
              <w:spacing w:before="0" w:after="0"/>
              <w:ind w:left="360" w:right="0" w:hanging="360"/>
              <w:jc w:val="left"/>
              <w:rPr>
                <w:color w:val="0000FF"/>
              </w:rPr>
            </w:pPr>
            <w:r>
              <w:rPr>
                <w:color w:val="0000FF"/>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360" w:right="0" w:hanging="360"/>
              <w:jc w:val="left"/>
              <w:rPr/>
            </w:pPr>
            <w:hyperlink r:id="rId51">
              <w:r>
                <w:rPr>
                  <w:rStyle w:val="InternetLink"/>
                  <w:rFonts w:ascii="Times New Roman" w:hAnsi="Times New Roman"/>
                  <w:color w:val="0000FF"/>
                  <w:sz w:val="20"/>
                </w:rPr>
                <w:t>10.38</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Placement Agent Warrant (incorporated herein by reference to Exhibit 4.3 to our current report on Form 8-K filed with the SEC on July 8, 2020)</w:t>
            </w:r>
          </w:p>
        </w:tc>
      </w:tr>
      <w:tr>
        <w:trPr/>
        <w:tc>
          <w:tcPr>
            <w:tcW w:w="500" w:type="dxa"/>
            <w:tcBorders/>
            <w:shd w:fill="auto" w:val="clear"/>
            <w:vAlign w:val="center"/>
          </w:tcPr>
          <w:p>
            <w:pPr>
              <w:pStyle w:val="TableContents"/>
              <w:spacing w:before="0" w:after="0"/>
              <w:ind w:left="360" w:right="0" w:hanging="360"/>
              <w:jc w:val="left"/>
              <w:rPr>
                <w:color w:val="0000FF"/>
              </w:rPr>
            </w:pPr>
            <w:r>
              <w:rPr>
                <w:color w:val="0000FF"/>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360" w:right="0" w:hanging="360"/>
              <w:jc w:val="left"/>
              <w:rPr/>
            </w:pPr>
            <w:hyperlink r:id="rId52">
              <w:r>
                <w:rPr>
                  <w:rStyle w:val="InternetLink"/>
                  <w:rFonts w:ascii="Times New Roman" w:hAnsi="Times New Roman"/>
                  <w:color w:val="0000FF"/>
                  <w:sz w:val="20"/>
                </w:rPr>
                <w:t>10.39</w:t>
              </w:r>
            </w:hyperlink>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Securities Purchase Agreement for Class C Units and Class D Units, dated as of July 6, 2020, by and between Tenax Therapeutics, Inc. and the investor identified on the signature page thereto (incorporated herein by reference to Exhibit 10.1 to our current report on Form 8-K filed with the SEC on July 8, 2020)</w:t>
            </w:r>
          </w:p>
        </w:tc>
      </w:tr>
      <w:tr>
        <w:trPr/>
        <w:tc>
          <w:tcPr>
            <w:tcW w:w="500" w:type="dxa"/>
            <w:tcBorders/>
            <w:shd w:fill="auto" w:val="clear"/>
            <w:vAlign w:val="center"/>
          </w:tcPr>
          <w:p>
            <w:pPr>
              <w:pStyle w:val="TableContents"/>
              <w:spacing w:before="0" w:after="0"/>
              <w:ind w:left="360" w:right="0" w:hanging="360"/>
              <w:jc w:val="left"/>
              <w:rPr>
                <w:color w:val="0000FF"/>
              </w:rPr>
            </w:pPr>
            <w:r>
              <w:rPr>
                <w:color w:val="0000FF"/>
              </w:rPr>
              <w:t> </w:t>
            </w:r>
          </w:p>
        </w:tc>
        <w:tc>
          <w:tcPr>
            <w:tcW w:w="60" w:type="dxa"/>
            <w:tcBorders/>
            <w:shd w:fill="auto" w:val="clear"/>
            <w:vAlign w:val="center"/>
          </w:tcPr>
          <w:p>
            <w:pPr>
              <w:pStyle w:val="TableContents"/>
              <w:spacing w:before="0" w:after="0"/>
              <w:rPr/>
            </w:pPr>
            <w:r>
              <w:rPr/>
              <w:t> </w:t>
            </w:r>
          </w:p>
        </w:tc>
        <w:tc>
          <w:tcPr>
            <w:tcW w:w="9645" w:type="dxa"/>
            <w:tcBorders/>
            <w:shd w:fill="auto" w:val="clear"/>
            <w:vAlign w:val="center"/>
          </w:tcPr>
          <w:p>
            <w:pPr>
              <w:pStyle w:val="TableContents"/>
              <w:spacing w:before="0" w:after="0"/>
              <w:ind w:left="360" w:right="0" w:hanging="360"/>
              <w:jc w:val="left"/>
              <w:rPr/>
            </w:pPr>
            <w:r>
              <w:rPr/>
              <w:t> </w:t>
            </w:r>
          </w:p>
        </w:tc>
      </w:tr>
      <w:tr>
        <w:trPr/>
        <w:tc>
          <w:tcPr>
            <w:tcW w:w="500" w:type="dxa"/>
            <w:tcBorders/>
            <w:shd w:fill="CCEEFF" w:val="clear"/>
            <w:vAlign w:val="center"/>
          </w:tcPr>
          <w:p>
            <w:pPr>
              <w:pStyle w:val="TableContents"/>
              <w:spacing w:before="0" w:after="0"/>
              <w:ind w:left="360" w:right="0" w:hanging="360"/>
              <w:jc w:val="left"/>
              <w:rPr/>
            </w:pPr>
            <w:hyperlink r:id="rId53">
              <w:r>
                <w:rPr>
                  <w:rStyle w:val="InternetLink"/>
                  <w:rFonts w:ascii="Times New Roman" w:hAnsi="Times New Roman"/>
                  <w:color w:val="0000FF"/>
                  <w:sz w:val="20"/>
                </w:rPr>
                <w:t>10.40</w:t>
              </w:r>
            </w:hyperlink>
          </w:p>
          <w:p>
            <w:pPr>
              <w:pStyle w:val="TableContents"/>
              <w:spacing w:before="0" w:after="0"/>
              <w:ind w:left="0" w:right="0" w:hanging="0"/>
              <w:jc w:val="both"/>
              <w:rPr/>
            </w:pPr>
            <w:r>
              <w:rPr/>
              <w:t> </w:t>
            </w:r>
          </w:p>
        </w:tc>
        <w:tc>
          <w:tcPr>
            <w:tcW w:w="60" w:type="dxa"/>
            <w:tcBorders/>
            <w:shd w:fill="CCEEFF" w:val="clear"/>
            <w:vAlign w:val="center"/>
          </w:tcPr>
          <w:p>
            <w:pPr>
              <w:pStyle w:val="TableContents"/>
              <w:spacing w:before="0" w:after="0"/>
              <w:rPr/>
            </w:pPr>
            <w:r>
              <w:rPr/>
              <w:t> </w:t>
            </w:r>
          </w:p>
        </w:tc>
        <w:tc>
          <w:tcPr>
            <w:tcW w:w="9645"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Securities Purchase Agreement for Class E Units and Class F Units, dated as of July 6, 2020, by and between Tenax Therapeutics, Inc. and the investor identified on the signature page thereto (incorporated herein by reference to Exhibit 10.2 to our current report on Form 8-K filed with the SEC on July 8, 2020)</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3" w:name="pgbrk64"/>
      <w:bookmarkStart w:id="474" w:name="pgbrk64"/>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75" w:name="ftr63"/>
      <w:bookmarkEnd w:id="47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6" w:name="pn61"/>
      <w:bookmarkEnd w:id="476"/>
      <w:r>
        <w:rPr>
          <w:rFonts w:ascii="Times New Roman" w:hAnsi="Times New Roman"/>
          <w:sz w:val="20"/>
        </w:rPr>
        <w:t>64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77" w:name="pb63"/>
      <w:bookmarkStart w:id="478" w:name="pb63"/>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79" w:name="hdr64"/>
      <w:bookmarkEnd w:id="4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46"/>
        <w:gridCol w:w="120"/>
        <w:gridCol w:w="9539"/>
      </w:tblGrid>
      <w:tr>
        <w:trPr/>
        <w:tc>
          <w:tcPr>
            <w:tcW w:w="546" w:type="dxa"/>
            <w:tcBorders/>
            <w:shd w:fill="CCEEFF" w:val="clear"/>
            <w:vAlign w:val="center"/>
          </w:tcPr>
          <w:p>
            <w:pPr>
              <w:pStyle w:val="TableContents"/>
              <w:spacing w:before="0" w:after="0"/>
              <w:ind w:left="360" w:right="0" w:hanging="360"/>
              <w:jc w:val="left"/>
              <w:rPr/>
            </w:pPr>
            <w:hyperlink r:id="rId54">
              <w:r>
                <w:rPr>
                  <w:rStyle w:val="InternetLink"/>
                  <w:rFonts w:ascii="Times New Roman" w:hAnsi="Times New Roman"/>
                  <w:color w:val="0000FF"/>
                  <w:sz w:val="20"/>
                </w:rPr>
                <w:t>10.41</w:t>
              </w:r>
            </w:hyperlink>
          </w:p>
        </w:tc>
        <w:tc>
          <w:tcPr>
            <w:tcW w:w="120" w:type="dxa"/>
            <w:tcBorders/>
            <w:shd w:fill="CCEEFF" w:val="clear"/>
            <w:vAlign w:val="center"/>
          </w:tcPr>
          <w:p>
            <w:pPr>
              <w:pStyle w:val="TableContents"/>
              <w:spacing w:before="0" w:after="0"/>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Form of Registration Rights Agreement, dated as of July 6, 2020, by and between Tenax Therapeutics, Inc. and the investor identified on the signature page thereto (incorporated herein by reference to Exhibit 10.3 to our current report on Form 8-K filed with the SEC on July 8, 2020)</w:t>
            </w:r>
          </w:p>
        </w:tc>
      </w:tr>
      <w:tr>
        <w:trPr/>
        <w:tc>
          <w:tcPr>
            <w:tcW w:w="546" w:type="dxa"/>
            <w:tcBorders/>
            <w:shd w:fill="auto" w:val="clear"/>
            <w:vAlign w:val="center"/>
          </w:tcPr>
          <w:p>
            <w:pPr>
              <w:pStyle w:val="TableContents"/>
              <w:spacing w:before="0" w:after="0"/>
              <w:ind w:left="360" w:right="0" w:hanging="360"/>
              <w:jc w:val="left"/>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ind w:left="360" w:right="0" w:hanging="360"/>
              <w:jc w:val="left"/>
              <w:rPr/>
            </w:pPr>
            <w:r>
              <w:rPr/>
              <w:t> </w:t>
            </w:r>
          </w:p>
        </w:tc>
      </w:tr>
      <w:tr>
        <w:trPr/>
        <w:tc>
          <w:tcPr>
            <w:tcW w:w="546" w:type="dxa"/>
            <w:tcBorders/>
            <w:shd w:fill="CCEEFF" w:val="clear"/>
            <w:vAlign w:val="center"/>
          </w:tcPr>
          <w:p>
            <w:pPr>
              <w:pStyle w:val="TableContents"/>
              <w:spacing w:before="0" w:after="0"/>
              <w:ind w:left="360" w:right="0" w:hanging="360"/>
              <w:jc w:val="left"/>
              <w:rPr/>
            </w:pPr>
            <w:hyperlink r:id="rId55">
              <w:r>
                <w:rPr>
                  <w:rStyle w:val="InternetLink"/>
                  <w:rFonts w:ascii="Times New Roman" w:hAnsi="Times New Roman"/>
                  <w:color w:val="0000FF"/>
                  <w:sz w:val="20"/>
                </w:rPr>
                <w:t>21.1</w:t>
              </w:r>
            </w:hyperlink>
          </w:p>
        </w:tc>
        <w:tc>
          <w:tcPr>
            <w:tcW w:w="120" w:type="dxa"/>
            <w:tcBorders/>
            <w:shd w:fill="CCEEFF" w:val="clear"/>
            <w:vAlign w:val="center"/>
          </w:tcPr>
          <w:p>
            <w:pPr>
              <w:pStyle w:val="TableContents"/>
              <w:spacing w:before="0" w:after="0"/>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Subsidiaries of Tenax Therapeutics, Inc. (incorporated herein by reference to Exhibit 21.1 to our annual report on Form 10-K filed with the SEC on July 14, 2015)</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rPr/>
            </w:pPr>
            <w:hyperlink w:anchor="tenx_ex231.htm">
              <w:r>
                <w:rPr>
                  <w:rStyle w:val="InternetLink"/>
                  <w:rFonts w:ascii="Times New Roman" w:hAnsi="Times New Roman"/>
                  <w:sz w:val="20"/>
                </w:rPr>
                <w:t>23.1</w:t>
              </w:r>
            </w:hyperlink>
          </w:p>
        </w:tc>
        <w:tc>
          <w:tcPr>
            <w:tcW w:w="120" w:type="dxa"/>
            <w:tcBorders/>
            <w:shd w:fill="CCEEFF" w:val="clear"/>
            <w:vAlign w:val="center"/>
          </w:tcPr>
          <w:p>
            <w:pPr>
              <w:pStyle w:val="TableContents"/>
              <w:spacing w:before="0" w:after="0"/>
              <w:rPr/>
            </w:pPr>
            <w:r>
              <w:rPr/>
              <w:t> </w:t>
            </w:r>
          </w:p>
        </w:tc>
        <w:tc>
          <w:tcPr>
            <w:tcW w:w="953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Consent of Independent Registered Public Accounting Firm* </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pPr>
            <w:hyperlink w:anchor="POW">
              <w:r>
                <w:rPr>
                  <w:rStyle w:val="InternetLink"/>
                  <w:rFonts w:ascii="Times New Roman" w:hAnsi="Times New Roman"/>
                  <w:sz w:val="20"/>
                </w:rPr>
                <w:t>24.1</w:t>
              </w:r>
            </w:hyperlink>
          </w:p>
        </w:tc>
        <w:tc>
          <w:tcPr>
            <w:tcW w:w="120" w:type="dxa"/>
            <w:tcBorders/>
            <w:shd w:fill="CCEEFF" w:val="clear"/>
            <w:vAlign w:val="center"/>
          </w:tcPr>
          <w:p>
            <w:pPr>
              <w:pStyle w:val="TableContents"/>
              <w:spacing w:before="0" w:after="0"/>
              <w:ind w:left="0" w:right="0" w:hanging="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Power of Attorney (contained on signature page)*</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pPr>
            <w:hyperlink w:anchor="tenx_ex311.htm">
              <w:r>
                <w:rPr>
                  <w:rStyle w:val="InternetLink"/>
                  <w:rFonts w:ascii="Times New Roman" w:hAnsi="Times New Roman"/>
                  <w:sz w:val="20"/>
                </w:rPr>
                <w:t>31.1</w:t>
              </w:r>
            </w:hyperlink>
          </w:p>
        </w:tc>
        <w:tc>
          <w:tcPr>
            <w:tcW w:w="120" w:type="dxa"/>
            <w:tcBorders/>
            <w:shd w:fill="CCEEFF" w:val="clear"/>
            <w:vAlign w:val="center"/>
          </w:tcPr>
          <w:p>
            <w:pPr>
              <w:pStyle w:val="TableContents"/>
              <w:spacing w:before="0" w:after="0"/>
              <w:ind w:left="0" w:right="0" w:hanging="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Certification of Principal Executive Officer Pursuant to Section 302 of the Sarbanes-Oxley Act of 2002*</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0" w:right="0" w:hanging="0"/>
              <w:jc w:val="left"/>
              <w:rPr/>
            </w:pPr>
            <w:hyperlink w:anchor="tenx_ex312.htm">
              <w:r>
                <w:rPr>
                  <w:rStyle w:val="InternetLink"/>
                  <w:rFonts w:ascii="Times New Roman" w:hAnsi="Times New Roman"/>
                  <w:sz w:val="20"/>
                </w:rPr>
                <w:t>31.2</w:t>
              </w:r>
            </w:hyperlink>
          </w:p>
        </w:tc>
        <w:tc>
          <w:tcPr>
            <w:tcW w:w="120" w:type="dxa"/>
            <w:tcBorders/>
            <w:shd w:fill="CCEEFF" w:val="clear"/>
            <w:vAlign w:val="center"/>
          </w:tcPr>
          <w:p>
            <w:pPr>
              <w:pStyle w:val="TableContents"/>
              <w:spacing w:before="0" w:after="0"/>
              <w:ind w:left="360" w:right="0" w:hanging="36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Certification of Principal Financial Officer Pursuant to Section 302 of the Sarbanes-Oxley Act of 2002*</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pPr>
            <w:hyperlink w:anchor="tenx_ex321.htm">
              <w:r>
                <w:rPr>
                  <w:rStyle w:val="InternetLink"/>
                  <w:rFonts w:ascii="Times New Roman" w:hAnsi="Times New Roman"/>
                  <w:sz w:val="20"/>
                </w:rPr>
                <w:t>32.1</w:t>
              </w:r>
            </w:hyperlink>
          </w:p>
        </w:tc>
        <w:tc>
          <w:tcPr>
            <w:tcW w:w="120" w:type="dxa"/>
            <w:tcBorders/>
            <w:shd w:fill="CCEEFF" w:val="clear"/>
            <w:vAlign w:val="center"/>
          </w:tcPr>
          <w:p>
            <w:pPr>
              <w:pStyle w:val="TableContents"/>
              <w:spacing w:before="0" w:after="0"/>
              <w:ind w:left="0" w:right="0" w:hanging="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Certification of Principal Executive Officer Pursuant to 18 U.S.C. Section 1350*</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0" w:right="0" w:hanging="0"/>
              <w:jc w:val="left"/>
              <w:rPr/>
            </w:pPr>
            <w:hyperlink w:anchor="tenx_ex322.htm">
              <w:r>
                <w:rPr>
                  <w:rStyle w:val="InternetLink"/>
                  <w:rFonts w:ascii="Times New Roman" w:hAnsi="Times New Roman"/>
                  <w:sz w:val="20"/>
                </w:rPr>
                <w:t>32.2</w:t>
              </w:r>
            </w:hyperlink>
          </w:p>
        </w:tc>
        <w:tc>
          <w:tcPr>
            <w:tcW w:w="120" w:type="dxa"/>
            <w:tcBorders/>
            <w:shd w:fill="CCEEFF" w:val="clear"/>
            <w:vAlign w:val="center"/>
          </w:tcPr>
          <w:p>
            <w:pPr>
              <w:pStyle w:val="TableContents"/>
              <w:spacing w:before="0" w:after="0"/>
              <w:ind w:left="360" w:right="0" w:hanging="36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Certification of Principal Financial Officer Pursuant to 18 U.S.C. Section 1350*</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101.INS</w:t>
            </w:r>
          </w:p>
        </w:tc>
        <w:tc>
          <w:tcPr>
            <w:tcW w:w="120" w:type="dxa"/>
            <w:tcBorders/>
            <w:shd w:fill="CCEEFF" w:val="clear"/>
            <w:vAlign w:val="center"/>
          </w:tcPr>
          <w:p>
            <w:pPr>
              <w:pStyle w:val="TableContents"/>
              <w:spacing w:before="0" w:after="0"/>
              <w:ind w:left="0" w:right="0" w:hanging="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XBRL Instance Document</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101.SCH</w:t>
            </w:r>
          </w:p>
        </w:tc>
        <w:tc>
          <w:tcPr>
            <w:tcW w:w="120" w:type="dxa"/>
            <w:tcBorders/>
            <w:shd w:fill="CCEEFF" w:val="clear"/>
            <w:vAlign w:val="center"/>
          </w:tcPr>
          <w:p>
            <w:pPr>
              <w:pStyle w:val="TableContents"/>
              <w:spacing w:before="0" w:after="0"/>
              <w:ind w:left="0" w:right="0" w:hanging="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XBRL Taxonomy Extension Schema Document</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101.CAL</w:t>
            </w:r>
          </w:p>
        </w:tc>
        <w:tc>
          <w:tcPr>
            <w:tcW w:w="120" w:type="dxa"/>
            <w:tcBorders/>
            <w:shd w:fill="CCEEFF" w:val="clear"/>
            <w:vAlign w:val="center"/>
          </w:tcPr>
          <w:p>
            <w:pPr>
              <w:pStyle w:val="TableContents"/>
              <w:spacing w:before="0" w:after="0"/>
              <w:ind w:left="0" w:right="0" w:hanging="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XBRL Taxonomy Extension Calculation Linkbase Document</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101.DEF</w:t>
            </w:r>
          </w:p>
        </w:tc>
        <w:tc>
          <w:tcPr>
            <w:tcW w:w="120" w:type="dxa"/>
            <w:tcBorders/>
            <w:shd w:fill="CCEEFF" w:val="clear"/>
            <w:vAlign w:val="center"/>
          </w:tcPr>
          <w:p>
            <w:pPr>
              <w:pStyle w:val="TableContents"/>
              <w:spacing w:before="0" w:after="0"/>
              <w:ind w:left="0" w:right="0" w:hanging="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XBRL Taxonomy Extension Definition Linkbase Document</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101.LAB</w:t>
            </w:r>
          </w:p>
        </w:tc>
        <w:tc>
          <w:tcPr>
            <w:tcW w:w="120" w:type="dxa"/>
            <w:tcBorders/>
            <w:shd w:fill="CCEEFF" w:val="clear"/>
            <w:vAlign w:val="center"/>
          </w:tcPr>
          <w:p>
            <w:pPr>
              <w:pStyle w:val="TableContents"/>
              <w:spacing w:before="0" w:after="0"/>
              <w:ind w:left="0" w:right="0" w:hanging="0"/>
              <w:jc w:val="left"/>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XBRL Taxonomy Extension Label Linkbase Document</w:t>
            </w:r>
          </w:p>
        </w:tc>
      </w:tr>
      <w:tr>
        <w:trPr/>
        <w:tc>
          <w:tcPr>
            <w:tcW w:w="546"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539" w:type="dxa"/>
            <w:tcBorders/>
            <w:shd w:fill="auto" w:val="clear"/>
            <w:vAlign w:val="center"/>
          </w:tcPr>
          <w:p>
            <w:pPr>
              <w:pStyle w:val="TableContents"/>
              <w:spacing w:before="0" w:after="0"/>
              <w:rPr/>
            </w:pPr>
            <w:r>
              <w:rPr/>
              <w:t> </w:t>
            </w:r>
          </w:p>
        </w:tc>
      </w:tr>
      <w:tr>
        <w:trPr/>
        <w:tc>
          <w:tcPr>
            <w:tcW w:w="546"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101.PRE</w:t>
            </w:r>
          </w:p>
        </w:tc>
        <w:tc>
          <w:tcPr>
            <w:tcW w:w="120" w:type="dxa"/>
            <w:tcBorders/>
            <w:shd w:fill="CCEEFF" w:val="clear"/>
            <w:vAlign w:val="center"/>
          </w:tcPr>
          <w:p>
            <w:pPr>
              <w:pStyle w:val="TableContents"/>
              <w:spacing w:before="0" w:after="0"/>
              <w:rPr/>
            </w:pPr>
            <w:r>
              <w:rPr/>
              <w:t> </w:t>
            </w:r>
          </w:p>
        </w:tc>
        <w:tc>
          <w:tcPr>
            <w:tcW w:w="9539" w:type="dxa"/>
            <w:tcBorders/>
            <w:shd w:fill="CCEEFF" w:val="clear"/>
            <w:vAlign w:val="center"/>
          </w:tcPr>
          <w:p>
            <w:pPr>
              <w:pStyle w:val="TableContents"/>
              <w:spacing w:before="0" w:after="0"/>
              <w:ind w:left="360" w:right="0" w:hanging="360"/>
              <w:jc w:val="left"/>
              <w:rPr>
                <w:rFonts w:ascii="Times New Roman" w:hAnsi="Times New Roman"/>
                <w:sz w:val="20"/>
              </w:rPr>
            </w:pPr>
            <w:r>
              <w:rPr>
                <w:rFonts w:ascii="Times New Roman" w:hAnsi="Times New Roman"/>
                <w:sz w:val="20"/>
              </w:rPr>
              <w:t>XBRL Taxonomy Extension Presentation Linkbase Document</w:t>
            </w:r>
          </w:p>
        </w:tc>
      </w:tr>
    </w:tbl>
    <w:p>
      <w:pPr>
        <w:pStyle w:val="TextBody"/>
        <w:spacing w:before="0" w:after="0"/>
        <w:rPr/>
      </w:pPr>
      <w:r>
        <w:rPr/>
        <w:t> </w:t>
      </w:r>
    </w:p>
    <w:tbl>
      <w:tblPr>
        <w:tblW w:w="10205" w:type="dxa"/>
        <w:jc w:val="left"/>
        <w:tblInd w:w="0" w:type="dxa"/>
        <w:tblCellMar>
          <w:top w:w="28" w:type="dxa"/>
          <w:left w:w="0" w:type="dxa"/>
          <w:bottom w:w="0" w:type="dxa"/>
          <w:right w:w="0" w:type="dxa"/>
        </w:tblCellMar>
      </w:tblPr>
      <w:tblGrid>
        <w:gridCol w:w="178"/>
        <w:gridCol w:w="10027"/>
      </w:tblGrid>
      <w:tr>
        <w:trPr/>
        <w:tc>
          <w:tcPr>
            <w:tcW w:w="178" w:type="dxa"/>
            <w:tcBorders>
              <w:top w:val="single" w:sz="2" w:space="0" w:color="000000"/>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10027" w:type="dxa"/>
            <w:tcBorders>
              <w:top w:val="single" w:sz="2" w:space="0" w:color="000000"/>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p>
            <w:pPr>
              <w:pStyle w:val="TableContents"/>
              <w:spacing w:before="0" w:after="0"/>
              <w:ind w:left="0" w:right="0" w:hanging="0"/>
              <w:jc w:val="both"/>
              <w:rPr/>
            </w:pPr>
            <w:r>
              <w:rPr/>
              <w:t> </w:t>
            </w:r>
          </w:p>
        </w:tc>
      </w:tr>
      <w:tr>
        <w:trPr/>
        <w:tc>
          <w:tcPr>
            <w:tcW w:w="178" w:type="dxa"/>
            <w:tcBorders/>
            <w:shd w:fill="auto" w:val="clear"/>
            <w:tcMar>
              <w:top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10027" w:type="dxa"/>
            <w:tcBorders/>
            <w:shd w:fill="auto" w:val="clear"/>
            <w:tcMar>
              <w:top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Asterisks located within the exhibit denote information which has been redacted pursuant to a request for confidential treatment filed with the SEC or </w:t>
            </w:r>
            <w:r>
              <w:rPr>
                <w:rFonts w:ascii="Times New Roman" w:hAnsi="Times New Roman"/>
                <w:color w:val="000000"/>
                <w:sz w:val="20"/>
              </w:rPr>
              <w:t>pursuant to Item 601(b)(10)(iv) of Regulation S-K because it is both not material and would likely cause competitive harm to the Company if publicly disclosed</w:t>
            </w:r>
            <w:r>
              <w:rPr>
                <w:rFonts w:ascii="Times New Roman" w:hAnsi="Times New Roman"/>
                <w:sz w:val="20"/>
              </w:rPr>
              <w:t>.</w:t>
            </w:r>
          </w:p>
          <w:p>
            <w:pPr>
              <w:pStyle w:val="TableContents"/>
              <w:spacing w:before="0" w:after="0"/>
              <w:ind w:left="0" w:right="0" w:hanging="0"/>
              <w:jc w:val="both"/>
              <w:rPr/>
            </w:pPr>
            <w:r>
              <w:rPr/>
              <w:t> </w:t>
            </w:r>
          </w:p>
        </w:tc>
      </w:tr>
      <w:tr>
        <w:trPr/>
        <w:tc>
          <w:tcPr>
            <w:tcW w:w="178" w:type="dxa"/>
            <w:tcBorders/>
            <w:shd w:fill="auto" w:val="clear"/>
            <w:tcMar>
              <w:top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p>
            <w:pPr>
              <w:pStyle w:val="TableContents"/>
              <w:spacing w:before="0" w:after="0"/>
              <w:ind w:left="0" w:right="0" w:hanging="0"/>
              <w:jc w:val="both"/>
              <w:rPr/>
            </w:pPr>
            <w:r>
              <w:rPr/>
              <w:t> </w:t>
            </w:r>
          </w:p>
        </w:tc>
        <w:tc>
          <w:tcPr>
            <w:tcW w:w="10027" w:type="dxa"/>
            <w:tcBorders/>
            <w:shd w:fill="auto" w:val="clear"/>
            <w:tcMar>
              <w:top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Management contract or compensatory plan or arrangement.</w:t>
            </w:r>
          </w:p>
          <w:p>
            <w:pPr>
              <w:pStyle w:val="TableContents"/>
              <w:spacing w:before="0" w:after="0"/>
              <w:ind w:left="0" w:right="0" w:hanging="0"/>
              <w:jc w:val="both"/>
              <w:rPr/>
            </w:pPr>
            <w:r>
              <w:rPr/>
              <w:t> </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16—FORM 10-K SUMMARY</w:t>
      </w:r>
    </w:p>
    <w:p>
      <w:pPr>
        <w:pStyle w:val="TextBody"/>
        <w:spacing w:before="0" w:after="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None.</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0" w:name="pgbrk65"/>
      <w:bookmarkStart w:id="481" w:name="pgbrk65"/>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82" w:name="ftr64"/>
      <w:bookmarkEnd w:id="4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3" w:name="pn62"/>
      <w:bookmarkEnd w:id="483"/>
      <w:r>
        <w:rPr>
          <w:rFonts w:ascii="Times New Roman" w:hAnsi="Times New Roman"/>
          <w:sz w:val="20"/>
        </w:rPr>
        <w:t>65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84" w:name="pb64"/>
      <w:bookmarkStart w:id="485" w:name="pb64"/>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86" w:name="hdr65"/>
      <w:bookmarkEnd w:id="48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487" w:name="SIG"/>
      <w:bookmarkEnd w:id="487"/>
      <w:r>
        <w:rPr>
          <w:rFonts w:ascii="Times New Roman" w:hAnsi="Times New Roman"/>
          <w:b/>
          <w:sz w:val="20"/>
        </w:rPr>
        <w:t>SIGNATURES</w:t>
      </w:r>
    </w:p>
    <w:p>
      <w:pPr>
        <w:pStyle w:val="TextBody"/>
        <w:spacing w:before="0" w:after="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Section 13 or 15(d) of the Securities and Exchange Act of 1934, the registrant has duly caused this report to be signed on its behalf by the undersigned, thereunto duly authorized.</w:t>
      </w:r>
    </w:p>
    <w:p>
      <w:pPr>
        <w:pStyle w:val="TextBody"/>
        <w:spacing w:before="0" w:after="0"/>
        <w:rPr/>
      </w:pPr>
      <w:r>
        <w:rPr/>
        <w:t> </w:t>
      </w:r>
    </w:p>
    <w:p>
      <w:pPr>
        <w:pStyle w:val="TextBody"/>
        <w:spacing w:before="0" w:after="0"/>
        <w:ind w:left="0" w:right="0" w:hanging="0"/>
        <w:jc w:val="left"/>
        <w:rPr/>
      </w:pPr>
      <w:r>
        <w:rPr/>
        <w:t> </w:t>
      </w:r>
    </w:p>
    <w:tbl>
      <w:tblPr>
        <w:tblW w:w="6000" w:type="dxa"/>
        <w:jc w:val="left"/>
        <w:tblInd w:w="0" w:type="dxa"/>
        <w:tblCellMar>
          <w:top w:w="0" w:type="dxa"/>
          <w:left w:w="0" w:type="dxa"/>
          <w:bottom w:w="0" w:type="dxa"/>
          <w:right w:w="0" w:type="dxa"/>
        </w:tblCellMar>
      </w:tblPr>
      <w:tblGrid>
        <w:gridCol w:w="1805"/>
        <w:gridCol w:w="410"/>
        <w:gridCol w:w="3710"/>
        <w:gridCol w:w="75"/>
      </w:tblGrid>
      <w:tr>
        <w:trPr/>
        <w:tc>
          <w:tcPr>
            <w:tcW w:w="180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Date: March 31, 2021</w:t>
            </w:r>
          </w:p>
        </w:tc>
        <w:tc>
          <w:tcPr>
            <w:tcW w:w="4120" w:type="dxa"/>
            <w:gridSpan w:val="2"/>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TENAX THERAPEUTICS, INC.</w:t>
            </w:r>
          </w:p>
        </w:tc>
        <w:tc>
          <w:tcPr>
            <w:tcW w:w="75" w:type="dxa"/>
            <w:tcBorders/>
            <w:shd w:fill="auto" w:val="clear"/>
            <w:vAlign w:val="center"/>
          </w:tcPr>
          <w:p>
            <w:pPr>
              <w:pStyle w:val="TableContents"/>
              <w:spacing w:before="0" w:after="0"/>
              <w:ind w:left="0" w:right="0" w:hanging="0"/>
              <w:jc w:val="left"/>
              <w:rPr/>
            </w:pPr>
            <w:r>
              <w:rPr/>
              <w:t> </w:t>
            </w:r>
          </w:p>
        </w:tc>
      </w:tr>
      <w:tr>
        <w:trPr/>
        <w:tc>
          <w:tcPr>
            <w:tcW w:w="1805"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3710" w:type="dxa"/>
            <w:tcBorders/>
            <w:shd w:fill="auto" w:val="clear"/>
            <w:vAlign w:val="center"/>
          </w:tcPr>
          <w:p>
            <w:pPr>
              <w:pStyle w:val="TableContents"/>
              <w:spacing w:before="0" w:after="0"/>
              <w:ind w:left="0" w:right="0" w:hanging="0"/>
              <w:jc w:val="left"/>
              <w:rPr/>
            </w:pPr>
            <w:r>
              <w:rPr/>
              <w:t> </w:t>
            </w:r>
          </w:p>
        </w:tc>
        <w:tc>
          <w:tcPr>
            <w:tcW w:w="75" w:type="dxa"/>
            <w:tcBorders/>
            <w:shd w:fill="auto" w:val="clear"/>
            <w:vAlign w:val="center"/>
          </w:tcPr>
          <w:p>
            <w:pPr>
              <w:pStyle w:val="TableContents"/>
              <w:spacing w:before="0" w:after="0"/>
              <w:ind w:left="0" w:right="0" w:hanging="0"/>
              <w:jc w:val="left"/>
              <w:rPr/>
            </w:pPr>
            <w:r>
              <w:rPr/>
              <w:t> </w:t>
            </w:r>
          </w:p>
        </w:tc>
      </w:tr>
      <w:tr>
        <w:trPr/>
        <w:tc>
          <w:tcPr>
            <w:tcW w:w="1805" w:type="dxa"/>
            <w:tcBorders>
              <w:bottom w:val="single" w:sz="12" w:space="0" w:color="FFFFFF"/>
            </w:tcBorders>
            <w:shd w:fill="auto" w:val="clear"/>
            <w:tcMar>
              <w:bottom w:w="28" w:type="dxa"/>
            </w:tcMar>
            <w:vAlign w:val="center"/>
          </w:tcPr>
          <w:p>
            <w:pPr>
              <w:pStyle w:val="TableContents"/>
              <w:spacing w:before="0" w:after="0"/>
              <w:ind w:left="0" w:right="0" w:hanging="0"/>
              <w:jc w:val="left"/>
              <w:rPr/>
            </w:pPr>
            <w:r>
              <w:rPr/>
            </w:r>
          </w:p>
        </w:tc>
        <w:tc>
          <w:tcPr>
            <w:tcW w:w="410" w:type="dxa"/>
            <w:tcBorders>
              <w:bottom w:val="single" w:sz="12" w:space="0" w:color="FFFFFF"/>
            </w:tcBorders>
            <w:shd w:fill="auto" w:val="clear"/>
            <w:tcMar>
              <w:bottom w:w="28"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By:  </w:t>
            </w:r>
          </w:p>
        </w:tc>
        <w:tc>
          <w:tcPr>
            <w:tcW w:w="3710" w:type="dxa"/>
            <w:tcBorders>
              <w:bottom w:val="single" w:sz="12" w:space="0" w:color="000000"/>
            </w:tcBorders>
            <w:shd w:fill="auto" w:val="clear"/>
            <w:tcMar>
              <w:bottom w:w="28" w:type="dxa"/>
            </w:tcMar>
            <w:vAlign w:val="center"/>
          </w:tcPr>
          <w:p>
            <w:pPr>
              <w:pStyle w:val="TableContents"/>
              <w:spacing w:before="0" w:after="0"/>
              <w:ind w:left="0" w:right="0" w:hanging="0"/>
              <w:jc w:val="left"/>
              <w:rPr/>
            </w:pPr>
            <w:r>
              <w:rPr>
                <w:rFonts w:ascii="Times New Roman" w:hAnsi="Times New Roman"/>
                <w:sz w:val="20"/>
              </w:rPr>
              <w:t>/s/</w:t>
            </w:r>
            <w:r>
              <w:rPr/>
              <w:t xml:space="preserve"> </w:t>
            </w:r>
            <w:r>
              <w:rPr>
                <w:rFonts w:ascii="Times New Roman" w:hAnsi="Times New Roman"/>
                <w:sz w:val="20"/>
              </w:rPr>
              <w:t>Michael B. Jebsen</w:t>
            </w:r>
          </w:p>
        </w:tc>
        <w:tc>
          <w:tcPr>
            <w:tcW w:w="75" w:type="dxa"/>
            <w:tcBorders>
              <w:bottom w:val="single" w:sz="12" w:space="0" w:color="FFFFFF"/>
            </w:tcBorders>
            <w:shd w:fill="auto" w:val="clear"/>
            <w:tcMar>
              <w:bottom w:w="28" w:type="dxa"/>
            </w:tcMar>
            <w:vAlign w:val="center"/>
          </w:tcPr>
          <w:p>
            <w:pPr>
              <w:pStyle w:val="TableContents"/>
              <w:spacing w:before="0" w:after="0"/>
              <w:ind w:left="0" w:right="0" w:hanging="0"/>
              <w:jc w:val="left"/>
              <w:rPr/>
            </w:pPr>
            <w:r>
              <w:rPr/>
              <w:t> </w:t>
            </w:r>
          </w:p>
        </w:tc>
      </w:tr>
      <w:tr>
        <w:trPr/>
        <w:tc>
          <w:tcPr>
            <w:tcW w:w="1805"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37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Michael B. Jebsen</w:t>
            </w:r>
          </w:p>
          <w:p>
            <w:pPr>
              <w:pStyle w:val="TableContents"/>
              <w:spacing w:before="0" w:after="0"/>
              <w:ind w:left="0" w:right="0" w:hanging="0"/>
              <w:jc w:val="left"/>
              <w:rPr/>
            </w:pPr>
            <w:r>
              <w:rPr/>
              <w:t> </w:t>
            </w:r>
          </w:p>
        </w:tc>
        <w:tc>
          <w:tcPr>
            <w:tcW w:w="75" w:type="dxa"/>
            <w:tcBorders/>
            <w:shd w:fill="auto" w:val="clear"/>
            <w:vAlign w:val="center"/>
          </w:tcPr>
          <w:p>
            <w:pPr>
              <w:pStyle w:val="TableContents"/>
              <w:spacing w:before="0" w:after="0"/>
              <w:ind w:left="0" w:right="0" w:hanging="0"/>
              <w:jc w:val="left"/>
              <w:rPr/>
            </w:pPr>
            <w:r>
              <w:rPr/>
              <w:t> </w:t>
            </w:r>
          </w:p>
        </w:tc>
      </w:tr>
      <w:tr>
        <w:trPr/>
        <w:tc>
          <w:tcPr>
            <w:tcW w:w="1805"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3710"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Michael B. Jebsen</w:t>
            </w:r>
          </w:p>
          <w:p>
            <w:pPr>
              <w:pStyle w:val="TableContents"/>
              <w:spacing w:before="0" w:after="0"/>
              <w:jc w:val="left"/>
              <w:rPr/>
            </w:pPr>
            <w:r>
              <w:rPr>
                <w:rFonts w:ascii="Times New Roman" w:hAnsi="Times New Roman"/>
                <w:sz w:val="20"/>
              </w:rPr>
              <w:t>President and Chief Financial Officer</w:t>
            </w:r>
            <w:r>
              <w:rPr/>
              <w:t xml:space="preserve"> </w:t>
            </w:r>
          </w:p>
          <w:p>
            <w:pPr>
              <w:pStyle w:val="TableContents"/>
              <w:spacing w:before="0" w:after="0"/>
              <w:ind w:left="0" w:right="0" w:hanging="0"/>
              <w:jc w:val="left"/>
              <w:rPr>
                <w:rFonts w:ascii="Times New Roman" w:hAnsi="Times New Roman"/>
                <w:i/>
                <w:sz w:val="20"/>
              </w:rPr>
            </w:pPr>
            <w:r>
              <w:rPr>
                <w:rFonts w:ascii="Times New Roman" w:hAnsi="Times New Roman"/>
                <w:i/>
                <w:sz w:val="20"/>
              </w:rPr>
              <w:t>(On behalf of the Registrant and as Principal</w:t>
            </w:r>
          </w:p>
          <w:p>
            <w:pPr>
              <w:pStyle w:val="TableContents"/>
              <w:spacing w:before="0" w:after="0"/>
              <w:ind w:left="0" w:right="0" w:hanging="0"/>
              <w:jc w:val="left"/>
              <w:rPr>
                <w:rFonts w:ascii="Times New Roman" w:hAnsi="Times New Roman"/>
                <w:i/>
                <w:sz w:val="20"/>
              </w:rPr>
            </w:pPr>
            <w:r>
              <w:rPr>
                <w:rFonts w:ascii="Times New Roman" w:hAnsi="Times New Roman"/>
                <w:i/>
                <w:sz w:val="20"/>
              </w:rPr>
              <w:t>Financial Officer)</w:t>
            </w:r>
          </w:p>
        </w:tc>
        <w:tc>
          <w:tcPr>
            <w:tcW w:w="75" w:type="dxa"/>
            <w:tcBorders/>
            <w:shd w:fill="auto" w:val="clear"/>
            <w:vAlign w:val="cente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spacing w:before="0" w:after="0"/>
        <w:rPr/>
      </w:pPr>
      <w:r>
        <w:rPr/>
        <w:t> </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8" w:name="pgbrk66"/>
      <w:bookmarkStart w:id="489" w:name="pgbrk66"/>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90" w:name="ftr65"/>
      <w:bookmarkEnd w:id="4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1" w:name="pn63"/>
      <w:bookmarkEnd w:id="491"/>
      <w:r>
        <w:rPr>
          <w:rFonts w:ascii="Times New Roman" w:hAnsi="Times New Roman"/>
          <w:sz w:val="20"/>
        </w:rPr>
        <w:t>66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92" w:name="pb65"/>
      <w:bookmarkStart w:id="493" w:name="pb65"/>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94" w:name="hdr66"/>
      <w:bookmarkEnd w:id="4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495" w:name="POW"/>
      <w:bookmarkEnd w:id="495"/>
      <w:r>
        <w:rPr>
          <w:rFonts w:ascii="Times New Roman" w:hAnsi="Times New Roman"/>
          <w:b/>
          <w:sz w:val="20"/>
        </w:rPr>
        <w:t>POWER OF ATTORNEY</w:t>
      </w:r>
    </w:p>
    <w:p>
      <w:pPr>
        <w:pStyle w:val="TextBody"/>
        <w:spacing w:before="0" w:after="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KNOW ALL MEN BY THESE PRESENTS that each individual whose signature appears below constitutes and appoints Michael B. Jebsen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may lawfully do or cause to be done by virtue hereof.</w:t>
      </w:r>
    </w:p>
    <w:p>
      <w:pPr>
        <w:pStyle w:val="TextBody"/>
        <w:spacing w:before="0" w:after="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rPr/>
      </w:pPr>
      <w:r>
        <w:rPr/>
        <w:t> </w:t>
      </w:r>
    </w:p>
    <w:tbl>
      <w:tblPr>
        <w:tblW w:w="8189" w:type="dxa"/>
        <w:jc w:val="left"/>
        <w:tblInd w:w="0" w:type="dxa"/>
        <w:tblCellMar>
          <w:top w:w="0" w:type="dxa"/>
          <w:left w:w="0" w:type="dxa"/>
          <w:bottom w:w="28" w:type="dxa"/>
          <w:right w:w="0" w:type="dxa"/>
        </w:tblCellMar>
      </w:tblPr>
      <w:tblGrid>
        <w:gridCol w:w="1850"/>
        <w:gridCol w:w="5015"/>
        <w:gridCol w:w="584"/>
        <w:gridCol w:w="740"/>
      </w:tblGrid>
      <w:tr>
        <w:trPr/>
        <w:tc>
          <w:tcPr>
            <w:tcW w:w="1850"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5015"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Title</w:t>
            </w:r>
          </w:p>
        </w:tc>
        <w:tc>
          <w:tcPr>
            <w:tcW w:w="1324" w:type="dxa"/>
            <w:gridSpan w:val="2"/>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1850" w:type="dxa"/>
            <w:tcBorders/>
            <w:shd w:fill="auto" w:val="clear"/>
            <w:tcMar>
              <w:bottom w:w="0" w:type="dxa"/>
            </w:tcMar>
            <w:vAlign w:val="center"/>
          </w:tcPr>
          <w:p>
            <w:pPr>
              <w:pStyle w:val="TableContents"/>
              <w:spacing w:before="0" w:after="0"/>
              <w:rPr/>
            </w:pPr>
            <w:r>
              <w:rPr/>
              <w:t> </w:t>
            </w:r>
          </w:p>
        </w:tc>
        <w:tc>
          <w:tcPr>
            <w:tcW w:w="5015" w:type="dxa"/>
            <w:tcBorders/>
            <w:shd w:fill="auto" w:val="clear"/>
            <w:tcMar>
              <w:bottom w:w="0" w:type="dxa"/>
            </w:tcMar>
            <w:vAlign w:val="center"/>
          </w:tcPr>
          <w:p>
            <w:pPr>
              <w:pStyle w:val="TableContents"/>
              <w:spacing w:before="0" w:after="0"/>
              <w:rPr/>
            </w:pPr>
            <w:r>
              <w:rPr/>
              <w:t> </w:t>
            </w:r>
          </w:p>
        </w:tc>
        <w:tc>
          <w:tcPr>
            <w:tcW w:w="1324" w:type="dxa"/>
            <w:gridSpan w:val="2"/>
            <w:tcBorders/>
            <w:shd w:fill="auto" w:val="clear"/>
            <w:tcMar>
              <w:bottom w:w="0" w:type="dxa"/>
            </w:tcMar>
            <w:vAlign w:val="center"/>
          </w:tcPr>
          <w:p>
            <w:pPr>
              <w:pStyle w:val="TableContents"/>
              <w:spacing w:before="0" w:after="0"/>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Anthony DiTonno</w:t>
            </w:r>
          </w:p>
          <w:p>
            <w:pPr>
              <w:pStyle w:val="TableContents"/>
              <w:spacing w:before="0" w:after="0"/>
              <w:ind w:left="0" w:right="0" w:hanging="0"/>
              <w:jc w:val="center"/>
              <w:rPr>
                <w:rFonts w:ascii="Times New Roman" w:hAnsi="Times New Roman"/>
                <w:sz w:val="20"/>
              </w:rPr>
            </w:pPr>
            <w:r>
              <w:rPr>
                <w:rFonts w:ascii="Times New Roman" w:hAnsi="Times New Roman"/>
                <w:sz w:val="20"/>
              </w:rPr>
              <w:t>Anthony DiTonno</w:t>
            </w:r>
          </w:p>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ind w:left="360" w:right="0" w:hanging="0"/>
              <w:jc w:val="left"/>
              <w:rPr>
                <w:rFonts w:ascii="Times New Roman" w:hAnsi="Times New Roman"/>
                <w:sz w:val="20"/>
              </w:rPr>
            </w:pPr>
            <w:r>
              <w:rPr>
                <w:rFonts w:ascii="Times New Roman" w:hAnsi="Times New Roman"/>
                <w:sz w:val="20"/>
              </w:rPr>
              <w:t>Chief Executive Officer and Director</w:t>
            </w:r>
          </w:p>
          <w:p>
            <w:pPr>
              <w:pStyle w:val="TableContents"/>
              <w:spacing w:before="0" w:after="0"/>
              <w:ind w:left="360" w:right="0" w:hanging="0"/>
              <w:jc w:val="left"/>
              <w:rPr>
                <w:rFonts w:ascii="Times New Roman" w:hAnsi="Times New Roman"/>
                <w:sz w:val="20"/>
              </w:rPr>
            </w:pPr>
            <w:r>
              <w:rPr>
                <w:rFonts w:ascii="Times New Roman" w:hAnsi="Times New Roman"/>
                <w:sz w:val="20"/>
              </w:rPr>
              <w:t>(Principal Executive Officer)</w:t>
            </w:r>
          </w:p>
          <w:p>
            <w:pPr>
              <w:pStyle w:val="TableContents"/>
              <w:spacing w:before="0" w:after="0"/>
              <w:ind w:left="360" w:right="0" w:hanging="0"/>
              <w:jc w:val="both"/>
              <w:rPr/>
            </w:pPr>
            <w:r>
              <w:rPr/>
              <w:t> </w:t>
            </w:r>
          </w:p>
        </w:tc>
        <w:tc>
          <w:tcPr>
            <w:tcW w:w="1324" w:type="dxa"/>
            <w:gridSpan w:val="2"/>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6865" w:type="dxa"/>
            <w:gridSpan w:val="2"/>
            <w:tcBorders/>
            <w:shd w:fill="auto" w:val="clear"/>
            <w:tcMar>
              <w:bottom w:w="0" w:type="dxa"/>
            </w:tcMar>
            <w:vAlign w:val="center"/>
          </w:tcPr>
          <w:p>
            <w:pPr>
              <w:pStyle w:val="TableContents"/>
              <w:spacing w:before="0" w:after="0"/>
              <w:ind w:left="0" w:right="0" w:hanging="0"/>
              <w:jc w:val="center"/>
              <w:rPr/>
            </w:pPr>
            <w:r>
              <w:rPr/>
              <w:t> </w:t>
            </w:r>
          </w:p>
        </w:tc>
        <w:tc>
          <w:tcPr>
            <w:tcW w:w="584" w:type="dxa"/>
            <w:tcBorders/>
            <w:shd w:fill="auto" w:val="clear"/>
            <w:tcMar>
              <w:bottom w:w="0" w:type="dxa"/>
            </w:tcMar>
            <w:vAlign w:val="center"/>
          </w:tcPr>
          <w:p>
            <w:pPr>
              <w:pStyle w:val="TableContents"/>
              <w:spacing w:before="0" w:after="0"/>
              <w:rPr/>
            </w:pPr>
            <w:r>
              <w:rPr/>
              <w:t> </w:t>
            </w:r>
          </w:p>
        </w:tc>
        <w:tc>
          <w:tcPr>
            <w:tcW w:w="740" w:type="dxa"/>
            <w:tcBorders/>
            <w:shd w:fill="auto" w:val="clear"/>
            <w:tcMar>
              <w:bottom w:w="0" w:type="dxa"/>
            </w:tcMar>
            <w:vAlign w:val="center"/>
          </w:tcPr>
          <w:p>
            <w:pPr>
              <w:pStyle w:val="TableContents"/>
              <w:spacing w:before="0" w:after="0"/>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Michael B. Jebsen</w:t>
            </w:r>
          </w:p>
          <w:p>
            <w:pPr>
              <w:pStyle w:val="TableContents"/>
              <w:spacing w:before="0" w:after="0"/>
              <w:ind w:left="0" w:right="0" w:hanging="0"/>
              <w:jc w:val="center"/>
              <w:rPr>
                <w:rFonts w:ascii="Times New Roman" w:hAnsi="Times New Roman"/>
                <w:sz w:val="20"/>
              </w:rPr>
            </w:pPr>
            <w:r>
              <w:rPr>
                <w:rFonts w:ascii="Times New Roman" w:hAnsi="Times New Roman"/>
                <w:sz w:val="20"/>
              </w:rPr>
              <w:t>Michael B. Jebsen</w:t>
            </w:r>
          </w:p>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ind w:left="360" w:right="0" w:hanging="0"/>
              <w:jc w:val="left"/>
              <w:rPr>
                <w:rFonts w:ascii="Times New Roman" w:hAnsi="Times New Roman"/>
                <w:sz w:val="20"/>
              </w:rPr>
            </w:pPr>
            <w:r>
              <w:rPr>
                <w:rFonts w:ascii="Times New Roman" w:hAnsi="Times New Roman"/>
                <w:sz w:val="20"/>
              </w:rPr>
              <w:t>Chief Financial Officer</w:t>
            </w:r>
          </w:p>
          <w:p>
            <w:pPr>
              <w:pStyle w:val="TableContents"/>
              <w:spacing w:before="0" w:after="0"/>
              <w:ind w:left="360" w:right="0" w:hanging="0"/>
              <w:jc w:val="left"/>
              <w:rPr>
                <w:rFonts w:ascii="Times New Roman" w:hAnsi="Times New Roman"/>
                <w:sz w:val="20"/>
              </w:rPr>
            </w:pPr>
            <w:r>
              <w:rPr>
                <w:rFonts w:ascii="Times New Roman" w:hAnsi="Times New Roman"/>
                <w:sz w:val="20"/>
              </w:rPr>
              <w:t>(Principal Financial Officer and Principal Accounting Officer)</w:t>
            </w:r>
          </w:p>
          <w:p>
            <w:pPr>
              <w:pStyle w:val="TableContents"/>
              <w:spacing w:before="0" w:after="0"/>
              <w:ind w:left="360" w:right="0" w:hanging="0"/>
              <w:jc w:val="both"/>
              <w:rPr/>
            </w:pPr>
            <w:r>
              <w:rPr/>
              <w:t> </w:t>
            </w:r>
          </w:p>
        </w:tc>
        <w:tc>
          <w:tcPr>
            <w:tcW w:w="1324" w:type="dxa"/>
            <w:gridSpan w:val="2"/>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rPr/>
            </w:pPr>
            <w:r>
              <w:rPr/>
              <w:t> </w:t>
            </w:r>
          </w:p>
        </w:tc>
        <w:tc>
          <w:tcPr>
            <w:tcW w:w="1324" w:type="dxa"/>
            <w:gridSpan w:val="2"/>
            <w:tcBorders/>
            <w:shd w:fill="auto" w:val="clear"/>
            <w:tcMar>
              <w:bottom w:w="0" w:type="dxa"/>
            </w:tcMar>
            <w:vAlign w:val="center"/>
          </w:tcPr>
          <w:p>
            <w:pPr>
              <w:pStyle w:val="TableContents"/>
              <w:spacing w:before="0" w:after="0"/>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Stuart Rich</w:t>
            </w:r>
          </w:p>
          <w:p>
            <w:pPr>
              <w:pStyle w:val="TableContents"/>
              <w:spacing w:before="0" w:after="0"/>
              <w:ind w:left="0" w:right="0" w:hanging="0"/>
              <w:jc w:val="center"/>
              <w:rPr>
                <w:rFonts w:ascii="Times New Roman" w:hAnsi="Times New Roman"/>
                <w:sz w:val="20"/>
              </w:rPr>
            </w:pPr>
            <w:r>
              <w:rPr>
                <w:rFonts w:ascii="Times New Roman" w:hAnsi="Times New Roman"/>
                <w:sz w:val="20"/>
              </w:rPr>
              <w:t>Stuart Rich, MD</w:t>
            </w:r>
          </w:p>
        </w:tc>
        <w:tc>
          <w:tcPr>
            <w:tcW w:w="5015" w:type="dxa"/>
            <w:tcBorders/>
            <w:shd w:fill="auto" w:val="clear"/>
            <w:tcMar>
              <w:bottom w:w="0" w:type="dxa"/>
            </w:tcMar>
            <w:vAlign w:val="center"/>
          </w:tcPr>
          <w:p>
            <w:pPr>
              <w:pStyle w:val="TableContents"/>
              <w:spacing w:before="0" w:after="0"/>
              <w:ind w:left="360" w:right="0" w:hanging="0"/>
              <w:jc w:val="left"/>
              <w:rPr>
                <w:rFonts w:ascii="Times New Roman" w:hAnsi="Times New Roman"/>
                <w:sz w:val="20"/>
              </w:rPr>
            </w:pPr>
            <w:r>
              <w:rPr>
                <w:rFonts w:ascii="Times New Roman" w:hAnsi="Times New Roman"/>
                <w:sz w:val="20"/>
              </w:rPr>
              <w:t>Chief Medical Officer and Director</w:t>
            </w:r>
          </w:p>
          <w:p>
            <w:pPr>
              <w:pStyle w:val="TableContents"/>
              <w:spacing w:before="0" w:after="0"/>
              <w:ind w:left="360" w:right="0" w:hanging="0"/>
              <w:jc w:val="both"/>
              <w:rPr>
                <w:rFonts w:ascii="Times New Roman" w:hAnsi="Times New Roman"/>
                <w:sz w:val="20"/>
              </w:rPr>
            </w:pPr>
            <w:r>
              <w:rPr>
                <w:rFonts w:ascii="Times New Roman" w:hAnsi="Times New Roman"/>
                <w:sz w:val="20"/>
              </w:rPr>
            </w:r>
          </w:p>
          <w:p>
            <w:pPr>
              <w:pStyle w:val="TableContents"/>
              <w:spacing w:before="0" w:after="0"/>
              <w:ind w:left="360" w:right="0" w:hanging="0"/>
              <w:jc w:val="both"/>
              <w:rPr/>
            </w:pPr>
            <w:r>
              <w:rPr/>
              <w:t> </w:t>
            </w:r>
          </w:p>
        </w:tc>
        <w:tc>
          <w:tcPr>
            <w:tcW w:w="1324" w:type="dxa"/>
            <w:gridSpan w:val="2"/>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Ronald R. Blanck</w:t>
            </w:r>
          </w:p>
          <w:p>
            <w:pPr>
              <w:pStyle w:val="TableContents"/>
              <w:spacing w:before="0" w:after="0"/>
              <w:ind w:left="0" w:right="0" w:hanging="0"/>
              <w:jc w:val="center"/>
              <w:rPr>
                <w:rFonts w:ascii="Times New Roman" w:hAnsi="Times New Roman"/>
                <w:sz w:val="20"/>
              </w:rPr>
            </w:pPr>
            <w:r>
              <w:rPr>
                <w:rFonts w:ascii="Times New Roman" w:hAnsi="Times New Roman"/>
                <w:sz w:val="20"/>
              </w:rPr>
              <w:t>Ronald R. Blanck, DO</w:t>
            </w:r>
          </w:p>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ind w:left="360" w:right="0" w:hanging="0"/>
              <w:jc w:val="both"/>
              <w:rPr>
                <w:rFonts w:ascii="Times New Roman" w:hAnsi="Times New Roman"/>
                <w:sz w:val="20"/>
              </w:rPr>
            </w:pPr>
            <w:r>
              <w:rPr>
                <w:rFonts w:ascii="Times New Roman" w:hAnsi="Times New Roman"/>
                <w:sz w:val="20"/>
              </w:rPr>
              <w:t>Director</w:t>
            </w:r>
          </w:p>
          <w:p>
            <w:pPr>
              <w:pStyle w:val="TableContents"/>
              <w:spacing w:before="0" w:after="0"/>
              <w:ind w:left="360" w:right="0" w:hanging="0"/>
              <w:jc w:val="both"/>
              <w:rPr/>
            </w:pPr>
            <w:r>
              <w:rPr/>
              <w:t> </w:t>
            </w:r>
          </w:p>
        </w:tc>
        <w:tc>
          <w:tcPr>
            <w:tcW w:w="1324" w:type="dxa"/>
            <w:gridSpan w:val="2"/>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rPr/>
            </w:pPr>
            <w:r>
              <w:rPr/>
              <w:t> </w:t>
            </w:r>
          </w:p>
        </w:tc>
        <w:tc>
          <w:tcPr>
            <w:tcW w:w="1324" w:type="dxa"/>
            <w:gridSpan w:val="2"/>
            <w:tcBorders/>
            <w:shd w:fill="auto" w:val="clear"/>
            <w:tcMar>
              <w:bottom w:w="0" w:type="dxa"/>
            </w:tcMar>
            <w:vAlign w:val="center"/>
          </w:tcPr>
          <w:p>
            <w:pPr>
              <w:pStyle w:val="TableContents"/>
              <w:spacing w:before="0" w:after="0"/>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Gregory Pepin</w:t>
            </w:r>
          </w:p>
          <w:p>
            <w:pPr>
              <w:pStyle w:val="TableContents"/>
              <w:spacing w:before="0" w:after="0"/>
              <w:ind w:left="0" w:right="0" w:hanging="0"/>
              <w:jc w:val="center"/>
              <w:rPr>
                <w:rFonts w:ascii="Times New Roman" w:hAnsi="Times New Roman"/>
                <w:sz w:val="20"/>
              </w:rPr>
            </w:pPr>
            <w:r>
              <w:rPr>
                <w:rFonts w:ascii="Times New Roman" w:hAnsi="Times New Roman"/>
                <w:sz w:val="20"/>
              </w:rPr>
              <w:t>Gregory Pepin</w:t>
            </w:r>
          </w:p>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ind w:left="360" w:right="0" w:hanging="0"/>
              <w:jc w:val="both"/>
              <w:rPr>
                <w:rFonts w:ascii="Times New Roman" w:hAnsi="Times New Roman"/>
                <w:sz w:val="20"/>
              </w:rPr>
            </w:pPr>
            <w:r>
              <w:rPr>
                <w:rFonts w:ascii="Times New Roman" w:hAnsi="Times New Roman"/>
                <w:sz w:val="20"/>
              </w:rPr>
              <w:t>Director</w:t>
            </w:r>
          </w:p>
          <w:p>
            <w:pPr>
              <w:pStyle w:val="TableContents"/>
              <w:spacing w:before="0" w:after="0"/>
              <w:ind w:left="360" w:right="0" w:hanging="0"/>
              <w:jc w:val="both"/>
              <w:rPr/>
            </w:pPr>
            <w:r>
              <w:rPr/>
              <w:t> </w:t>
            </w:r>
          </w:p>
        </w:tc>
        <w:tc>
          <w:tcPr>
            <w:tcW w:w="1324" w:type="dxa"/>
            <w:gridSpan w:val="2"/>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rPr/>
            </w:pPr>
            <w:r>
              <w:rPr/>
              <w:t> </w:t>
            </w:r>
          </w:p>
        </w:tc>
        <w:tc>
          <w:tcPr>
            <w:tcW w:w="1324" w:type="dxa"/>
            <w:gridSpan w:val="2"/>
            <w:tcBorders/>
            <w:shd w:fill="auto" w:val="clear"/>
            <w:tcMar>
              <w:bottom w:w="0" w:type="dxa"/>
            </w:tcMar>
            <w:vAlign w:val="center"/>
          </w:tcPr>
          <w:p>
            <w:pPr>
              <w:pStyle w:val="TableContents"/>
              <w:spacing w:before="0" w:after="0"/>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James Mitchum</w:t>
            </w:r>
          </w:p>
          <w:p>
            <w:pPr>
              <w:pStyle w:val="TableContents"/>
              <w:spacing w:before="0" w:after="0"/>
              <w:ind w:left="0" w:right="0" w:hanging="0"/>
              <w:jc w:val="center"/>
              <w:rPr>
                <w:rFonts w:ascii="Times New Roman" w:hAnsi="Times New Roman"/>
                <w:sz w:val="20"/>
              </w:rPr>
            </w:pPr>
            <w:r>
              <w:rPr>
                <w:rFonts w:ascii="Times New Roman" w:hAnsi="Times New Roman"/>
                <w:sz w:val="20"/>
              </w:rPr>
              <w:t>James Mitchum</w:t>
            </w:r>
          </w:p>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ind w:left="360" w:right="0" w:hanging="0"/>
              <w:jc w:val="both"/>
              <w:rPr>
                <w:rFonts w:ascii="Times New Roman" w:hAnsi="Times New Roman"/>
                <w:sz w:val="20"/>
              </w:rPr>
            </w:pPr>
            <w:r>
              <w:rPr>
                <w:rFonts w:ascii="Times New Roman" w:hAnsi="Times New Roman"/>
                <w:sz w:val="20"/>
              </w:rPr>
              <w:t>Director</w:t>
            </w:r>
          </w:p>
          <w:p>
            <w:pPr>
              <w:pStyle w:val="TableContents"/>
              <w:spacing w:before="0" w:after="0"/>
              <w:ind w:left="360" w:right="0" w:hanging="0"/>
              <w:jc w:val="both"/>
              <w:rPr/>
            </w:pPr>
            <w:r>
              <w:rPr/>
              <w:t> </w:t>
            </w:r>
          </w:p>
        </w:tc>
        <w:tc>
          <w:tcPr>
            <w:tcW w:w="1324" w:type="dxa"/>
            <w:gridSpan w:val="2"/>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rPr/>
            </w:pPr>
            <w:r>
              <w:rPr/>
              <w:t> </w:t>
            </w:r>
          </w:p>
        </w:tc>
        <w:tc>
          <w:tcPr>
            <w:tcW w:w="1324" w:type="dxa"/>
            <w:gridSpan w:val="2"/>
            <w:tcBorders/>
            <w:shd w:fill="auto" w:val="clear"/>
            <w:tcMar>
              <w:bottom w:w="0" w:type="dxa"/>
            </w:tcMar>
            <w:vAlign w:val="center"/>
          </w:tcPr>
          <w:p>
            <w:pPr>
              <w:pStyle w:val="TableContents"/>
              <w:spacing w:before="0" w:after="0"/>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Chris A. Rallis</w:t>
            </w:r>
          </w:p>
          <w:p>
            <w:pPr>
              <w:pStyle w:val="TableContents"/>
              <w:spacing w:before="0" w:after="0"/>
              <w:ind w:left="0" w:right="0" w:hanging="0"/>
              <w:jc w:val="center"/>
              <w:rPr>
                <w:rFonts w:ascii="Times New Roman" w:hAnsi="Times New Roman"/>
                <w:sz w:val="20"/>
              </w:rPr>
            </w:pPr>
            <w:r>
              <w:rPr>
                <w:rFonts w:ascii="Times New Roman" w:hAnsi="Times New Roman"/>
                <w:sz w:val="20"/>
              </w:rPr>
              <w:t>Chris A. Rallis</w:t>
            </w:r>
          </w:p>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ind w:left="360" w:right="0" w:hanging="0"/>
              <w:jc w:val="both"/>
              <w:rPr>
                <w:rFonts w:ascii="Times New Roman" w:hAnsi="Times New Roman"/>
                <w:sz w:val="20"/>
              </w:rPr>
            </w:pPr>
            <w:r>
              <w:rPr>
                <w:rFonts w:ascii="Times New Roman" w:hAnsi="Times New Roman"/>
                <w:sz w:val="20"/>
              </w:rPr>
              <w:t>Director</w:t>
            </w:r>
          </w:p>
          <w:p>
            <w:pPr>
              <w:pStyle w:val="TableContents"/>
              <w:spacing w:before="0" w:after="0"/>
              <w:ind w:left="360" w:right="0" w:hanging="0"/>
              <w:jc w:val="both"/>
              <w:rPr/>
            </w:pPr>
            <w:r>
              <w:rPr/>
              <w:t> </w:t>
            </w:r>
          </w:p>
        </w:tc>
        <w:tc>
          <w:tcPr>
            <w:tcW w:w="1324" w:type="dxa"/>
            <w:gridSpan w:val="2"/>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rPr/>
            </w:pPr>
            <w:r>
              <w:rPr/>
              <w:t> </w:t>
            </w:r>
          </w:p>
        </w:tc>
        <w:tc>
          <w:tcPr>
            <w:tcW w:w="1324" w:type="dxa"/>
            <w:gridSpan w:val="2"/>
            <w:tcBorders/>
            <w:shd w:fill="auto" w:val="clear"/>
            <w:tcMar>
              <w:bottom w:w="0" w:type="dxa"/>
            </w:tcMar>
            <w:vAlign w:val="center"/>
          </w:tcPr>
          <w:p>
            <w:pPr>
              <w:pStyle w:val="TableContents"/>
              <w:spacing w:before="0" w:after="0"/>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Gerald Proehl</w:t>
            </w:r>
          </w:p>
          <w:p>
            <w:pPr>
              <w:pStyle w:val="TableContents"/>
              <w:spacing w:before="0" w:after="0"/>
              <w:ind w:left="0" w:right="0" w:hanging="0"/>
              <w:jc w:val="center"/>
              <w:rPr>
                <w:rFonts w:ascii="Times New Roman" w:hAnsi="Times New Roman"/>
                <w:sz w:val="20"/>
              </w:rPr>
            </w:pPr>
            <w:r>
              <w:rPr>
                <w:rFonts w:ascii="Times New Roman" w:hAnsi="Times New Roman"/>
                <w:sz w:val="20"/>
              </w:rPr>
              <w:t>Gerald Proehl</w:t>
            </w:r>
          </w:p>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ind w:left="360" w:right="0" w:hanging="0"/>
              <w:jc w:val="both"/>
              <w:rPr>
                <w:rFonts w:ascii="Times New Roman" w:hAnsi="Times New Roman"/>
                <w:sz w:val="20"/>
              </w:rPr>
            </w:pPr>
            <w:r>
              <w:rPr>
                <w:rFonts w:ascii="Times New Roman" w:hAnsi="Times New Roman"/>
                <w:sz w:val="20"/>
              </w:rPr>
              <w:t>Director</w:t>
            </w:r>
          </w:p>
          <w:p>
            <w:pPr>
              <w:pStyle w:val="TableContents"/>
              <w:spacing w:before="0" w:after="0"/>
              <w:ind w:left="360" w:right="0" w:hanging="0"/>
              <w:jc w:val="both"/>
              <w:rPr/>
            </w:pPr>
            <w:r>
              <w:rPr/>
              <w:t> </w:t>
            </w:r>
          </w:p>
        </w:tc>
        <w:tc>
          <w:tcPr>
            <w:tcW w:w="1324" w:type="dxa"/>
            <w:gridSpan w:val="2"/>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850" w:type="dxa"/>
            <w:tcBorders/>
            <w:shd w:fill="auto" w:val="clear"/>
            <w:tcMar>
              <w:bottom w:w="0" w:type="dxa"/>
            </w:tcMar>
            <w:vAlign w:val="center"/>
          </w:tcPr>
          <w:p>
            <w:pPr>
              <w:pStyle w:val="TableContents"/>
              <w:spacing w:before="0" w:after="0"/>
              <w:ind w:left="0" w:right="0" w:hanging="0"/>
              <w:jc w:val="center"/>
              <w:rPr/>
            </w:pPr>
            <w:r>
              <w:rPr/>
              <w:t> </w:t>
            </w:r>
          </w:p>
        </w:tc>
        <w:tc>
          <w:tcPr>
            <w:tcW w:w="5015" w:type="dxa"/>
            <w:tcBorders/>
            <w:shd w:fill="auto" w:val="clear"/>
            <w:tcMar>
              <w:bottom w:w="0" w:type="dxa"/>
            </w:tcMar>
            <w:vAlign w:val="center"/>
          </w:tcPr>
          <w:p>
            <w:pPr>
              <w:pStyle w:val="TableContents"/>
              <w:spacing w:before="0" w:after="0"/>
              <w:rPr/>
            </w:pPr>
            <w:r>
              <w:rPr/>
              <w:t> </w:t>
            </w:r>
          </w:p>
        </w:tc>
        <w:tc>
          <w:tcPr>
            <w:tcW w:w="1324" w:type="dxa"/>
            <w:gridSpan w:val="2"/>
            <w:tcBorders/>
            <w:shd w:fill="auto" w:val="clear"/>
            <w:tcMar>
              <w:bottom w:w="0" w:type="dxa"/>
            </w:tcMar>
            <w:vAlign w:val="center"/>
          </w:tcPr>
          <w:p>
            <w:pPr>
              <w:pStyle w:val="TableContents"/>
              <w:spacing w:before="0" w:after="0"/>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6" w:name="pgbrk67"/>
      <w:bookmarkStart w:id="497" w:name="pgbrk67"/>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8" w:name="ftr66"/>
      <w:bookmarkEnd w:id="4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9" w:name="pn64"/>
      <w:bookmarkEnd w:id="499"/>
      <w:r>
        <w:rPr>
          <w:rFonts w:ascii="Times New Roman" w:hAnsi="Times New Roman"/>
          <w:sz w:val="20"/>
        </w:rPr>
        <w:t>67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00" w:name="pb66"/>
      <w:bookmarkStart w:id="501" w:name="pb66"/>
      <w:bookmarkEnd w:id="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2" w:name="hdr67"/>
      <w:bookmarkEnd w:id="5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3945" w:type="dxa"/>
        <w:jc w:val="left"/>
        <w:tblInd w:w="0" w:type="dxa"/>
        <w:tblCellMar>
          <w:top w:w="0" w:type="dxa"/>
          <w:left w:w="0" w:type="dxa"/>
          <w:bottom w:w="0" w:type="dxa"/>
          <w:right w:w="0" w:type="dxa"/>
        </w:tblCellMar>
      </w:tblPr>
      <w:tblGrid>
        <w:gridCol w:w="1940"/>
        <w:gridCol w:w="680"/>
        <w:gridCol w:w="1325"/>
      </w:tblGrid>
      <w:tr>
        <w:trPr/>
        <w:tc>
          <w:tcPr>
            <w:tcW w:w="1940" w:type="dxa"/>
            <w:tcBorders/>
            <w:shd w:fill="auto" w:val="clear"/>
            <w:vAlign w:val="center"/>
          </w:tcPr>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rPr/>
            </w:pPr>
            <w:r>
              <w:rPr/>
              <w:t> </w:t>
            </w:r>
          </w:p>
        </w:tc>
        <w:tc>
          <w:tcPr>
            <w:tcW w:w="1325" w:type="dxa"/>
            <w:tcBorders/>
            <w:shd w:fill="auto" w:val="clear"/>
            <w:vAlign w:val="center"/>
          </w:tcPr>
          <w:p>
            <w:pPr>
              <w:pStyle w:val="TableContents"/>
              <w:spacing w:before="0" w:after="0"/>
              <w:rPr/>
            </w:pPr>
            <w:r>
              <w:rPr/>
              <w:t> </w:t>
            </w:r>
          </w:p>
        </w:tc>
      </w:tr>
      <w:tr>
        <w:trPr/>
        <w:tc>
          <w:tcPr>
            <w:tcW w:w="1940" w:type="dxa"/>
            <w:tcBorders/>
            <w:shd w:fill="auto" w:val="clear"/>
            <w:vAlign w:val="center"/>
          </w:tcPr>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rPr/>
            </w:pPr>
            <w:r>
              <w:rPr/>
              <w:t> </w:t>
            </w:r>
          </w:p>
        </w:tc>
        <w:tc>
          <w:tcPr>
            <w:tcW w:w="1325" w:type="dxa"/>
            <w:tcBorders/>
            <w:shd w:fill="auto" w:val="clear"/>
            <w:vAlign w:val="center"/>
          </w:tcPr>
          <w:p>
            <w:pPr>
              <w:pStyle w:val="TableContents"/>
              <w:spacing w:before="0" w:after="0"/>
              <w:rPr/>
            </w:pPr>
            <w:r>
              <w:rPr/>
              <w:t> </w:t>
            </w:r>
          </w:p>
        </w:tc>
      </w:tr>
      <w:tr>
        <w:trPr/>
        <w:tc>
          <w:tcPr>
            <w:tcW w:w="1940"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June Almenoff</w:t>
            </w:r>
          </w:p>
          <w:p>
            <w:pPr>
              <w:pStyle w:val="TableContents"/>
              <w:spacing w:before="0" w:after="0"/>
              <w:ind w:left="0" w:right="0" w:hanging="0"/>
              <w:jc w:val="center"/>
              <w:rPr>
                <w:rFonts w:ascii="Times New Roman" w:hAnsi="Times New Roman"/>
                <w:sz w:val="20"/>
              </w:rPr>
            </w:pPr>
            <w:r>
              <w:rPr>
                <w:rFonts w:ascii="Times New Roman" w:hAnsi="Times New Roman"/>
                <w:sz w:val="20"/>
              </w:rPr>
              <w:t>June Almenoff, MD</w:t>
            </w:r>
          </w:p>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Director</w:t>
            </w:r>
          </w:p>
          <w:p>
            <w:pPr>
              <w:pStyle w:val="TableContents"/>
              <w:spacing w:before="0" w:after="0"/>
              <w:ind w:left="180" w:right="0" w:hanging="0"/>
              <w:jc w:val="both"/>
              <w:rPr/>
            </w:pPr>
            <w:r>
              <w:rPr/>
              <w:t> </w:t>
            </w:r>
          </w:p>
        </w:tc>
        <w:tc>
          <w:tcPr>
            <w:tcW w:w="132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940" w:type="dxa"/>
            <w:tcBorders/>
            <w:shd w:fill="auto" w:val="clear"/>
            <w:vAlign w:val="center"/>
          </w:tcPr>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rPr/>
            </w:pPr>
            <w:r>
              <w:rPr/>
              <w:t> </w:t>
            </w:r>
          </w:p>
        </w:tc>
        <w:tc>
          <w:tcPr>
            <w:tcW w:w="1325" w:type="dxa"/>
            <w:tcBorders/>
            <w:shd w:fill="auto" w:val="clear"/>
            <w:vAlign w:val="center"/>
          </w:tcPr>
          <w:p>
            <w:pPr>
              <w:pStyle w:val="TableContents"/>
              <w:spacing w:before="0" w:after="0"/>
              <w:rPr/>
            </w:pPr>
            <w:r>
              <w:rPr/>
              <w:t> </w:t>
            </w:r>
          </w:p>
        </w:tc>
      </w:tr>
      <w:tr>
        <w:trPr/>
        <w:tc>
          <w:tcPr>
            <w:tcW w:w="1940"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Declan Doogan</w:t>
            </w:r>
          </w:p>
          <w:p>
            <w:pPr>
              <w:pStyle w:val="TableContents"/>
              <w:spacing w:before="0" w:after="0"/>
              <w:ind w:left="0" w:right="0" w:hanging="0"/>
              <w:jc w:val="center"/>
              <w:rPr>
                <w:rFonts w:ascii="Times New Roman" w:hAnsi="Times New Roman"/>
                <w:sz w:val="20"/>
              </w:rPr>
            </w:pPr>
            <w:r>
              <w:rPr>
                <w:rFonts w:ascii="Times New Roman" w:hAnsi="Times New Roman"/>
                <w:sz w:val="20"/>
              </w:rPr>
              <w:t>Declan Doogan, MD</w:t>
            </w:r>
          </w:p>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Director</w:t>
            </w:r>
          </w:p>
          <w:p>
            <w:pPr>
              <w:pStyle w:val="TableContents"/>
              <w:spacing w:before="0" w:after="0"/>
              <w:ind w:left="180" w:right="0" w:hanging="0"/>
              <w:jc w:val="both"/>
              <w:rPr/>
            </w:pPr>
            <w:r>
              <w:rPr/>
              <w:t> </w:t>
            </w:r>
          </w:p>
        </w:tc>
        <w:tc>
          <w:tcPr>
            <w:tcW w:w="132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940" w:type="dxa"/>
            <w:tcBorders/>
            <w:shd w:fill="auto" w:val="clear"/>
            <w:vAlign w:val="center"/>
          </w:tcPr>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rPr/>
            </w:pPr>
            <w:r>
              <w:rPr/>
              <w:t> </w:t>
            </w:r>
          </w:p>
        </w:tc>
        <w:tc>
          <w:tcPr>
            <w:tcW w:w="1325" w:type="dxa"/>
            <w:tcBorders/>
            <w:shd w:fill="auto" w:val="clear"/>
            <w:vAlign w:val="center"/>
          </w:tcPr>
          <w:p>
            <w:pPr>
              <w:pStyle w:val="TableContents"/>
              <w:spacing w:before="0" w:after="0"/>
              <w:rPr/>
            </w:pPr>
            <w:r>
              <w:rPr/>
              <w:t> </w:t>
            </w:r>
          </w:p>
        </w:tc>
      </w:tr>
      <w:tr>
        <w:trPr/>
        <w:tc>
          <w:tcPr>
            <w:tcW w:w="1940"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Michael Davidson</w:t>
            </w:r>
          </w:p>
          <w:p>
            <w:pPr>
              <w:pStyle w:val="TableContents"/>
              <w:spacing w:before="0" w:after="0"/>
              <w:ind w:left="0" w:right="0" w:hanging="0"/>
              <w:jc w:val="center"/>
              <w:rPr>
                <w:rFonts w:ascii="Times New Roman" w:hAnsi="Times New Roman"/>
                <w:sz w:val="20"/>
              </w:rPr>
            </w:pPr>
            <w:r>
              <w:rPr>
                <w:rFonts w:ascii="Times New Roman" w:hAnsi="Times New Roman"/>
                <w:sz w:val="20"/>
              </w:rPr>
              <w:t>Michael Davidson, MD</w:t>
            </w:r>
          </w:p>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Director</w:t>
            </w:r>
          </w:p>
          <w:p>
            <w:pPr>
              <w:pStyle w:val="TableContents"/>
              <w:spacing w:before="0" w:after="0"/>
              <w:ind w:left="180" w:right="0" w:hanging="0"/>
              <w:jc w:val="both"/>
              <w:rPr/>
            </w:pPr>
            <w:r>
              <w:rPr/>
              <w:t> </w:t>
            </w:r>
          </w:p>
        </w:tc>
        <w:tc>
          <w:tcPr>
            <w:tcW w:w="132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940" w:type="dxa"/>
            <w:tcBorders/>
            <w:shd w:fill="auto" w:val="clear"/>
            <w:vAlign w:val="center"/>
          </w:tcPr>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rPr/>
            </w:pPr>
            <w:r>
              <w:rPr/>
              <w:t> </w:t>
            </w:r>
          </w:p>
        </w:tc>
        <w:tc>
          <w:tcPr>
            <w:tcW w:w="1325" w:type="dxa"/>
            <w:tcBorders/>
            <w:shd w:fill="auto" w:val="clear"/>
            <w:vAlign w:val="center"/>
          </w:tcPr>
          <w:p>
            <w:pPr>
              <w:pStyle w:val="TableContents"/>
              <w:spacing w:before="0" w:after="0"/>
              <w:rPr/>
            </w:pPr>
            <w:r>
              <w:rPr/>
              <w:t> </w:t>
            </w:r>
          </w:p>
        </w:tc>
      </w:tr>
      <w:tr>
        <w:trPr/>
        <w:tc>
          <w:tcPr>
            <w:tcW w:w="1940"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Steven Boyd</w:t>
            </w:r>
          </w:p>
          <w:p>
            <w:pPr>
              <w:pStyle w:val="TableContents"/>
              <w:spacing w:before="0" w:after="0"/>
              <w:ind w:left="0" w:right="0" w:hanging="0"/>
              <w:jc w:val="center"/>
              <w:rPr>
                <w:rFonts w:ascii="Times New Roman" w:hAnsi="Times New Roman"/>
                <w:sz w:val="20"/>
              </w:rPr>
            </w:pPr>
            <w:r>
              <w:rPr>
                <w:rFonts w:ascii="Times New Roman" w:hAnsi="Times New Roman"/>
                <w:sz w:val="20"/>
              </w:rPr>
              <w:t>Steven Boyd</w:t>
            </w:r>
          </w:p>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Director</w:t>
            </w:r>
          </w:p>
          <w:p>
            <w:pPr>
              <w:pStyle w:val="TableContents"/>
              <w:spacing w:before="0" w:after="0"/>
              <w:ind w:left="180" w:right="0" w:hanging="0"/>
              <w:jc w:val="both"/>
              <w:rPr/>
            </w:pPr>
            <w:r>
              <w:rPr/>
              <w:t> </w:t>
            </w:r>
          </w:p>
        </w:tc>
        <w:tc>
          <w:tcPr>
            <w:tcW w:w="132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r>
        <w:trPr/>
        <w:tc>
          <w:tcPr>
            <w:tcW w:w="1940" w:type="dxa"/>
            <w:tcBorders/>
            <w:shd w:fill="auto" w:val="clear"/>
            <w:vAlign w:val="center"/>
          </w:tcPr>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rPr/>
            </w:pPr>
            <w:r>
              <w:rPr/>
              <w:t> </w:t>
            </w:r>
          </w:p>
        </w:tc>
        <w:tc>
          <w:tcPr>
            <w:tcW w:w="1325" w:type="dxa"/>
            <w:tcBorders/>
            <w:shd w:fill="auto" w:val="clear"/>
            <w:vAlign w:val="center"/>
          </w:tcPr>
          <w:p>
            <w:pPr>
              <w:pStyle w:val="TableContents"/>
              <w:spacing w:before="0" w:after="0"/>
              <w:rPr/>
            </w:pPr>
            <w:r>
              <w:rPr/>
              <w:t> </w:t>
            </w:r>
          </w:p>
        </w:tc>
      </w:tr>
      <w:tr>
        <w:trPr/>
        <w:tc>
          <w:tcPr>
            <w:tcW w:w="1940"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 Keith Maher</w:t>
            </w:r>
          </w:p>
          <w:p>
            <w:pPr>
              <w:pStyle w:val="TableContents"/>
              <w:spacing w:before="0" w:after="0"/>
              <w:ind w:left="0" w:right="0" w:hanging="0"/>
              <w:jc w:val="center"/>
              <w:rPr>
                <w:rFonts w:ascii="Times New Roman" w:hAnsi="Times New Roman"/>
                <w:sz w:val="20"/>
              </w:rPr>
            </w:pPr>
            <w:r>
              <w:rPr>
                <w:rFonts w:ascii="Times New Roman" w:hAnsi="Times New Roman"/>
                <w:sz w:val="20"/>
              </w:rPr>
              <w:t>Keith Maher, MD</w:t>
            </w:r>
          </w:p>
          <w:p>
            <w:pPr>
              <w:pStyle w:val="TableContents"/>
              <w:spacing w:before="0" w:after="0"/>
              <w:ind w:left="0" w:right="0" w:hanging="0"/>
              <w:jc w:val="center"/>
              <w:rPr/>
            </w:pPr>
            <w:r>
              <w:rPr/>
              <w:t> </w:t>
            </w:r>
          </w:p>
        </w:tc>
        <w:tc>
          <w:tcPr>
            <w:tcW w:w="680"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Director</w:t>
            </w:r>
          </w:p>
          <w:p>
            <w:pPr>
              <w:pStyle w:val="TableContents"/>
              <w:spacing w:before="0" w:after="0"/>
              <w:ind w:left="180" w:right="0" w:hanging="0"/>
              <w:jc w:val="both"/>
              <w:rPr/>
            </w:pPr>
            <w:r>
              <w:rPr/>
              <w:t> </w:t>
            </w:r>
          </w:p>
        </w:tc>
        <w:tc>
          <w:tcPr>
            <w:tcW w:w="132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March 31, 2021</w:t>
            </w:r>
          </w:p>
          <w:p>
            <w:pPr>
              <w:pStyle w:val="TableContents"/>
              <w:spacing w:before="0" w:after="0"/>
              <w:ind w:left="0" w:right="0" w:hanging="0"/>
              <w:jc w:val="both"/>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3" w:name="pgbrk68"/>
      <w:bookmarkStart w:id="504" w:name="pgbrk68"/>
      <w:bookmarkEnd w:id="5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05" w:name="ftr67"/>
      <w:bookmarkEnd w:id="5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6" w:name="pn65"/>
      <w:bookmarkEnd w:id="506"/>
      <w:r>
        <w:rPr>
          <w:rFonts w:ascii="Times New Roman" w:hAnsi="Times New Roman"/>
          <w:sz w:val="20"/>
        </w:rPr>
        <w:t>68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07" w:name="pb67"/>
      <w:bookmarkStart w:id="508" w:name="pb67"/>
      <w:bookmarkEnd w:id="508"/>
    </w:p>
    <w:p>
      <w:pPr>
        <w:pStyle w:val="TextBody"/>
        <w:ind w:left="0" w:right="0" w:hanging="0"/>
        <w:rPr/>
      </w:pPr>
      <w:r>
        <w:rPr/>
      </w:r>
      <w:bookmarkStart w:id="509" w:name="pgbrk69"/>
      <w:bookmarkStart w:id="510" w:name="pgbrk69"/>
      <w:bookmarkEnd w:id="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20"/>
        </w:rPr>
      </w:pPr>
      <w:bookmarkStart w:id="511" w:name="hdr68"/>
      <w:bookmarkEnd w:id="511"/>
      <w:r>
        <w:rPr>
          <w:rFonts w:ascii="Times New Roman" w:hAnsi="Times New Roman"/>
          <w:b/>
          <w:sz w:val="20"/>
        </w:rPr>
        <w:t>Exhibit 4.2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DESCRIPTION OF COMMON STOCK OF TENAX THERAPEUTICS, INC.</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REGISTERED PURSUANT TO SECTION 12 OF THE SECURITIES EXCHANGE ACT OF 1934</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description is a summary of information concerning the common stock, par value $0.0001 per share (the “Common Stock”), of Tenax Therapeutics, Inc. (“we,” “our,” “us,” or the “Company”) and does not purport to be complete. It is subject to and qualified in its entirety by reference to our Certificate of Incorporation, as amended (the “Certificate of Incorporation”) and our Third Amended and Restated By-Laws (the “By-Laws”), each of which is incorporated by reference as an exhibit to the Annual Report on Form 10-K of which this Exhibit 4.2 is a part. The description below also summarizes certain provisions of Delaware law. We encourage you to read our Certificate of Incorporation, our By-Laws and the applicable provisions of Delaware law for additional information.</w:t>
      </w:r>
    </w:p>
    <w:p>
      <w:pPr>
        <w:pStyle w:val="TextBody"/>
        <w:spacing w:before="0" w:after="0"/>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Authorized Common Stock</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Our Certificate of Incorporation authorizes the issuance of 400,000,000 shares of Common Stock. Our authorized but unissued shares of Common Stock are available for issuance without further action by our stockholders, unless such action is required by applicable law or the rules of any securities exchange or automated quotation system on which our securities may be listed or traded.</w:t>
      </w:r>
    </w:p>
    <w:p>
      <w:pPr>
        <w:pStyle w:val="TextBody"/>
        <w:spacing w:before="0" w:after="0"/>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Voting</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Each outstanding share of our Common Stock is entitled to one vote on all matters submitted to a vote of stockholders. Cumulative voting is not permitted.</w:t>
      </w:r>
    </w:p>
    <w:p>
      <w:pPr>
        <w:pStyle w:val="TextBody"/>
        <w:spacing w:before="0" w:after="0"/>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Dividends</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The holders of outstanding shares of our Common Stock are entitled to receive ratably any dividends declared by our board of directors out of assets legally available for the payment of dividends, at the times and in the amounts as our board of directors may from time to time determine.</w:t>
      </w:r>
    </w:p>
    <w:p>
      <w:pPr>
        <w:pStyle w:val="TextBody"/>
        <w:spacing w:before="0" w:after="0"/>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Rights and Preferences</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Shares of Common Stock are neither redeemable nor convertible. Holders of Common Stock have no preemptive or subscription rights to purchase any of our securities and no sinking fund provisions apply to our Common Stock.</w:t>
      </w:r>
    </w:p>
    <w:p>
      <w:pPr>
        <w:pStyle w:val="TextBody"/>
        <w:spacing w:before="0" w:after="0"/>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Liquidation</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In the event of our liquidation, dissolution or winding up, holders of Common Stock are entitled to receive, pro rata, our assets which are legally available for distribution, after payments of all debts and other liabilities and subject to the preferential rights of any holders of preferred stock then outstanding.</w:t>
      </w:r>
    </w:p>
    <w:p>
      <w:pPr>
        <w:pStyle w:val="TextBody"/>
        <w:spacing w:before="0" w:after="0"/>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Preferred Stock</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Our board of directors has the authority, without further action by our stockholders (unless such action is required by applicable law or the rules of any securities exchange or automated quotation system on which our securities may be listed or traded), to issue up to 10,000,000 shares of preferred stock in one or more series and to fix the designations, powers, rights, preferences, qualifications, limitations and restrictions thereof. These designations, powers, rights and preferences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pStyle w:val="TextBody"/>
        <w:spacing w:before="0" w:after="0"/>
        <w:ind w:left="0" w:right="0" w:hanging="0"/>
        <w:jc w:val="both"/>
        <w:rPr/>
      </w:pPr>
      <w:r>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2" w:name="pgbrk70"/>
      <w:bookmarkStart w:id="513" w:name="pgbrk70"/>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14" w:name="ftr68"/>
      <w:bookmarkEnd w:id="5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5" w:name="pn66"/>
      <w:bookmarkEnd w:id="515"/>
      <w:r>
        <w:rPr>
          <w:rFonts w:ascii="Times New Roman" w:hAnsi="Times New Roman"/>
          <w:sz w:val="20"/>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16" w:name="pb68"/>
      <w:bookmarkStart w:id="517" w:name="pb68"/>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18" w:name="hdr69"/>
      <w:bookmarkEnd w:id="5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xml:space="preserve">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As of the date of the filing of the Annual Report on Form 10-K of which this Exhibit 4.2 is a part, we had 210 shares of Series A Convertible Preferred Stock outstanding and 10,232 shares of Series B Convertible Preferred Stock outstanding. The powers, preferences, rights, qualifications, limitations and restrictions of our Series A Convertible Preferred Stock and our Series B Convertible Preferred Stock are set forth in their respective certificates of designation, copies of which are filed or incorporated by reference as exhibits to the Annual Report on Form 10-K of which this Exhibit 4.2 is a part. Other than our Series A Convertible Preferred Stock and Series B Convertible Preferred Stock, no shares of our preferred stock are currently outstanding.</w:t>
      </w:r>
    </w:p>
    <w:p>
      <w:pPr>
        <w:pStyle w:val="TextBody"/>
        <w:spacing w:before="0" w:after="0"/>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Anti-Takeover Provisions</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The provisions of Delaware law, the Certificate of Incorporation and the By-Laws could have the effect of delaying, deferring or discouraging another person from acquiring control of us.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spacing w:before="0" w:after="0"/>
        <w:rPr/>
      </w:pPr>
      <w:r>
        <w:rPr/>
        <w:t> </w:t>
      </w:r>
    </w:p>
    <w:p>
      <w:pPr>
        <w:pStyle w:val="TextBody"/>
        <w:spacing w:before="0" w:after="0"/>
        <w:ind w:left="0" w:right="0" w:hanging="0"/>
        <w:jc w:val="both"/>
        <w:rPr>
          <w:rFonts w:ascii="Times New Roman" w:hAnsi="Times New Roman"/>
          <w:b/>
          <w:i/>
          <w:color w:val="000000"/>
          <w:sz w:val="20"/>
        </w:rPr>
      </w:pPr>
      <w:r>
        <w:rPr>
          <w:rFonts w:ascii="Times New Roman" w:hAnsi="Times New Roman"/>
          <w:b/>
          <w:i/>
          <w:color w:val="000000"/>
          <w:sz w:val="20"/>
        </w:rPr>
        <w:t>Delaware Law</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We must comply with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 the business combination or the transaction in which the person became an interested stockholder is approved in a prescribed manner or certain other exceptions are met. Generally, a “business combination” includes a merger, asset or stock sale, or other transaction resulting in a financial benefit to an interested stockholder. An “interested stockholder” includes a person who, together with affiliates and associates, owns, or did own within three years prior to the determination of interested stockholder status, 15% or more of the corporation’s voting stock. The existence of this provision generally will have an anti-takeover effect for transactions not approved in advance by the board of directors, including discouraging attempts that might result in a premium over the market price for the shares of Common Stock held by stockholders.</w:t>
      </w:r>
    </w:p>
    <w:p>
      <w:pPr>
        <w:pStyle w:val="TextBody"/>
        <w:spacing w:before="0" w:after="0"/>
        <w:rPr/>
      </w:pPr>
      <w:r>
        <w:rPr/>
        <w:t> </w:t>
      </w:r>
    </w:p>
    <w:p>
      <w:pPr>
        <w:pStyle w:val="TextBody"/>
        <w:spacing w:before="0" w:after="0"/>
        <w:ind w:left="0" w:right="0" w:hanging="0"/>
        <w:jc w:val="both"/>
        <w:rPr>
          <w:rFonts w:ascii="Times New Roman" w:hAnsi="Times New Roman"/>
          <w:b/>
          <w:i/>
          <w:color w:val="000000"/>
          <w:sz w:val="20"/>
        </w:rPr>
      </w:pPr>
      <w:r>
        <w:rPr>
          <w:rFonts w:ascii="Times New Roman" w:hAnsi="Times New Roman"/>
          <w:b/>
          <w:i/>
          <w:color w:val="000000"/>
          <w:sz w:val="20"/>
        </w:rPr>
        <w:t>Certificate of Incorporation and By-Laws Provisions</w:t>
      </w:r>
    </w:p>
    <w:p>
      <w:pPr>
        <w:pStyle w:val="TextBody"/>
        <w:spacing w:before="0" w:after="0"/>
        <w:rPr/>
      </w:pPr>
      <w:r>
        <w:rPr/>
        <w:t> </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Our Certificate of Incorporation and By-Laws include a number of provisions that could deter hostile takeovers or delay or prevent changes in control of us. Certain of these provisions are summarized in the following paragraphs.</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color w:val="000000"/>
          <w:sz w:val="20"/>
          <w:u w:val="single"/>
        </w:rPr>
        <w:t>Undesignated Preferred Stock</w:t>
      </w:r>
      <w:r>
        <w:rPr>
          <w:rFonts w:ascii="Times New Roman" w:hAnsi="Times New Roman"/>
          <w:color w:val="000000"/>
          <w:sz w:val="20"/>
        </w:rPr>
        <w:t>. The ability to authorize undesignated preferred stock makes it possible for our board of directors to issue one or more series of preferred stock with voting or other rights or preferences that could impede the success of any attempt to change control of our company. These and other provisions may have the effect of deferring hostile takeovers or delaying changes in control or management of our company.</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color w:val="000000"/>
          <w:sz w:val="20"/>
          <w:u w:val="single"/>
        </w:rPr>
        <w:t>Special Meeting of Stockholders and Advance Notice Requirements</w:t>
      </w:r>
      <w:r>
        <w:rPr>
          <w:rFonts w:ascii="Times New Roman" w:hAnsi="Times New Roman"/>
          <w:color w:val="000000"/>
          <w:sz w:val="20"/>
        </w:rPr>
        <w:t>. Our By-Laws provide that a special meeting of stockholders may be called only by a majority of our board of directors, our president, the chairperson of our board of directors or such other person as our board of directors may designate, in each case, for the purpose specified in the notice of meeting. Our stockholders are not permitted to propose business to be brought before a special meeting of our stockholders. In addition, our By-laws establish advance notice procedures with respect to stockholder proposals and the nomination of candidates for election as directors, other than nominations made by or at the direction of our board of directors or a committee of the board of directors. These provisions may have the effect of deterring unsolicited offers to acquire our company or delaying stockholder actions, even if they are favored by the holders of a majority of our outstanding voting securities.</w:t>
      </w:r>
    </w:p>
    <w:p>
      <w:pPr>
        <w:pStyle w:val="TextBody"/>
        <w:spacing w:before="0" w:after="0"/>
        <w:ind w:left="0" w:right="0" w:hanging="0"/>
        <w:jc w:val="both"/>
        <w:rPr/>
      </w:pPr>
      <w:r>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9" w:name="pgbrk71"/>
      <w:bookmarkStart w:id="520" w:name="pgbrk71"/>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21" w:name="ftr69"/>
      <w:bookmarkEnd w:id="5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2" w:name="pn67"/>
      <w:bookmarkEnd w:id="522"/>
      <w:r>
        <w:rPr>
          <w:rFonts w:ascii="Times New Roman" w:hAnsi="Times New Roman"/>
          <w:sz w:val="20"/>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23" w:name="pb69"/>
      <w:bookmarkStart w:id="524" w:name="pb69"/>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25" w:name="hdr70"/>
      <w:bookmarkEnd w:id="5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color w:val="000000"/>
          <w:sz w:val="20"/>
          <w:u w:val="single"/>
        </w:rPr>
        <w:t>No Cumulative Voting</w:t>
      </w:r>
      <w:r>
        <w:rPr>
          <w:rFonts w:ascii="Times New Roman" w:hAnsi="Times New Roman"/>
          <w:color w:val="000000"/>
          <w:sz w:val="20"/>
        </w:rPr>
        <w:t>. Our Certificate of Incorporation does not permit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color w:val="000000"/>
          <w:sz w:val="20"/>
          <w:u w:val="single"/>
        </w:rPr>
        <w:t>Removal of Directors and Filling of Vacancies</w:t>
      </w:r>
      <w:r>
        <w:rPr>
          <w:rFonts w:ascii="Times New Roman" w:hAnsi="Times New Roman"/>
          <w:color w:val="000000"/>
          <w:sz w:val="20"/>
        </w:rPr>
        <w:t>: Our By-Laws require the vote of stockholders representing not less than two-thirds of our issued and outstanding capital stock entitled to voting power in order to remove a director from office, with or without cause. In addition, vacancies on our board of directors (including vacancies created by the removal of directors) may be filled by a majority of the remaining directors, even if less than a quorum, or by a sole remaining director, and each director so elected shall hold office until his or her successor is elected at an annual or a special meeting of our stockholders.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Listing on the Nasdaq Capital Market</w:t>
      </w:r>
    </w:p>
    <w:p>
      <w:pPr>
        <w:pStyle w:val="TextBody"/>
        <w:spacing w:before="0" w:after="0"/>
        <w:rPr/>
      </w:pPr>
      <w:r>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Common Stock is listed on the Nasdaq Capital Market under the symbol “TENX.”</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6" w:name="pgbrk72"/>
      <w:bookmarkStart w:id="527" w:name="pgbrk72"/>
      <w:bookmarkEnd w:id="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28" w:name="ftr70"/>
      <w:bookmarkEnd w:id="5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9" w:name="pn68"/>
      <w:bookmarkEnd w:id="529"/>
      <w:r>
        <w:rPr>
          <w:rFonts w:ascii="Times New Roman" w:hAnsi="Times New Roman"/>
          <w:sz w:val="20"/>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30" w:name="pb70"/>
      <w:bookmarkStart w:id="531" w:name="pb70"/>
      <w:bookmarkEnd w:id="531"/>
    </w:p>
    <w:p>
      <w:pPr>
        <w:pStyle w:val="TextBody"/>
        <w:ind w:left="0" w:right="0" w:hanging="0"/>
        <w:rPr/>
      </w:pPr>
      <w:r>
        <w:rPr/>
      </w:r>
      <w:bookmarkStart w:id="532" w:name="pgbrk73"/>
      <w:bookmarkStart w:id="533" w:name="pgbrk73"/>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34" w:name="hdr71"/>
      <w:bookmarkEnd w:id="5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color w:val="000000"/>
          <w:sz w:val="20"/>
        </w:rPr>
      </w:pPr>
      <w:r>
        <w:rPr>
          <w:rFonts w:ascii="Times New Roman" w:hAnsi="Times New Roman"/>
          <w:b/>
          <w:color w:val="000000"/>
          <w:sz w:val="20"/>
        </w:rPr>
        <w:t>Exhibit 23.1</w:t>
      </w:r>
    </w:p>
    <w:p>
      <w:pPr>
        <w:pStyle w:val="TextBody"/>
        <w:spacing w:before="0" w:after="0"/>
        <w:rPr/>
      </w:pPr>
      <w:r>
        <w:rPr/>
        <w:t> </w:t>
      </w:r>
    </w:p>
    <w:p>
      <w:pPr>
        <w:pStyle w:val="TextBody"/>
        <w:spacing w:before="0" w:after="0"/>
        <w:ind w:left="0" w:right="0" w:hanging="0"/>
        <w:jc w:val="right"/>
        <w:rPr>
          <w:color w:val="000000"/>
        </w:rPr>
      </w:pPr>
      <w:r>
        <w:rPr>
          <w:color w:val="000000"/>
        </w:rPr>
        <w:t> </w:t>
      </w:r>
    </w:p>
    <w:p>
      <w:pPr>
        <w:pStyle w:val="TextBody"/>
        <w:spacing w:before="0" w:after="0"/>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hereby consent to the incorporation by reference in the Registration Statements on Form S-8 (Nos. 333-167175, 333-196464, 333-210182, 333-224120, and 333-233571), Form S-3 (Nos. 333-224951, 333-248201), and Form S-1 (No. 333-228212) of our report dated March 31, 2021 included in this Annual Report on Form 10-K of Tenax Therapeutics, Inc. and Subsidiary (the “Company”), relating to the consolidated balance sheets of the Company as of December 31, 2020 and 2019, and the related consolidated statements of operations and comprehensive loss, stockholders’ equity, and cash flows, and the related notes (which report expresses an unqualified opinion and contains an explanatory paragraph regarding substantial doubt about the Company’s ability to continue as a going concern) for each of the years in the two-year period ended December 31, 2020.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highlight w:val="white"/>
        </w:rPr>
      </w:pPr>
      <w:r>
        <w:rPr>
          <w:rFonts w:ascii="Times New Roman" w:hAnsi="Times New Roman"/>
          <w:sz w:val="20"/>
          <w:highlight w:val="white"/>
        </w:rPr>
        <w:t>/s/ CHERRY BEKAERT LLP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Raleigh, North Carolina</w:t>
      </w:r>
    </w:p>
    <w:p>
      <w:pPr>
        <w:pStyle w:val="TextBody"/>
        <w:spacing w:before="0" w:after="0"/>
        <w:ind w:left="0" w:right="0" w:hanging="0"/>
        <w:jc w:val="left"/>
        <w:rPr>
          <w:rFonts w:ascii="Times New Roman" w:hAnsi="Times New Roman"/>
          <w:sz w:val="20"/>
        </w:rPr>
      </w:pPr>
      <w:r>
        <w:rPr>
          <w:rFonts w:ascii="Times New Roman" w:hAnsi="Times New Roman"/>
          <w:sz w:val="20"/>
        </w:rPr>
        <w:t>March 31, 2021</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5" w:name="pgbrk74"/>
      <w:bookmarkStart w:id="536" w:name="pgbrk74"/>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37" w:name="ftr71"/>
      <w:bookmarkEnd w:id="5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38" w:name="pb71"/>
      <w:bookmarkStart w:id="539" w:name="pb71"/>
      <w:bookmarkEnd w:id="539"/>
    </w:p>
    <w:p>
      <w:pPr>
        <w:pStyle w:val="TextBody"/>
        <w:ind w:left="0" w:right="0" w:hanging="0"/>
        <w:rPr/>
      </w:pPr>
      <w:r>
        <w:rPr/>
      </w:r>
      <w:bookmarkStart w:id="540" w:name="pgbrk75"/>
      <w:bookmarkStart w:id="541" w:name="pgbrk75"/>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42" w:name="hdr72"/>
      <w:bookmarkEnd w:id="5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color w:val="000000"/>
          <w:sz w:val="20"/>
        </w:rPr>
      </w:pPr>
      <w:r>
        <w:rPr>
          <w:rFonts w:ascii="Times New Roman" w:hAnsi="Times New Roman"/>
          <w:b/>
          <w:color w:val="000000"/>
          <w:sz w:val="20"/>
        </w:rPr>
        <w:t>Exhibit 31.1</w:t>
      </w:r>
    </w:p>
    <w:p>
      <w:pPr>
        <w:pStyle w:val="TextBody"/>
        <w:spacing w:before="0" w:after="0"/>
        <w:ind w:left="0" w:right="0" w:hanging="0"/>
        <w:jc w:val="center"/>
        <w:rPr>
          <w:color w:val="000000"/>
        </w:rPr>
      </w:pPr>
      <w:r>
        <w:rPr>
          <w:color w:val="000000"/>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 Anthony DiTonno, certify that: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1. I have reviewed this Annual Report on Form 10-K of</w:t>
      </w:r>
      <w:r>
        <w:rPr>
          <w:rFonts w:ascii="Times New Roman" w:hAnsi="Times New Roman"/>
          <w:sz w:val="20"/>
        </w:rPr>
        <w:t xml:space="preserve"> Tenax Therapeutics</w:t>
      </w:r>
      <w:r>
        <w:rPr>
          <w:rFonts w:ascii="Times New Roman" w:hAnsi="Times New Roman"/>
          <w:color w:val="000000"/>
          <w:sz w:val="20"/>
        </w:rPr>
        <w:t>, Inc.;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spacing w:before="0" w:after="0"/>
        <w:ind w:left="1260" w:right="0" w:hanging="0"/>
        <w:jc w:val="left"/>
        <w:rPr>
          <w:color w:val="000000"/>
        </w:rPr>
      </w:pPr>
      <w:r>
        <w:rPr>
          <w:color w:val="000000"/>
        </w:rPr>
        <w:t> </w:t>
      </w:r>
    </w:p>
    <w:p>
      <w:pPr>
        <w:pStyle w:val="TextBody"/>
        <w:spacing w:before="0" w:after="0"/>
        <w:ind w:left="1260" w:right="0" w:hanging="0"/>
        <w:jc w:val="left"/>
        <w:rPr>
          <w:color w:val="000000"/>
        </w:rPr>
      </w:pPr>
      <w:r>
        <w:rPr>
          <w:color w:val="000000"/>
        </w:rPr>
        <w:t> </w:t>
      </w:r>
    </w:p>
    <w:tbl>
      <w:tblPr>
        <w:tblW w:w="4629" w:type="dxa"/>
        <w:jc w:val="left"/>
        <w:tblInd w:w="0" w:type="dxa"/>
        <w:tblCellMar>
          <w:top w:w="0" w:type="dxa"/>
          <w:left w:w="0" w:type="dxa"/>
          <w:bottom w:w="0" w:type="dxa"/>
          <w:right w:w="0" w:type="dxa"/>
        </w:tblCellMar>
      </w:tblPr>
      <w:tblGrid>
        <w:gridCol w:w="1805"/>
        <w:gridCol w:w="326"/>
        <w:gridCol w:w="2423"/>
        <w:gridCol w:w="75"/>
      </w:tblGrid>
      <w:tr>
        <w:trPr/>
        <w:tc>
          <w:tcPr>
            <w:tcW w:w="180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Date: March 31, 2021</w:t>
            </w:r>
          </w:p>
        </w:tc>
        <w:tc>
          <w:tcPr>
            <w:tcW w:w="2749" w:type="dxa"/>
            <w:gridSpan w:val="2"/>
            <w:tcBorders/>
            <w:shd w:fill="auto" w:val="clear"/>
            <w:vAlign w:val="center"/>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TENAX THERAPEUTICS, INC.</w:t>
            </w:r>
          </w:p>
        </w:tc>
        <w:tc>
          <w:tcPr>
            <w:tcW w:w="75" w:type="dxa"/>
            <w:tcBorders/>
            <w:shd w:fill="auto" w:val="clear"/>
            <w:vAlign w:val="center"/>
          </w:tcPr>
          <w:p>
            <w:pPr>
              <w:pStyle w:val="TableContents"/>
              <w:spacing w:before="0" w:after="0"/>
              <w:rPr/>
            </w:pPr>
            <w:r>
              <w:rPr/>
              <w:t> </w:t>
            </w:r>
          </w:p>
        </w:tc>
      </w:tr>
      <w:tr>
        <w:trPr/>
        <w:tc>
          <w:tcPr>
            <w:tcW w:w="1805" w:type="dxa"/>
            <w:tcBorders/>
            <w:shd w:fill="auto" w:val="clear"/>
            <w:vAlign w:val="center"/>
          </w:tcPr>
          <w:p>
            <w:pPr>
              <w:pStyle w:val="TableContents"/>
              <w:spacing w:before="0" w:after="0"/>
              <w:rPr/>
            </w:pPr>
            <w:r>
              <w:rPr/>
              <w:t> </w:t>
            </w:r>
          </w:p>
        </w:tc>
        <w:tc>
          <w:tcPr>
            <w:tcW w:w="326" w:type="dxa"/>
            <w:tcBorders/>
            <w:shd w:fill="auto" w:val="clear"/>
            <w:vAlign w:val="center"/>
          </w:tcPr>
          <w:p>
            <w:pPr>
              <w:pStyle w:val="TableContents"/>
              <w:spacing w:before="0" w:after="0"/>
              <w:rPr/>
            </w:pPr>
            <w:r>
              <w:rPr/>
              <w:t> </w:t>
            </w:r>
          </w:p>
        </w:tc>
        <w:tc>
          <w:tcPr>
            <w:tcW w:w="2423"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1805" w:type="dxa"/>
            <w:tcBorders>
              <w:bottom w:val="single" w:sz="12" w:space="0" w:color="FFFFFF"/>
            </w:tcBorders>
            <w:shd w:fill="auto" w:val="clear"/>
            <w:tcMar>
              <w:bottom w:w="28" w:type="dxa"/>
            </w:tcMar>
            <w:vAlign w:val="center"/>
          </w:tcPr>
          <w:p>
            <w:pPr>
              <w:pStyle w:val="TableContents"/>
              <w:spacing w:before="0" w:after="0"/>
              <w:rPr/>
            </w:pPr>
            <w:r>
              <w:rPr/>
              <w:t> </w:t>
            </w:r>
          </w:p>
        </w:tc>
        <w:tc>
          <w:tcPr>
            <w:tcW w:w="326" w:type="dxa"/>
            <w:tcBorders>
              <w:bottom w:val="single" w:sz="12" w:space="0" w:color="FFFFFF"/>
            </w:tcBorders>
            <w:shd w:fill="auto" w:val="clear"/>
            <w:tcMar>
              <w:bottom w:w="28" w:type="dxa"/>
            </w:tcM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By:</w:t>
            </w:r>
          </w:p>
        </w:tc>
        <w:tc>
          <w:tcPr>
            <w:tcW w:w="2423"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 Anthony DiTonno</w:t>
            </w:r>
          </w:p>
        </w:tc>
        <w:tc>
          <w:tcPr>
            <w:tcW w:w="75" w:type="dxa"/>
            <w:tcBorders>
              <w:bottom w:val="single" w:sz="12" w:space="0" w:color="FFFFFF"/>
            </w:tcBorders>
            <w:shd w:fill="auto" w:val="clear"/>
            <w:tcMar>
              <w:bottom w:w="28" w:type="dxa"/>
            </w:tcMar>
            <w:vAlign w:val="center"/>
          </w:tcPr>
          <w:p>
            <w:pPr>
              <w:pStyle w:val="TableContents"/>
              <w:spacing w:before="0" w:after="0"/>
              <w:rPr/>
            </w:pPr>
            <w:r>
              <w:rPr/>
              <w:t> </w:t>
            </w:r>
          </w:p>
        </w:tc>
      </w:tr>
      <w:tr>
        <w:trPr/>
        <w:tc>
          <w:tcPr>
            <w:tcW w:w="1805" w:type="dxa"/>
            <w:tcBorders/>
            <w:shd w:fill="auto" w:val="clear"/>
            <w:vAlign w:val="center"/>
          </w:tcPr>
          <w:p>
            <w:pPr>
              <w:pStyle w:val="TableContents"/>
              <w:spacing w:before="0" w:after="0"/>
              <w:rPr/>
            </w:pPr>
            <w:r>
              <w:rPr/>
              <w:t> </w:t>
            </w:r>
          </w:p>
        </w:tc>
        <w:tc>
          <w:tcPr>
            <w:tcW w:w="326" w:type="dxa"/>
            <w:tcBorders/>
            <w:shd w:fill="auto" w:val="clear"/>
            <w:vAlign w:val="center"/>
          </w:tcPr>
          <w:p>
            <w:pPr>
              <w:pStyle w:val="TableContents"/>
              <w:spacing w:before="0" w:after="0"/>
              <w:rPr/>
            </w:pPr>
            <w:r>
              <w:rPr/>
              <w:t> </w:t>
            </w:r>
          </w:p>
        </w:tc>
        <w:tc>
          <w:tcPr>
            <w:tcW w:w="242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Anthony DiTonno</w:t>
            </w:r>
          </w:p>
        </w:tc>
        <w:tc>
          <w:tcPr>
            <w:tcW w:w="75" w:type="dxa"/>
            <w:tcBorders/>
            <w:shd w:fill="auto" w:val="clear"/>
            <w:vAlign w:val="center"/>
          </w:tcPr>
          <w:p>
            <w:pPr>
              <w:pStyle w:val="TableContents"/>
              <w:spacing w:before="0" w:after="0"/>
              <w:rPr/>
            </w:pPr>
            <w:r>
              <w:rPr/>
              <w:t> </w:t>
            </w:r>
          </w:p>
        </w:tc>
      </w:tr>
      <w:tr>
        <w:trPr/>
        <w:tc>
          <w:tcPr>
            <w:tcW w:w="1805" w:type="dxa"/>
            <w:tcBorders/>
            <w:shd w:fill="auto" w:val="clear"/>
            <w:vAlign w:val="center"/>
          </w:tcPr>
          <w:p>
            <w:pPr>
              <w:pStyle w:val="TableContents"/>
              <w:spacing w:before="0" w:after="0"/>
              <w:rPr/>
            </w:pPr>
            <w:r>
              <w:rPr/>
              <w:t> </w:t>
            </w:r>
          </w:p>
        </w:tc>
        <w:tc>
          <w:tcPr>
            <w:tcW w:w="326" w:type="dxa"/>
            <w:tcBorders/>
            <w:shd w:fill="auto" w:val="clear"/>
            <w:vAlign w:val="center"/>
          </w:tcPr>
          <w:p>
            <w:pPr>
              <w:pStyle w:val="TableContents"/>
              <w:spacing w:before="0" w:after="0"/>
              <w:rPr/>
            </w:pPr>
            <w:r>
              <w:rPr/>
              <w:t> </w:t>
            </w:r>
          </w:p>
        </w:tc>
        <w:tc>
          <w:tcPr>
            <w:tcW w:w="2423"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Chief Executive Officer</w:t>
            </w:r>
          </w:p>
          <w:p>
            <w:pPr>
              <w:pStyle w:val="TableContents"/>
              <w:spacing w:before="0" w:after="0"/>
              <w:ind w:left="0" w:right="0" w:hanging="0"/>
              <w:jc w:val="left"/>
              <w:rPr>
                <w:rFonts w:ascii="Times New Roman" w:hAnsi="Times New Roman"/>
                <w:i/>
                <w:sz w:val="20"/>
              </w:rPr>
            </w:pPr>
            <w:r>
              <w:rPr>
                <w:rFonts w:ascii="Times New Roman" w:hAnsi="Times New Roman"/>
                <w:i/>
                <w:sz w:val="20"/>
              </w:rPr>
              <w:t>(Principal Executive Officer)</w:t>
            </w:r>
          </w:p>
        </w:tc>
        <w:tc>
          <w:tcPr>
            <w:tcW w:w="75" w:type="dxa"/>
            <w:tcBorders/>
            <w:shd w:fill="auto" w:val="clear"/>
            <w:vAlign w:val="center"/>
          </w:tcPr>
          <w:p>
            <w:pPr>
              <w:pStyle w:val="TableContents"/>
              <w:spacing w:before="0" w:after="0"/>
              <w:rPr/>
            </w:pPr>
            <w:r>
              <w:rPr/>
              <w:t> </w:t>
            </w:r>
          </w:p>
        </w:tc>
      </w:tr>
    </w:tbl>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3" w:name="pgbrk76"/>
      <w:bookmarkStart w:id="544" w:name="pgbrk76"/>
      <w:bookmarkEnd w:id="5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45" w:name="ftr72"/>
      <w:bookmarkEnd w:id="5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46" w:name="pb72"/>
      <w:bookmarkStart w:id="547" w:name="pb72"/>
      <w:bookmarkEnd w:id="547"/>
    </w:p>
    <w:p>
      <w:pPr>
        <w:pStyle w:val="TextBody"/>
        <w:ind w:left="0" w:right="0" w:hanging="0"/>
        <w:rPr/>
      </w:pPr>
      <w:r>
        <w:rPr/>
      </w:r>
      <w:bookmarkStart w:id="548" w:name="pgbrk77"/>
      <w:bookmarkStart w:id="549" w:name="pgbrk77"/>
      <w:bookmarkEnd w:id="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50" w:name="hdr73"/>
      <w:bookmarkEnd w:id="5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color w:val="000000"/>
          <w:sz w:val="20"/>
        </w:rPr>
      </w:pPr>
      <w:r>
        <w:rPr>
          <w:rFonts w:ascii="Times New Roman" w:hAnsi="Times New Roman"/>
          <w:b/>
          <w:color w:val="000000"/>
          <w:sz w:val="20"/>
        </w:rPr>
        <w:t>Exhibit 31.2</w:t>
      </w:r>
    </w:p>
    <w:p>
      <w:pPr>
        <w:pStyle w:val="TextBody"/>
        <w:spacing w:before="0" w:after="0"/>
        <w:ind w:left="0" w:right="0" w:hanging="0"/>
        <w:jc w:val="center"/>
        <w:rPr>
          <w:color w:val="000000"/>
        </w:rPr>
      </w:pPr>
      <w:r>
        <w:rPr>
          <w:color w:val="000000"/>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I, Michael B. Jebsen, certify that: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color w:val="000000"/>
          <w:sz w:val="20"/>
        </w:rPr>
        <w:t>1. I have reviewed this Annual Report on Form 10-K of</w:t>
      </w:r>
      <w:r>
        <w:rPr>
          <w:rFonts w:ascii="Times New Roman" w:hAnsi="Times New Roman"/>
          <w:sz w:val="20"/>
        </w:rPr>
        <w:t xml:space="preserve"> Tenax Therapeutics</w:t>
      </w:r>
      <w:r>
        <w:rPr>
          <w:rFonts w:ascii="Times New Roman" w:hAnsi="Times New Roman"/>
          <w:color w:val="000000"/>
          <w:sz w:val="20"/>
        </w:rPr>
        <w:t>, Inc.;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pPr>
      <w:r>
        <w:rPr/>
        <w:t> </w:t>
      </w:r>
    </w:p>
    <w:p>
      <w:pPr>
        <w:pStyle w:val="TextBody"/>
        <w:spacing w:before="0" w:after="0"/>
        <w:ind w:left="900" w:right="0" w:hanging="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spacing w:before="0" w:after="0"/>
        <w:ind w:left="1260" w:right="0" w:hanging="0"/>
        <w:jc w:val="left"/>
        <w:rPr>
          <w:color w:val="000000"/>
        </w:rPr>
      </w:pPr>
      <w:r>
        <w:rPr>
          <w:color w:val="000000"/>
        </w:rPr>
        <w:t> </w:t>
      </w:r>
    </w:p>
    <w:p>
      <w:pPr>
        <w:pStyle w:val="TextBody"/>
        <w:spacing w:before="0" w:after="0"/>
        <w:ind w:left="1260" w:right="0" w:hanging="0"/>
        <w:jc w:val="left"/>
        <w:rPr>
          <w:color w:val="000000"/>
        </w:rPr>
      </w:pPr>
      <w:r>
        <w:rPr>
          <w:color w:val="000000"/>
        </w:rPr>
        <w:t> </w:t>
      </w:r>
    </w:p>
    <w:tbl>
      <w:tblPr>
        <w:tblW w:w="4629" w:type="dxa"/>
        <w:jc w:val="left"/>
        <w:tblInd w:w="0" w:type="dxa"/>
        <w:tblCellMar>
          <w:top w:w="0" w:type="dxa"/>
          <w:left w:w="0" w:type="dxa"/>
          <w:bottom w:w="0" w:type="dxa"/>
          <w:right w:w="0" w:type="dxa"/>
        </w:tblCellMar>
      </w:tblPr>
      <w:tblGrid>
        <w:gridCol w:w="1805"/>
        <w:gridCol w:w="324"/>
        <w:gridCol w:w="2425"/>
        <w:gridCol w:w="75"/>
      </w:tblGrid>
      <w:tr>
        <w:trPr/>
        <w:tc>
          <w:tcPr>
            <w:tcW w:w="1805" w:type="dxa"/>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Date: March 31, 2021</w:t>
            </w:r>
          </w:p>
        </w:tc>
        <w:tc>
          <w:tcPr>
            <w:tcW w:w="2749" w:type="dxa"/>
            <w:gridSpan w:val="2"/>
            <w:tcBorders/>
            <w:shd w:fill="auto" w:val="clear"/>
            <w:vAlign w:val="center"/>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TENAX THERAPEUTICS, INC.</w:t>
            </w:r>
          </w:p>
        </w:tc>
        <w:tc>
          <w:tcPr>
            <w:tcW w:w="75" w:type="dxa"/>
            <w:tcBorders/>
            <w:shd w:fill="auto" w:val="clear"/>
            <w:vAlign w:val="center"/>
          </w:tcPr>
          <w:p>
            <w:pPr>
              <w:pStyle w:val="TableContents"/>
              <w:spacing w:before="0" w:after="0"/>
              <w:rPr/>
            </w:pPr>
            <w:r>
              <w:rPr/>
              <w:t> </w:t>
            </w:r>
          </w:p>
        </w:tc>
      </w:tr>
      <w:tr>
        <w:trPr/>
        <w:tc>
          <w:tcPr>
            <w:tcW w:w="1805" w:type="dxa"/>
            <w:tcBorders/>
            <w:shd w:fill="auto" w:val="clear"/>
            <w:vAlign w:val="center"/>
          </w:tcPr>
          <w:p>
            <w:pPr>
              <w:pStyle w:val="TableContents"/>
              <w:spacing w:before="0" w:after="0"/>
              <w:rPr/>
            </w:pPr>
            <w:r>
              <w:rPr/>
              <w:t> </w:t>
            </w:r>
          </w:p>
        </w:tc>
        <w:tc>
          <w:tcPr>
            <w:tcW w:w="324" w:type="dxa"/>
            <w:tcBorders/>
            <w:shd w:fill="auto" w:val="clear"/>
            <w:vAlign w:val="center"/>
          </w:tcPr>
          <w:p>
            <w:pPr>
              <w:pStyle w:val="TableContents"/>
              <w:spacing w:before="0" w:after="0"/>
              <w:rPr/>
            </w:pPr>
            <w:r>
              <w:rPr/>
              <w:t> </w:t>
            </w:r>
          </w:p>
        </w:tc>
        <w:tc>
          <w:tcPr>
            <w:tcW w:w="2425"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1805" w:type="dxa"/>
            <w:tcBorders>
              <w:bottom w:val="single" w:sz="12" w:space="0" w:color="FFFFFF"/>
            </w:tcBorders>
            <w:shd w:fill="auto" w:val="clear"/>
            <w:tcMar>
              <w:bottom w:w="28" w:type="dxa"/>
            </w:tcMar>
            <w:vAlign w:val="center"/>
          </w:tcPr>
          <w:p>
            <w:pPr>
              <w:pStyle w:val="TableContents"/>
              <w:spacing w:before="0" w:after="0"/>
              <w:rPr/>
            </w:pPr>
            <w:r>
              <w:rPr/>
              <w:t> </w:t>
            </w:r>
          </w:p>
        </w:tc>
        <w:tc>
          <w:tcPr>
            <w:tcW w:w="324" w:type="dxa"/>
            <w:tcBorders>
              <w:bottom w:val="single" w:sz="12" w:space="0" w:color="FFFFFF"/>
            </w:tcBorders>
            <w:shd w:fill="auto" w:val="clear"/>
            <w:tcMar>
              <w:bottom w:w="28" w:type="dxa"/>
            </w:tcM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By:</w:t>
            </w:r>
          </w:p>
        </w:tc>
        <w:tc>
          <w:tcPr>
            <w:tcW w:w="2425"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 Michael B. Jebsen</w:t>
            </w:r>
          </w:p>
        </w:tc>
        <w:tc>
          <w:tcPr>
            <w:tcW w:w="75" w:type="dxa"/>
            <w:tcBorders>
              <w:bottom w:val="single" w:sz="12" w:space="0" w:color="FFFFFF"/>
            </w:tcBorders>
            <w:shd w:fill="auto" w:val="clear"/>
            <w:tcMar>
              <w:bottom w:w="28" w:type="dxa"/>
            </w:tcMar>
            <w:vAlign w:val="center"/>
          </w:tcPr>
          <w:p>
            <w:pPr>
              <w:pStyle w:val="TableContents"/>
              <w:spacing w:before="0" w:after="0"/>
              <w:rPr/>
            </w:pPr>
            <w:r>
              <w:rPr/>
              <w:t> </w:t>
            </w:r>
          </w:p>
        </w:tc>
      </w:tr>
      <w:tr>
        <w:trPr/>
        <w:tc>
          <w:tcPr>
            <w:tcW w:w="1805" w:type="dxa"/>
            <w:tcBorders/>
            <w:shd w:fill="auto" w:val="clear"/>
            <w:vAlign w:val="center"/>
          </w:tcPr>
          <w:p>
            <w:pPr>
              <w:pStyle w:val="TableContents"/>
              <w:spacing w:before="0" w:after="0"/>
              <w:rPr/>
            </w:pPr>
            <w:r>
              <w:rPr/>
              <w:t> </w:t>
            </w:r>
          </w:p>
        </w:tc>
        <w:tc>
          <w:tcPr>
            <w:tcW w:w="324" w:type="dxa"/>
            <w:tcBorders/>
            <w:shd w:fill="auto" w:val="clear"/>
            <w:vAlign w:val="center"/>
          </w:tcPr>
          <w:p>
            <w:pPr>
              <w:pStyle w:val="TableContents"/>
              <w:spacing w:before="0" w:after="0"/>
              <w:rPr/>
            </w:pPr>
            <w:r>
              <w:rPr/>
              <w:t> </w:t>
            </w:r>
          </w:p>
        </w:tc>
        <w:tc>
          <w:tcPr>
            <w:tcW w:w="24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Michael B. Jebsen</w:t>
            </w:r>
          </w:p>
        </w:tc>
        <w:tc>
          <w:tcPr>
            <w:tcW w:w="75" w:type="dxa"/>
            <w:tcBorders/>
            <w:shd w:fill="auto" w:val="clear"/>
            <w:vAlign w:val="center"/>
          </w:tcPr>
          <w:p>
            <w:pPr>
              <w:pStyle w:val="TableContents"/>
              <w:spacing w:before="0" w:after="0"/>
              <w:rPr/>
            </w:pPr>
            <w:r>
              <w:rPr/>
              <w:t> </w:t>
            </w:r>
          </w:p>
        </w:tc>
      </w:tr>
      <w:tr>
        <w:trPr/>
        <w:tc>
          <w:tcPr>
            <w:tcW w:w="1805" w:type="dxa"/>
            <w:tcBorders/>
            <w:shd w:fill="auto" w:val="clear"/>
            <w:vAlign w:val="center"/>
          </w:tcPr>
          <w:p>
            <w:pPr>
              <w:pStyle w:val="TableContents"/>
              <w:spacing w:before="0" w:after="0"/>
              <w:rPr/>
            </w:pPr>
            <w:r>
              <w:rPr/>
              <w:t> </w:t>
            </w:r>
          </w:p>
        </w:tc>
        <w:tc>
          <w:tcPr>
            <w:tcW w:w="324" w:type="dxa"/>
            <w:tcBorders/>
            <w:shd w:fill="auto" w:val="clear"/>
            <w:vAlign w:val="center"/>
          </w:tcPr>
          <w:p>
            <w:pPr>
              <w:pStyle w:val="TableContents"/>
              <w:spacing w:before="0" w:after="0"/>
              <w:rPr/>
            </w:pPr>
            <w:r>
              <w:rPr/>
              <w:t> </w:t>
            </w:r>
          </w:p>
        </w:tc>
        <w:tc>
          <w:tcPr>
            <w:tcW w:w="2425"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Chief Financial Officer</w:t>
            </w:r>
          </w:p>
          <w:p>
            <w:pPr>
              <w:pStyle w:val="TableContents"/>
              <w:spacing w:before="0" w:after="0"/>
              <w:ind w:left="0" w:right="0" w:hanging="0"/>
              <w:jc w:val="left"/>
              <w:rPr>
                <w:rFonts w:ascii="Times New Roman" w:hAnsi="Times New Roman"/>
                <w:i/>
                <w:sz w:val="20"/>
              </w:rPr>
            </w:pPr>
            <w:r>
              <w:rPr>
                <w:rFonts w:ascii="Times New Roman" w:hAnsi="Times New Roman"/>
                <w:i/>
                <w:sz w:val="20"/>
              </w:rPr>
              <w:t>(Principal Financial Officer)</w:t>
            </w:r>
          </w:p>
        </w:tc>
        <w:tc>
          <w:tcPr>
            <w:tcW w:w="75" w:type="dxa"/>
            <w:tcBorders/>
            <w:shd w:fill="auto" w:val="clear"/>
            <w:vAlign w:val="center"/>
          </w:tcPr>
          <w:p>
            <w:pPr>
              <w:pStyle w:val="TableContents"/>
              <w:spacing w:before="0" w:after="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rPr/>
      </w:pPr>
      <w:r>
        <w:rPr/>
        <w:t> </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1" w:name="pgbrk78"/>
      <w:bookmarkStart w:id="552" w:name="pgbrk78"/>
      <w:bookmarkEnd w:id="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53" w:name="ftr73"/>
      <w:bookmarkEnd w:id="5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54" w:name="pb73"/>
      <w:bookmarkStart w:id="555" w:name="pb73"/>
      <w:bookmarkEnd w:id="555"/>
    </w:p>
    <w:p>
      <w:pPr>
        <w:pStyle w:val="TextBody"/>
        <w:ind w:left="0" w:right="0" w:hanging="0"/>
        <w:rPr/>
      </w:pPr>
      <w:r>
        <w:rPr/>
      </w:r>
      <w:bookmarkStart w:id="556" w:name="pgbrk79"/>
      <w:bookmarkStart w:id="557" w:name="pgbrk79"/>
      <w:bookmarkEnd w:id="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58" w:name="hdr74"/>
      <w:bookmarkEnd w:id="5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color w:val="000000"/>
          <w:sz w:val="20"/>
        </w:rPr>
      </w:pPr>
      <w:r>
        <w:rPr>
          <w:rFonts w:ascii="Times New Roman" w:hAnsi="Times New Roman"/>
          <w:b/>
          <w:color w:val="000000"/>
          <w:sz w:val="20"/>
        </w:rPr>
        <w:t>Exhibit 32.1</w:t>
      </w:r>
    </w:p>
    <w:p>
      <w:pPr>
        <w:pStyle w:val="TextBody"/>
        <w:spacing w:before="0" w:after="0"/>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spacing w:before="0" w:after="0"/>
        <w:rPr/>
      </w:pPr>
      <w:r>
        <w:rPr/>
        <w:t> </w:t>
      </w:r>
    </w:p>
    <w:p>
      <w:pPr>
        <w:pStyle w:val="TextBody"/>
        <w:spacing w:before="0" w:after="0"/>
        <w:ind w:left="0" w:right="0" w:firstLine="720"/>
        <w:jc w:val="left"/>
        <w:rPr>
          <w:rFonts w:ascii="Times New Roman" w:hAnsi="Times New Roman"/>
          <w:sz w:val="20"/>
        </w:rPr>
      </w:pPr>
      <w:r>
        <w:rPr>
          <w:rFonts w:ascii="Times New Roman" w:hAnsi="Times New Roman"/>
          <w:color w:val="000000"/>
          <w:sz w:val="20"/>
        </w:rPr>
        <w:t>In connection with the Annual Report of</w:t>
      </w:r>
      <w:r>
        <w:rPr>
          <w:rFonts w:ascii="Times New Roman" w:hAnsi="Times New Roman"/>
          <w:sz w:val="20"/>
        </w:rPr>
        <w:t xml:space="preserve"> Tenax Therapeutics</w:t>
      </w:r>
      <w:r>
        <w:rPr>
          <w:rFonts w:ascii="Times New Roman" w:hAnsi="Times New Roman"/>
          <w:color w:val="000000"/>
          <w:sz w:val="20"/>
        </w:rPr>
        <w:t>, Inc. (the “Company”) on Form 10-K for the year ended December 31, 2020 as filed with the Securities and Exchange Commission on the date hereof (the “Report”), I, Anthony DiTonno, Chief Executive Officer (Principal Executive Officer) of the Company, certify pursuant to 18 U.S.C. Section 1350, as adopted pursuant to Section 906 of the Sarbanes-Oxley Act of 2002, that:</w:t>
      </w:r>
    </w:p>
    <w:p>
      <w:pPr>
        <w:pStyle w:val="TextBody"/>
        <w:spacing w:before="0" w:after="0"/>
        <w:rPr/>
      </w:pPr>
      <w:r>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spacing w:before="0" w:after="0"/>
        <w:rPr/>
      </w:pPr>
      <w:r>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spacing w:before="0" w:after="0"/>
        <w:rPr/>
      </w:pPr>
      <w:r>
        <w:rPr/>
        <w:t> </w:t>
      </w:r>
    </w:p>
    <w:tbl>
      <w:tblPr>
        <w:tblW w:w="4315" w:type="dxa"/>
        <w:jc w:val="left"/>
        <w:tblInd w:w="0" w:type="dxa"/>
        <w:tblCellMar>
          <w:top w:w="0" w:type="dxa"/>
          <w:left w:w="0" w:type="dxa"/>
          <w:bottom w:w="28" w:type="dxa"/>
          <w:right w:w="0" w:type="dxa"/>
        </w:tblCellMar>
      </w:tblPr>
      <w:tblGrid>
        <w:gridCol w:w="1805"/>
        <w:gridCol w:w="60"/>
        <w:gridCol w:w="2375"/>
        <w:gridCol w:w="75"/>
      </w:tblGrid>
      <w:tr>
        <w:trPr/>
        <w:tc>
          <w:tcPr>
            <w:tcW w:w="1805" w:type="dxa"/>
            <w:tcBorders>
              <w:bottom w:val="single" w:sz="12" w:space="0" w:color="FFFFFF"/>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Date: March 31, 2021</w:t>
            </w:r>
          </w:p>
        </w:tc>
        <w:tc>
          <w:tcPr>
            <w:tcW w:w="60" w:type="dxa"/>
            <w:tcBorders>
              <w:bottom w:val="single" w:sz="12" w:space="0" w:color="FFFFFF"/>
            </w:tcBorders>
            <w:shd w:fill="auto" w:val="clear"/>
            <w:vAlign w:val="center"/>
          </w:tcPr>
          <w:p>
            <w:pPr>
              <w:pStyle w:val="TableContents"/>
              <w:spacing w:before="0" w:after="0"/>
              <w:rPr/>
            </w:pPr>
            <w:r>
              <w:rPr/>
              <w:t> </w:t>
            </w:r>
          </w:p>
        </w:tc>
        <w:tc>
          <w:tcPr>
            <w:tcW w:w="2375"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 Anthony DiTonno</w:t>
            </w:r>
          </w:p>
        </w:tc>
        <w:tc>
          <w:tcPr>
            <w:tcW w:w="75" w:type="dxa"/>
            <w:tcBorders>
              <w:bottom w:val="single" w:sz="12" w:space="0" w:color="FFFFFF"/>
            </w:tcBorders>
            <w:shd w:fill="auto" w:val="clear"/>
            <w:vAlign w:val="center"/>
          </w:tcPr>
          <w:p>
            <w:pPr>
              <w:pStyle w:val="TableContents"/>
              <w:spacing w:before="0" w:after="0"/>
              <w:rPr/>
            </w:pPr>
            <w:r>
              <w:rPr/>
              <w:t> </w:t>
            </w:r>
          </w:p>
        </w:tc>
      </w:tr>
      <w:tr>
        <w:trPr/>
        <w:tc>
          <w:tcPr>
            <w:tcW w:w="1805"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2375" w:type="dxa"/>
            <w:tcBorders/>
            <w:shd w:fill="auto"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Anthony DiTonno</w:t>
            </w:r>
          </w:p>
        </w:tc>
        <w:tc>
          <w:tcPr>
            <w:tcW w:w="75" w:type="dxa"/>
            <w:tcBorders/>
            <w:shd w:fill="auto" w:val="clear"/>
            <w:tcMar>
              <w:bottom w:w="0" w:type="dxa"/>
            </w:tcMar>
            <w:vAlign w:val="center"/>
          </w:tcPr>
          <w:p>
            <w:pPr>
              <w:pStyle w:val="TableContents"/>
              <w:spacing w:before="0" w:after="0"/>
              <w:rPr/>
            </w:pPr>
            <w:r>
              <w:rPr/>
              <w:t> </w:t>
            </w:r>
          </w:p>
        </w:tc>
      </w:tr>
      <w:tr>
        <w:trPr/>
        <w:tc>
          <w:tcPr>
            <w:tcW w:w="1805"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2375" w:type="dxa"/>
            <w:tcBorders/>
            <w:shd w:fill="auto" w:val="clear"/>
            <w:tcMar>
              <w:bottom w:w="0" w:type="dxa"/>
            </w:tcM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Chief Executive Officer</w:t>
            </w:r>
          </w:p>
          <w:p>
            <w:pPr>
              <w:pStyle w:val="TableContents"/>
              <w:spacing w:before="0" w:after="0"/>
              <w:ind w:left="0" w:right="0" w:hanging="0"/>
              <w:jc w:val="left"/>
              <w:rPr>
                <w:rFonts w:ascii="Times New Roman" w:hAnsi="Times New Roman"/>
                <w:i/>
                <w:sz w:val="20"/>
              </w:rPr>
            </w:pPr>
            <w:r>
              <w:rPr>
                <w:rFonts w:ascii="Times New Roman" w:hAnsi="Times New Roman"/>
                <w:i/>
                <w:sz w:val="20"/>
              </w:rPr>
              <w:t>(Principal Executive Officer)</w:t>
            </w:r>
          </w:p>
          <w:p>
            <w:pPr>
              <w:pStyle w:val="TableContents"/>
              <w:spacing w:before="0" w:after="0"/>
              <w:ind w:left="0" w:right="0" w:hanging="0"/>
              <w:jc w:val="both"/>
              <w:rPr/>
            </w:pPr>
            <w:r>
              <w:rPr/>
              <w:t> </w:t>
            </w:r>
          </w:p>
        </w:tc>
        <w:tc>
          <w:tcPr>
            <w:tcW w:w="75" w:type="dxa"/>
            <w:tcBorders/>
            <w:shd w:fill="auto" w:val="clear"/>
            <w:tcMar>
              <w:bottom w:w="0" w:type="dxa"/>
            </w:tcMar>
            <w:vAlign w:val="center"/>
          </w:tcPr>
          <w:p>
            <w:pPr>
              <w:pStyle w:val="TableContents"/>
              <w:spacing w:before="0" w:after="0"/>
              <w:rPr/>
            </w:pPr>
            <w:r>
              <w:rPr/>
              <w:t> </w:t>
            </w:r>
          </w:p>
        </w:tc>
      </w:tr>
      <w:tr>
        <w:trPr/>
        <w:tc>
          <w:tcPr>
            <w:tcW w:w="1805"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2375" w:type="dxa"/>
            <w:tcBorders/>
            <w:shd w:fill="auto" w:val="clear"/>
            <w:tcMar>
              <w:bottom w:w="0" w:type="dxa"/>
            </w:tcMar>
            <w:vAlign w:val="center"/>
          </w:tcPr>
          <w:p>
            <w:pPr>
              <w:pStyle w:val="TableContents"/>
              <w:spacing w:before="0" w:after="0"/>
              <w:rPr/>
            </w:pPr>
            <w:r>
              <w:rPr/>
              <w:t> </w:t>
            </w:r>
          </w:p>
        </w:tc>
        <w:tc>
          <w:tcPr>
            <w:tcW w:w="75" w:type="dxa"/>
            <w:tcBorders/>
            <w:shd w:fill="auto" w:val="clear"/>
            <w:tcMar>
              <w:bottom w:w="0" w:type="dxa"/>
            </w:tcMar>
            <w:vAlign w:val="center"/>
          </w:tcPr>
          <w:p>
            <w:pPr>
              <w:pStyle w:val="TableContents"/>
              <w:spacing w:before="0" w:after="0"/>
              <w:rPr/>
            </w:pPr>
            <w:r>
              <w:rPr/>
              <w:t> </w:t>
            </w:r>
          </w:p>
        </w:tc>
      </w:tr>
    </w:tbl>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spacing w:before="0" w:after="0"/>
        <w:rPr/>
      </w:pPr>
      <w:r>
        <w:rPr/>
        <w:t> </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9" w:name="pgbrk80"/>
      <w:bookmarkStart w:id="560" w:name="pgbrk80"/>
      <w:bookmarkEnd w:id="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61" w:name="ftr74"/>
      <w:bookmarkEnd w:id="5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62" w:name="pb74"/>
      <w:bookmarkStart w:id="563" w:name="pb74"/>
      <w:bookmarkEnd w:id="563"/>
    </w:p>
    <w:p>
      <w:pPr>
        <w:pStyle w:val="TextBody"/>
        <w:ind w:left="0" w:right="0" w:hanging="0"/>
        <w:rPr/>
      </w:pPr>
      <w:r>
        <w:rPr/>
      </w:r>
      <w:bookmarkStart w:id="564" w:name="pgbrk81"/>
      <w:bookmarkStart w:id="565" w:name="pgbrk81"/>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66" w:name="hdr75"/>
      <w:bookmarkEnd w:id="5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color w:val="000000"/>
          <w:sz w:val="20"/>
        </w:rPr>
      </w:pPr>
      <w:r>
        <w:rPr>
          <w:rFonts w:ascii="Times New Roman" w:hAnsi="Times New Roman"/>
          <w:b/>
          <w:color w:val="000000"/>
          <w:sz w:val="20"/>
        </w:rPr>
        <w:t>Exhibit 32.2</w:t>
      </w:r>
    </w:p>
    <w:p>
      <w:pPr>
        <w:pStyle w:val="TextBody"/>
        <w:spacing w:before="0" w:after="0"/>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spacing w:before="0" w:after="0"/>
        <w:rPr/>
      </w:pPr>
      <w:r>
        <w:rPr/>
        <w:t> </w:t>
      </w:r>
    </w:p>
    <w:p>
      <w:pPr>
        <w:pStyle w:val="TextBody"/>
        <w:spacing w:before="0" w:after="0"/>
        <w:ind w:left="0" w:right="0" w:firstLine="720"/>
        <w:jc w:val="left"/>
        <w:rPr>
          <w:rFonts w:ascii="Times New Roman" w:hAnsi="Times New Roman"/>
          <w:sz w:val="20"/>
        </w:rPr>
      </w:pPr>
      <w:r>
        <w:rPr>
          <w:rFonts w:ascii="Times New Roman" w:hAnsi="Times New Roman"/>
          <w:color w:val="000000"/>
          <w:sz w:val="20"/>
        </w:rPr>
        <w:t>In connection with the Annual Report of</w:t>
      </w:r>
      <w:r>
        <w:rPr>
          <w:rFonts w:ascii="Times New Roman" w:hAnsi="Times New Roman"/>
          <w:sz w:val="20"/>
        </w:rPr>
        <w:t xml:space="preserve"> Tenax Therapeutics</w:t>
      </w:r>
      <w:r>
        <w:rPr>
          <w:rFonts w:ascii="Times New Roman" w:hAnsi="Times New Roman"/>
          <w:color w:val="000000"/>
          <w:sz w:val="20"/>
        </w:rPr>
        <w:t>, Inc. (the “Company”) on Form 10-K for the period year December 31, 2020 as filed with the Securities and Exchange Commission on the date hereof (the “Report”), I, Michael B. Jebsen, Chief Financial Officer (Principal Financial Officer) of the Company, certify pursuant to 18 U.S.C. Section 1350, as adopted pursuant to Section 906 of the Sarbanes-Oxley Act of 2002, that:</w:t>
      </w:r>
    </w:p>
    <w:p>
      <w:pPr>
        <w:pStyle w:val="TextBody"/>
        <w:spacing w:before="0" w:after="0"/>
        <w:rPr/>
      </w:pPr>
      <w:r>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spacing w:before="0" w:after="0"/>
        <w:rPr/>
      </w:pPr>
      <w:r>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spacing w:before="0" w:after="0"/>
        <w:rPr/>
      </w:pPr>
      <w:r>
        <w:rPr/>
        <w:t> </w:t>
      </w:r>
    </w:p>
    <w:tbl>
      <w:tblPr>
        <w:tblW w:w="4390" w:type="dxa"/>
        <w:jc w:val="left"/>
        <w:tblInd w:w="0" w:type="dxa"/>
        <w:tblCellMar>
          <w:top w:w="0" w:type="dxa"/>
          <w:left w:w="0" w:type="dxa"/>
          <w:bottom w:w="28" w:type="dxa"/>
          <w:right w:w="0" w:type="dxa"/>
        </w:tblCellMar>
      </w:tblPr>
      <w:tblGrid>
        <w:gridCol w:w="1805"/>
        <w:gridCol w:w="60"/>
        <w:gridCol w:w="2390"/>
        <w:gridCol w:w="60"/>
        <w:gridCol w:w="75"/>
      </w:tblGrid>
      <w:tr>
        <w:trPr/>
        <w:tc>
          <w:tcPr>
            <w:tcW w:w="1805" w:type="dxa"/>
            <w:tcBorders>
              <w:bottom w:val="single" w:sz="12" w:space="0" w:color="FFFFFF"/>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Date: March 31, 2021</w:t>
            </w:r>
          </w:p>
        </w:tc>
        <w:tc>
          <w:tcPr>
            <w:tcW w:w="60" w:type="dxa"/>
            <w:tcBorders>
              <w:bottom w:val="single" w:sz="12" w:space="0" w:color="FFFFFF"/>
            </w:tcBorders>
            <w:shd w:fill="auto" w:val="clear"/>
            <w:vAlign w:val="center"/>
          </w:tcPr>
          <w:p>
            <w:pPr>
              <w:pStyle w:val="TableContents"/>
              <w:spacing w:before="0" w:after="0"/>
              <w:rPr/>
            </w:pPr>
            <w:r>
              <w:rPr/>
              <w:t> </w:t>
            </w:r>
          </w:p>
        </w:tc>
        <w:tc>
          <w:tcPr>
            <w:tcW w:w="2390"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/s/ Michael B. Jebsen</w:t>
            </w:r>
          </w:p>
        </w:tc>
        <w:tc>
          <w:tcPr>
            <w:tcW w:w="60" w:type="dxa"/>
            <w:tcBorders>
              <w:bottom w:val="single" w:sz="12" w:space="0" w:color="FFFFFF"/>
            </w:tcBorders>
            <w:shd w:fill="auto" w:val="clear"/>
            <w:vAlign w:val="center"/>
          </w:tcPr>
          <w:p>
            <w:pPr>
              <w:pStyle w:val="TableContents"/>
              <w:spacing w:before="0" w:after="0"/>
              <w:rPr/>
            </w:pPr>
            <w:r>
              <w:rPr/>
              <w:t> </w:t>
            </w:r>
          </w:p>
        </w:tc>
        <w:tc>
          <w:tcPr>
            <w:tcW w:w="75" w:type="dxa"/>
            <w:tcBorders>
              <w:bottom w:val="single" w:sz="12" w:space="0" w:color="FFFFFF"/>
            </w:tcBorders>
            <w:shd w:fill="auto" w:val="clear"/>
            <w:vAlign w:val="center"/>
          </w:tcPr>
          <w:p>
            <w:pPr>
              <w:pStyle w:val="TableContents"/>
              <w:spacing w:before="0" w:after="0"/>
              <w:rPr/>
            </w:pPr>
            <w:r>
              <w:rPr/>
              <w:t> </w:t>
            </w:r>
          </w:p>
        </w:tc>
      </w:tr>
      <w:tr>
        <w:trPr/>
        <w:tc>
          <w:tcPr>
            <w:tcW w:w="1805"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2390" w:type="dxa"/>
            <w:tcBorders/>
            <w:shd w:fill="auto"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Michael B. Jebsen</w:t>
            </w:r>
          </w:p>
        </w:tc>
        <w:tc>
          <w:tcPr>
            <w:tcW w:w="60" w:type="dxa"/>
            <w:tcBorders/>
            <w:shd w:fill="auto" w:val="clear"/>
            <w:tcMar>
              <w:bottom w:w="0" w:type="dxa"/>
            </w:tcMar>
            <w:vAlign w:val="center"/>
          </w:tcPr>
          <w:p>
            <w:pPr>
              <w:pStyle w:val="TableContents"/>
              <w:spacing w:before="0" w:after="0"/>
              <w:rPr/>
            </w:pPr>
            <w:r>
              <w:rPr/>
              <w:t> </w:t>
            </w:r>
          </w:p>
        </w:tc>
        <w:tc>
          <w:tcPr>
            <w:tcW w:w="75" w:type="dxa"/>
            <w:tcBorders/>
            <w:shd w:fill="auto" w:val="clear"/>
            <w:tcMar>
              <w:bottom w:w="0" w:type="dxa"/>
            </w:tcMar>
            <w:vAlign w:val="center"/>
          </w:tcPr>
          <w:p>
            <w:pPr>
              <w:pStyle w:val="TableContents"/>
              <w:spacing w:before="0" w:after="0"/>
              <w:rPr/>
            </w:pPr>
            <w:r>
              <w:rPr/>
              <w:t> </w:t>
            </w:r>
          </w:p>
        </w:tc>
      </w:tr>
      <w:tr>
        <w:trPr/>
        <w:tc>
          <w:tcPr>
            <w:tcW w:w="1805"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2390" w:type="dxa"/>
            <w:tcBorders/>
            <w:shd w:fill="auto" w:val="clear"/>
            <w:tcMar>
              <w:bottom w:w="0" w:type="dxa"/>
            </w:tcM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Chief Financial Officer</w:t>
            </w:r>
          </w:p>
          <w:p>
            <w:pPr>
              <w:pStyle w:val="TableContents"/>
              <w:spacing w:before="0" w:after="0"/>
              <w:ind w:left="0" w:right="0" w:hanging="0"/>
              <w:jc w:val="left"/>
              <w:rPr>
                <w:rFonts w:ascii="Times New Roman" w:hAnsi="Times New Roman"/>
                <w:i/>
                <w:sz w:val="20"/>
              </w:rPr>
            </w:pPr>
            <w:r>
              <w:rPr>
                <w:rFonts w:ascii="Times New Roman" w:hAnsi="Times New Roman"/>
                <w:i/>
                <w:sz w:val="20"/>
              </w:rPr>
              <w:t>(Principal Financial Officer)</w:t>
            </w:r>
          </w:p>
        </w:tc>
        <w:tc>
          <w:tcPr>
            <w:tcW w:w="60" w:type="dxa"/>
            <w:tcBorders/>
            <w:shd w:fill="auto" w:val="clear"/>
            <w:tcMar>
              <w:bottom w:w="0" w:type="dxa"/>
            </w:tcMar>
            <w:vAlign w:val="center"/>
          </w:tcPr>
          <w:p>
            <w:pPr>
              <w:pStyle w:val="TableContents"/>
              <w:spacing w:before="0" w:after="0"/>
              <w:rPr/>
            </w:pPr>
            <w:r>
              <w:rPr/>
              <w:t> </w:t>
            </w:r>
          </w:p>
        </w:tc>
        <w:tc>
          <w:tcPr>
            <w:tcW w:w="75" w:type="dxa"/>
            <w:tcBorders/>
            <w:shd w:fill="auto" w:val="clear"/>
            <w:tcMar>
              <w:bottom w:w="0" w:type="dxa"/>
            </w:tcMar>
            <w:vAlign w:val="center"/>
          </w:tcPr>
          <w:p>
            <w:pPr>
              <w:pStyle w:val="TableContents"/>
              <w:spacing w:before="0" w:after="0"/>
              <w:rPr/>
            </w:pPr>
            <w:r>
              <w:rPr/>
              <w:t> </w:t>
            </w:r>
          </w:p>
        </w:tc>
      </w:tr>
      <w:tr>
        <w:trPr/>
        <w:tc>
          <w:tcPr>
            <w:tcW w:w="1805"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239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75" w:type="dxa"/>
            <w:tcBorders/>
            <w:shd w:fill="auto" w:val="clear"/>
            <w:tcMar>
              <w:bottom w:w="0" w:type="dxa"/>
            </w:tcMar>
            <w:vAlign w:val="center"/>
          </w:tcPr>
          <w:p>
            <w:pPr>
              <w:pStyle w:val="TableContents"/>
              <w:spacing w:before="0" w:after="0"/>
              <w:rPr/>
            </w:pPr>
            <w:r>
              <w:rPr/>
              <w:t> </w:t>
            </w:r>
          </w:p>
        </w:tc>
      </w:tr>
    </w:tbl>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before="0" w:after="0"/>
        <w:rPr/>
      </w:pPr>
      <w:r>
        <w:rPr/>
        <w:t> </w:t>
      </w:r>
    </w:p>
    <w:p>
      <w:pPr>
        <w:pStyle w:val="TextBody"/>
        <w:spacing w:before="0" w:after="0"/>
        <w:ind w:left="0" w:right="0" w:hanging="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7" w:name="pgbrk82"/>
      <w:bookmarkStart w:id="568" w:name="pgbrk82"/>
      <w:bookmarkEnd w:id="5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69" w:name="ftr75"/>
      <w:bookmarkEnd w:id="5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70" w:name="pb75"/>
      <w:bookmarkStart w:id="571" w:name="pb75"/>
      <w:bookmarkEnd w:id="571"/>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4956/000102048808000077/oxybio_planmerger-ex201.htm" TargetMode="External"/><Relationship Id="rId3" Type="http://schemas.openxmlformats.org/officeDocument/2006/relationships/hyperlink" Target="http://www.sec.gov/Archives/edgar/data/34956/000135448813005858/oxbt_ex21.htm" TargetMode="External"/><Relationship Id="rId4" Type="http://schemas.openxmlformats.org/officeDocument/2006/relationships/hyperlink" Target="http://www.sec.gov/Archives/edgar/data/34956/000165495421000585/tenx_ex21.htm" TargetMode="External"/><Relationship Id="rId5" Type="http://schemas.openxmlformats.org/officeDocument/2006/relationships/hyperlink" Target="http://www.sec.gov/Archives/edgar/data/34956/000102048808000077/oxybiocertif_ex301.htm" TargetMode="External"/><Relationship Id="rId6" Type="http://schemas.openxmlformats.org/officeDocument/2006/relationships/hyperlink" Target="http://www.sec.gov/Archives/edgar/data/34956/000102048809000083/oxybex31-certamend.htm" TargetMode="External"/><Relationship Id="rId7" Type="http://schemas.openxmlformats.org/officeDocument/2006/relationships/hyperlink" Target="http://www.sec.gov/Archives/edgar/data/34956/000135448813002880/oxbt_ex31.htm" TargetMode="External"/><Relationship Id="rId8" Type="http://schemas.openxmlformats.org/officeDocument/2006/relationships/hyperlink" Target="http://www.sec.gov/Archives/edgar/data/34956/000135448814006182/tenx_ex34.htm" TargetMode="External"/><Relationship Id="rId9" Type="http://schemas.openxmlformats.org/officeDocument/2006/relationships/hyperlink" Target="http://www.sec.gov/Archives/edgar/data/34956/000165495418001818/tenx_ex31.htm" TargetMode="External"/><Relationship Id="rId10" Type="http://schemas.openxmlformats.org/officeDocument/2006/relationships/hyperlink" Target="http://www.sec.gov/Archives/edgar/data/34956/000165495418013810/tnx_ex41.htm" TargetMode="External"/><Relationship Id="rId11" Type="http://schemas.openxmlformats.org/officeDocument/2006/relationships/hyperlink" Target="http://www.sec.gov/Archives/edgar/data/34956/000135448815004246/tenx_ex31.htm" TargetMode="External"/><Relationship Id="rId12" Type="http://schemas.openxmlformats.org/officeDocument/2006/relationships/hyperlink" Target="http://www.sec.gov/Archives/edgar/data/34956/000119312510165026/dex41.htm" TargetMode="External"/><Relationship Id="rId13" Type="http://schemas.openxmlformats.org/officeDocument/2006/relationships/hyperlink" Target="http://www.sec.gov/Archives/edgar/data/34956/000119312504140189/dex101.htm" TargetMode="External"/><Relationship Id="rId14" Type="http://schemas.openxmlformats.org/officeDocument/2006/relationships/hyperlink" Target="http://www.sec.gov/Archives/edgar/data/34956/000119312504140189/dex102.htm" TargetMode="External"/><Relationship Id="rId15" Type="http://schemas.openxmlformats.org/officeDocument/2006/relationships/hyperlink" Target="http://www.sec.gov/Archives/edgar/data/34956/000119312504140189/dex103.htm" TargetMode="External"/><Relationship Id="rId16" Type="http://schemas.openxmlformats.org/officeDocument/2006/relationships/hyperlink" Target="http://www.sec.gov/Archives/edgar/data/34956/000119312508176263/dex1015.htm" TargetMode="External"/><Relationship Id="rId17" Type="http://schemas.openxmlformats.org/officeDocument/2006/relationships/hyperlink" Target="http://www.sec.gov/Archives/edgar/data/34956/000135448814003782/oxbt_ex1019.htm" TargetMode="External"/><Relationship Id="rId18" Type="http://schemas.openxmlformats.org/officeDocument/2006/relationships/hyperlink" Target="http://www.sec.gov/Archives/edgar/data/34956/000135448814003782/oxbt_ex1020.htm" TargetMode="External"/><Relationship Id="rId19" Type="http://schemas.openxmlformats.org/officeDocument/2006/relationships/hyperlink" Target="http://www.sec.gov/Archives/edgar/data/34956/000119312504140189/dex105.htm" TargetMode="External"/><Relationship Id="rId20" Type="http://schemas.openxmlformats.org/officeDocument/2006/relationships/hyperlink" Target="http://www.sec.gov/Archives/edgar/data/34956/000119312504140189/dex106.htm" TargetMode="External"/><Relationship Id="rId21" Type="http://schemas.openxmlformats.org/officeDocument/2006/relationships/hyperlink" Target="http://www.sec.gov/Archives/edgar/data/34956/000165495417002098/tenx_ex109.htm" TargetMode="External"/><Relationship Id="rId22" Type="http://schemas.openxmlformats.org/officeDocument/2006/relationships/hyperlink" Target="http://www.sec.gov/Archives/edgar/data/34956/000165495416001314/tenx_ex101.htm" TargetMode="External"/><Relationship Id="rId23" Type="http://schemas.openxmlformats.org/officeDocument/2006/relationships/hyperlink" Target="http://www.sec.gov/Archives/edgar/data/34956/000165495419009589/tenx_ex101.htm" TargetMode="External"/><Relationship Id="rId24" Type="http://schemas.openxmlformats.org/officeDocument/2006/relationships/hyperlink" Target="http://www.sec.gov/Archives/edgar/data/34956/000165495419009589/tenx_ex101.htm" TargetMode="External"/><Relationship Id="rId25" Type="http://schemas.openxmlformats.org/officeDocument/2006/relationships/hyperlink" Target="http://www.sec.gov/Archives/edgar/data/34956/000165495418009137/tenx_ex102.htm" TargetMode="External"/><Relationship Id="rId26" Type="http://schemas.openxmlformats.org/officeDocument/2006/relationships/hyperlink" Target="http://www.sec.gov/Archives/edgar/data/34956/000165495418009137/tenx_ex104.htm" TargetMode="External"/><Relationship Id="rId27" Type="http://schemas.openxmlformats.org/officeDocument/2006/relationships/hyperlink" Target="http://www.sec.gov/Archives/edgar/data/34956/000165495418009137/tenx_ex104.htm" TargetMode="External"/><Relationship Id="rId28" Type="http://schemas.openxmlformats.org/officeDocument/2006/relationships/hyperlink" Target="http://www.sec.gov/Archives/edgar/data/34956/000135448813006541/oxbt_ex102.htm" TargetMode="External"/><Relationship Id="rId29" Type="http://schemas.openxmlformats.org/officeDocument/2006/relationships/hyperlink" Target="http://www.sec.gov/Archives/edgar/data/34956/000135448815003086/tenx_ex102.htm" TargetMode="External"/><Relationship Id="rId30" Type="http://schemas.openxmlformats.org/officeDocument/2006/relationships/hyperlink" Target="http://www.sec.gov/Archives/edgar/data/34956/000135448811002180/oxbt_ex1036.htm" TargetMode="External"/><Relationship Id="rId31" Type="http://schemas.openxmlformats.org/officeDocument/2006/relationships/hyperlink" Target="http://www.sec.gov/Archives/edgar/data/34956/000135448811002180/oxbt_ex1036.htm" TargetMode="External"/><Relationship Id="rId32" Type="http://schemas.openxmlformats.org/officeDocument/2006/relationships/hyperlink" Target="http://www.sec.gov/Archives/edgar/data/34956/000135448815004246/tenx_ex101.htm" TargetMode="External"/><Relationship Id="rId33" Type="http://schemas.openxmlformats.org/officeDocument/2006/relationships/hyperlink" Target="http://www.sec.gov/Archives/edgar/data/34956/000135448811000902/oxbt_ex106.htm" TargetMode="External"/><Relationship Id="rId34" Type="http://schemas.openxmlformats.org/officeDocument/2006/relationships/hyperlink" Target="http://www.sec.gov/Archives/edgar/data/34956/000135448816006547/tenx_ex1074.htm" TargetMode="External"/><Relationship Id="rId35" Type="http://schemas.openxmlformats.org/officeDocument/2006/relationships/hyperlink" Target="http://www.sec.gov/Archives/edgar/data/34956/000135448811004561/oxbt_ex102.htm" TargetMode="External"/><Relationship Id="rId36" Type="http://schemas.openxmlformats.org/officeDocument/2006/relationships/hyperlink" Target="http://www.sec.gov/Archives/edgar/data/34956/000135448812003634/oxbt_ex1062.htm" TargetMode="External"/><Relationship Id="rId37" Type="http://schemas.openxmlformats.org/officeDocument/2006/relationships/hyperlink" Target="http://www.sec.gov/Archives/edgar/data/34956/000135448814003782/oxbt_ex1060.htm" TargetMode="External"/><Relationship Id="rId38" Type="http://schemas.openxmlformats.org/officeDocument/2006/relationships/hyperlink" Target="http://www.sec.gov/Archives/edgar/data/34956/000135448814001188/oxbt_103.htm" TargetMode="External"/><Relationship Id="rId39" Type="http://schemas.openxmlformats.org/officeDocument/2006/relationships/hyperlink" Target="http://www.sec.gov/Archives/edgar/data/0000034956/000165495420011170/tenx_ex101.htm" TargetMode="External"/><Relationship Id="rId40" Type="http://schemas.openxmlformats.org/officeDocument/2006/relationships/hyperlink" Target="http://www.sec.gov/Archives/edgar/data/34956/000135448815003333/tenx_ex1072.htm" TargetMode="External"/><Relationship Id="rId41" Type="http://schemas.openxmlformats.org/officeDocument/2006/relationships/hyperlink" Target="http://www.sec.gov/Archives/edgar/data/34956/000165495418013810/tenx_ex42.htm" TargetMode="External"/><Relationship Id="rId42" Type="http://schemas.openxmlformats.org/officeDocument/2006/relationships/hyperlink" Target="http://www.sec.gov/Archives/edgar/data/34956/000165495418013810/tnx_ex43.htm" TargetMode="External"/><Relationship Id="rId43" Type="http://schemas.openxmlformats.org/officeDocument/2006/relationships/hyperlink" Target="http://www.sec.gov/Archives/edgar/data/34956/000165495418013810/tenx_ex44.htm" TargetMode="External"/><Relationship Id="rId44" Type="http://schemas.openxmlformats.org/officeDocument/2006/relationships/hyperlink" Target="http://www.sec.gov/Archives/edgar/data/0000034956/000165495420002581/tenx_ex101.htm" TargetMode="External"/><Relationship Id="rId45" Type="http://schemas.openxmlformats.org/officeDocument/2006/relationships/hyperlink" Target="http://www.sec.gov/Archives/edgar/data/0000034956/000165495420002581/tenx_ex41.htm" TargetMode="External"/><Relationship Id="rId46" Type="http://schemas.openxmlformats.org/officeDocument/2006/relationships/hyperlink" Target="http://www.sec.gov/Archives/edgar/data/0000034956/000165495420002581/tenx_ex42.htm" TargetMode="External"/><Relationship Id="rId47" Type="http://schemas.openxmlformats.org/officeDocument/2006/relationships/hyperlink" Target="http://www.sec.gov/Archives/edgar/data/0000034956/000165495420002581/tenx_ex43.htm" TargetMode="External"/><Relationship Id="rId48" Type="http://schemas.openxmlformats.org/officeDocument/2006/relationships/hyperlink" Target="http://www.sec.gov/Archives/edgar/data/0000034956/000165495420005647/tenx_ex10-1.htm" TargetMode="External"/><Relationship Id="rId49" Type="http://schemas.openxmlformats.org/officeDocument/2006/relationships/hyperlink" Target="http://www.sec.gov/Archives/edgar/data/0000034956/000165495420007444/tenx_ex41.htm" TargetMode="External"/><Relationship Id="rId50" Type="http://schemas.openxmlformats.org/officeDocument/2006/relationships/hyperlink" Target="http://www.sec.gov/Archives/edgar/data/0000034956/000165495420007444/tenx_ex42.htm" TargetMode="External"/><Relationship Id="rId51" Type="http://schemas.openxmlformats.org/officeDocument/2006/relationships/hyperlink" Target="http://www.sec.gov/Archives/edgar/data/0000034956/000165495420007444/tenx_ex43.htm" TargetMode="External"/><Relationship Id="rId52" Type="http://schemas.openxmlformats.org/officeDocument/2006/relationships/hyperlink" Target="http://www.sec.gov/Archives/edgar/data/0000034956/000165495420007444/tenx_ex101.htm" TargetMode="External"/><Relationship Id="rId53" Type="http://schemas.openxmlformats.org/officeDocument/2006/relationships/hyperlink" Target="http://www.sec.gov/Archives/edgar/data/0000034956/000165495420007444/tenx_ex102.htm" TargetMode="External"/><Relationship Id="rId54" Type="http://schemas.openxmlformats.org/officeDocument/2006/relationships/hyperlink" Target="http://www.sec.gov/Archives/edgar/data/0000034956/000165495420007444/tenx_ex103.htm" TargetMode="External"/><Relationship Id="rId55" Type="http://schemas.openxmlformats.org/officeDocument/2006/relationships/hyperlink" Target="http://www.sec.gov/Archives/edgar/data/34956/000135448815003333/tenx_ex211.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45036</Words>
  <CharactersWithSpaces>294970</CharactersWithSpaces>
  <Paragraphs>4264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