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Life Sciences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NC 27517</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shares of Common Stock, $0.0001 par value per share (the "Common Stock") of Tenax Therapeutics, Inc. (the "Issuer") are: Perceptive Advisors LLC ("Perceptive Advisors") Joseph Edelman ("Mr. Edelman") Perceptive Life Sciences Master Fund, Ltd. (the "Master Fund")</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The Master Fund is a Cayman Islands corporation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and 11 of the cover pages to this Schedule 13G. The ownership percentages reported are based on 37,423,917 shares of Common Stock outstanding as of July 28, 2026, as reported in the Issuer's Quarterly Report on Form 10-Q filed with the Securities and Exchange Commission on July 31, 2026. Neither Perceptive Advisors nor Mr. Edelman directly holds any shares of Common Stock. The Master Fund directly holds 1,700,000 shares of Common Stock. Perceptive Advisors serves as the investment manager of the Master Fund and may be deemed to beneficially own the securities directly held by the Master Fund. Mr. Edelman is the managing member of Perceptive Advisors and may be deemed to beneficially own the securities directly held by the Master Fund.</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5.5% Mr. Edelman: 5.5% Master Fund: 5.5%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1,700,000 Mr. Edelman: 1,700,000 Master Fund: 1,700,000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1,700,000 Mr. Edelman: 1,700,000 Master Fund: 1,700,000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1254</Words>
  <Characters>6559</Characters>
  <CharactersWithSpaces>7768</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