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Tenax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08/17/2026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Sphera Funds Management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ISRAEL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1,993,496.00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1,993,496.00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1,993,496.00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Percentage reported in Item 11 is based on 37,423,917 shares of Common Stock outstanding as of July 28, 2026 (as provided by the Issuer in its Quarterly Report on Form 10-Q filed with the Securities and Exchange Commission ("SEC") on July 31,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Sphera Global Healthcare GP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ISRAEL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1,993,496.00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1,993,496.00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1,993,496.00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Percentage reported in Item 11 is based on 37,423,917 shares of Common Stock outstanding as of July 28, 2026 (as provided by the Issuer in its Quarterly Report on Form 10-Q filed with the SEC on July 31,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Sphera Global Healthcare Management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ISRAEL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1,993,496.00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1,993,496.00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1,993,496.00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Percentage reported in Item 11 is based on 37,423,917 shares of Common Stock outstanding as of July 28, 2026 (as provided by the Issuer in its Quarterly Report on Form 10-Q filed with the SEC on July 31,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62"/>
        <w:gridCol w:w="8888"/>
        <w:gridCol w:w="155"/>
      </w:tblGrid>
      <w:tr>
        <w:trPr/>
        <w:tc>
          <w:tcPr>
            <w:tcW w:w="1162" w:type="dxa"/>
            <w:tcBorders/>
            <w:vAlign w:val="center"/>
          </w:tcPr>
          <w:p>
            <w:pPr>
              <w:pStyle w:val="TableContents"/>
              <w:bidi w:val="0"/>
              <w:spacing w:before="0" w:after="283"/>
              <w:jc w:val="left"/>
              <w:rPr/>
            </w:pPr>
            <w:r>
              <w:rPr/>
              <w:t>Item 1.</w:t>
            </w:r>
          </w:p>
        </w:tc>
        <w:tc>
          <w:tcPr>
            <w:tcW w:w="888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jc w:val="left"/>
              <w:rPr/>
            </w:pPr>
            <w:r>
              <w:rPr/>
              <w:t xml:space="preserve">Name of issuer: </w:t>
            </w:r>
          </w:p>
          <w:p>
            <w:pPr>
              <w:pStyle w:val="TableContents"/>
              <w:bidi w:val="0"/>
              <w:spacing w:before="0" w:after="0"/>
              <w:jc w:val="left"/>
              <w:rPr/>
            </w:pPr>
            <w:r>
              <w:rPr/>
              <w:t>Tenax Therapeutics, Inc.</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101 Glen Lennox Drive, Suite 300, Chapel Hill, North Carolina, 27517</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2.</w:t>
            </w:r>
          </w:p>
        </w:tc>
        <w:tc>
          <w:tcPr>
            <w:tcW w:w="888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jc w:val="left"/>
              <w:rPr/>
            </w:pPr>
            <w:r>
              <w:rPr/>
              <w:t xml:space="preserve">Name of person filing: </w:t>
            </w:r>
          </w:p>
          <w:p>
            <w:pPr>
              <w:pStyle w:val="TableContents"/>
              <w:bidi w:val="0"/>
              <w:spacing w:before="0" w:after="0"/>
              <w:jc w:val="left"/>
              <w:rPr/>
            </w:pPr>
            <w:r>
              <w:rPr/>
              <w:t>Sphera Funds Management Ltd. Sphera Global Healthcare GP Ltd. Sphera Global Healthcare Management LP</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Address of the Principal Business Office of each of the reporting persons is: 4 Itzhak Sade, Building A, 29th Floor, Tel Aviv 6777504, Israel</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jc w:val="left"/>
              <w:rPr/>
            </w:pPr>
            <w:r>
              <w:rPr/>
              <w:t xml:space="preserve">Citizenship: </w:t>
            </w:r>
          </w:p>
          <w:p>
            <w:pPr>
              <w:pStyle w:val="TableContents"/>
              <w:bidi w:val="0"/>
              <w:spacing w:before="0" w:after="0"/>
              <w:jc w:val="left"/>
              <w:rPr/>
            </w:pPr>
            <w:r>
              <w:rPr/>
              <w:t>Each of the reporting person is organized under the laws of the State of Israel</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(d)</w:t>
            </w:r>
          </w:p>
        </w:tc>
        <w:tc>
          <w:tcPr>
            <w:tcW w:w="888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(e)</w:t>
            </w:r>
          </w:p>
        </w:tc>
        <w:tc>
          <w:tcPr>
            <w:tcW w:w="888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3.</w:t>
            </w:r>
          </w:p>
        </w:tc>
        <w:tc>
          <w:tcPr>
            <w:tcW w:w="888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(d)</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(e)</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(f)</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(g)</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(h)</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(j)</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(k)</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9043" w:type="dxa"/>
            <w:gridSpan w:val="2"/>
            <w:tcBorders/>
            <w:vAlign w:val="center"/>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4.</w:t>
            </w:r>
          </w:p>
        </w:tc>
        <w:tc>
          <w:tcPr>
            <w:tcW w:w="888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Incorporated by reference to Item 9 of the cover page of each reporting person. The securities reported herein by Sphera Funds Management Ltd., Sphera Global Healthcare GP Ltd. and Sphera Global Healthcare Management LP are beneficially owned as follows: (1) 174,375 Shares of Common Stock, which represent a total of 0.47% of the total Shares of Common Stock outstanding, are held directly by Sphera Global Healthcare Master Fund, which has delegated its investment management authority to Sphera Global Healthcare Management LP (the "Management Company"). (2) 1,819,121 Shares of Common Stock, which represent a total of 4.86% of the total Shares of Common Stock outstanding, are held directly by Sphera Biotech Master Fund, L.P., which has delegated its investment management authority to the Management Company. The Management Company is managed, controlled and operated by its general partner, Sphera Global Healthcare GP Ltd., the shares of which are owned 90% by Sphera Funds Management Ltd. This Statement shall not be construed as an admission by any of the reporting persons that it is the beneficial owner of any of the securities covered by this statement, and each reporting person disclaims beneficial ownership of any such securities. In addition, the reporting persons and other entities named in this Schedule 13G may be deemed to constitute a "group" for purposes of Section 13(d) of the Securities Exchange Act of 1934. Neither the filing of this Schedule 13G nor any of its contents shall be deemed to constitute an admission that a group exists for purposes of Section 13(d) of the Securities Exchange Act of 1934 or for any other purpose, and each of the reporting persons and other entities named in this Schedule 13G disclaims the existence of any such group.</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Incorporated by reference to Item 11 of the cover page for each reporting person. Percentage reported in Item 11 for each reporting person is based on 37,423,917 shares of Common Stock outstanding as of July 28, 2026, (as provided by the Issuer in its Quarterly Report on Form 10-Q filed with the SEC on July 31, 2026).  %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Incorporated by reference to Item 5 of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Incorporated by reference to Item 6 of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Incorporated by reference to Item 7 of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Incorporated by reference to Item 8 of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5.</w:t>
            </w:r>
          </w:p>
        </w:tc>
        <w:tc>
          <w:tcPr>
            <w:tcW w:w="888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6.</w:t>
            </w:r>
          </w:p>
        </w:tc>
        <w:tc>
          <w:tcPr>
            <w:tcW w:w="888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7.</w:t>
            </w:r>
          </w:p>
        </w:tc>
        <w:tc>
          <w:tcPr>
            <w:tcW w:w="888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8.</w:t>
            </w:r>
          </w:p>
        </w:tc>
        <w:tc>
          <w:tcPr>
            <w:tcW w:w="888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9.</w:t>
            </w:r>
          </w:p>
        </w:tc>
        <w:tc>
          <w:tcPr>
            <w:tcW w:w="888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64" w:type="dxa"/>
        <w:jc w:val="left"/>
        <w:tblInd w:w="0" w:type="dxa"/>
        <w:tblLayout w:type="fixed"/>
        <w:tblCellMar>
          <w:top w:w="28" w:type="dxa"/>
          <w:left w:w="28" w:type="dxa"/>
          <w:bottom w:w="28" w:type="dxa"/>
          <w:right w:w="28" w:type="dxa"/>
        </w:tblCellMar>
      </w:tblPr>
      <w:tblGrid>
        <w:gridCol w:w="3332"/>
        <w:gridCol w:w="3332"/>
      </w:tblGrid>
      <w:tr>
        <w:trPr/>
        <w:tc>
          <w:tcPr>
            <w:tcW w:w="3332" w:type="dxa"/>
            <w:tcBorders/>
            <w:vAlign w:val="center"/>
          </w:tcPr>
          <w:p>
            <w:pPr>
              <w:pStyle w:val="TableContents"/>
              <w:bidi w:val="0"/>
              <w:spacing w:before="0" w:after="0"/>
              <w:jc w:val="left"/>
              <w:rPr/>
            </w:pPr>
            <w:r>
              <w:rPr/>
              <w:t> </w:t>
            </w:r>
          </w:p>
          <w:tbl>
            <w:tblPr>
              <w:tblW w:w="3211" w:type="dxa"/>
              <w:jc w:val="left"/>
              <w:tblInd w:w="0" w:type="dxa"/>
              <w:tblLayout w:type="fixed"/>
              <w:tblCellMar>
                <w:top w:w="28" w:type="dxa"/>
                <w:left w:w="28" w:type="dxa"/>
                <w:bottom w:w="28" w:type="dxa"/>
                <w:right w:w="28" w:type="dxa"/>
              </w:tblCellMar>
            </w:tblPr>
            <w:tblGrid>
              <w:gridCol w:w="3211"/>
            </w:tblGrid>
            <w:tr>
              <w:trPr/>
              <w:tc>
                <w:tcPr>
                  <w:tcW w:w="3211" w:type="dxa"/>
                  <w:tcBorders/>
                  <w:vAlign w:val="center"/>
                </w:tcPr>
                <w:p>
                  <w:pPr>
                    <w:pStyle w:val="TableContents"/>
                    <w:bidi w:val="0"/>
                    <w:spacing w:before="0" w:after="0"/>
                    <w:jc w:val="left"/>
                    <w:rPr/>
                  </w:pPr>
                  <w:r>
                    <w:rPr/>
                    <w:t>Sphera Funds Management Ltd.</w:t>
                  </w:r>
                </w:p>
              </w:tc>
            </w:tr>
          </w:tbl>
          <w:p>
            <w:pPr>
              <w:pStyle w:val="TableContents"/>
              <w:bidi w:val="0"/>
              <w:spacing w:before="0" w:after="283"/>
              <w:jc w:val="left"/>
              <w:rPr/>
            </w:pPr>
            <w:r>
              <w:rPr/>
            </w:r>
          </w:p>
        </w:tc>
        <w:tc>
          <w:tcPr>
            <w:tcW w:w="333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2"/>
        <w:gridCol w:w="4373"/>
      </w:tblGrid>
      <w:tr>
        <w:trPr/>
        <w:tc>
          <w:tcPr>
            <w:tcW w:w="583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Adi Hanetz</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Adi Hanetz / General Counsel</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08/27/2026</w:t>
                  </w:r>
                </w:p>
              </w:tc>
            </w:tr>
          </w:tbl>
          <w:p>
            <w:pPr>
              <w:pStyle w:val="TableContents"/>
              <w:bidi w:val="0"/>
              <w:spacing w:before="0" w:after="283"/>
              <w:jc w:val="left"/>
              <w:rPr/>
            </w:pPr>
            <w:r>
              <w:rPr/>
            </w:r>
          </w:p>
        </w:tc>
        <w:tc>
          <w:tcPr>
            <w:tcW w:w="4373" w:type="dxa"/>
            <w:tcBorders/>
            <w:vAlign w:val="center"/>
          </w:tcPr>
          <w:p>
            <w:pPr>
              <w:pStyle w:val="TableContents"/>
              <w:bidi w:val="0"/>
              <w:spacing w:before="0" w:after="283"/>
              <w:jc w:val="left"/>
              <w:rPr>
                <w:sz w:val="4"/>
                <w:szCs w:val="4"/>
              </w:rPr>
            </w:pPr>
            <w:r>
              <w:rPr>
                <w:sz w:val="4"/>
                <w:szCs w:val="4"/>
              </w:rPr>
            </w:r>
          </w:p>
        </w:tc>
      </w:tr>
    </w:tbl>
    <w:tbl>
      <w:tblPr>
        <w:tblW w:w="7098" w:type="dxa"/>
        <w:jc w:val="left"/>
        <w:tblInd w:w="0" w:type="dxa"/>
        <w:tblLayout w:type="fixed"/>
        <w:tblCellMar>
          <w:top w:w="28" w:type="dxa"/>
          <w:left w:w="28" w:type="dxa"/>
          <w:bottom w:w="28" w:type="dxa"/>
          <w:right w:w="28" w:type="dxa"/>
        </w:tblCellMar>
      </w:tblPr>
      <w:tblGrid>
        <w:gridCol w:w="3549"/>
        <w:gridCol w:w="3549"/>
      </w:tblGrid>
      <w:tr>
        <w:trPr/>
        <w:tc>
          <w:tcPr>
            <w:tcW w:w="3549" w:type="dxa"/>
            <w:tcBorders/>
            <w:vAlign w:val="center"/>
          </w:tcPr>
          <w:p>
            <w:pPr>
              <w:pStyle w:val="TableContents"/>
              <w:bidi w:val="0"/>
              <w:spacing w:before="0" w:after="0"/>
              <w:jc w:val="left"/>
              <w:rPr/>
            </w:pPr>
            <w:r>
              <w:rPr/>
              <w:t> </w:t>
            </w:r>
          </w:p>
          <w:tbl>
            <w:tblPr>
              <w:tblW w:w="3436" w:type="dxa"/>
              <w:jc w:val="left"/>
              <w:tblInd w:w="0" w:type="dxa"/>
              <w:tblLayout w:type="fixed"/>
              <w:tblCellMar>
                <w:top w:w="28" w:type="dxa"/>
                <w:left w:w="28" w:type="dxa"/>
                <w:bottom w:w="28" w:type="dxa"/>
                <w:right w:w="28" w:type="dxa"/>
              </w:tblCellMar>
            </w:tblPr>
            <w:tblGrid>
              <w:gridCol w:w="3436"/>
            </w:tblGrid>
            <w:tr>
              <w:trPr/>
              <w:tc>
                <w:tcPr>
                  <w:tcW w:w="3436" w:type="dxa"/>
                  <w:tcBorders/>
                  <w:vAlign w:val="center"/>
                </w:tcPr>
                <w:p>
                  <w:pPr>
                    <w:pStyle w:val="TableContents"/>
                    <w:bidi w:val="0"/>
                    <w:spacing w:before="0" w:after="0"/>
                    <w:jc w:val="left"/>
                    <w:rPr/>
                  </w:pPr>
                  <w:r>
                    <w:rPr/>
                    <w:t>Sphera Global Healthcare GP Ltd.</w:t>
                  </w:r>
                </w:p>
              </w:tc>
            </w:tr>
          </w:tbl>
          <w:p>
            <w:pPr>
              <w:pStyle w:val="TableContents"/>
              <w:bidi w:val="0"/>
              <w:spacing w:before="0" w:after="283"/>
              <w:jc w:val="left"/>
              <w:rPr/>
            </w:pPr>
            <w:r>
              <w:rPr/>
            </w:r>
          </w:p>
        </w:tc>
        <w:tc>
          <w:tcPr>
            <w:tcW w:w="35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2"/>
        <w:gridCol w:w="4373"/>
      </w:tblGrid>
      <w:tr>
        <w:trPr/>
        <w:tc>
          <w:tcPr>
            <w:tcW w:w="583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Adi Hanetz</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Adi Hanetz / General Counsel</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08/27/2026</w:t>
                  </w:r>
                </w:p>
              </w:tc>
            </w:tr>
          </w:tbl>
          <w:p>
            <w:pPr>
              <w:pStyle w:val="TableContents"/>
              <w:bidi w:val="0"/>
              <w:spacing w:before="0" w:after="283"/>
              <w:jc w:val="left"/>
              <w:rPr/>
            </w:pPr>
            <w:r>
              <w:rPr/>
            </w:r>
          </w:p>
        </w:tc>
        <w:tc>
          <w:tcPr>
            <w:tcW w:w="4373" w:type="dxa"/>
            <w:tcBorders/>
            <w:vAlign w:val="center"/>
          </w:tcPr>
          <w:p>
            <w:pPr>
              <w:pStyle w:val="TableContents"/>
              <w:bidi w:val="0"/>
              <w:spacing w:before="0" w:after="283"/>
              <w:jc w:val="left"/>
              <w:rPr>
                <w:sz w:val="4"/>
                <w:szCs w:val="4"/>
              </w:rPr>
            </w:pPr>
            <w:r>
              <w:rPr>
                <w:sz w:val="4"/>
                <w:szCs w:val="4"/>
              </w:rPr>
            </w:r>
          </w:p>
        </w:tc>
      </w:tr>
    </w:tbl>
    <w:tbl>
      <w:tblPr>
        <w:tblW w:w="8824" w:type="dxa"/>
        <w:jc w:val="left"/>
        <w:tblInd w:w="0" w:type="dxa"/>
        <w:tblLayout w:type="fixed"/>
        <w:tblCellMar>
          <w:top w:w="28" w:type="dxa"/>
          <w:left w:w="28" w:type="dxa"/>
          <w:bottom w:w="28" w:type="dxa"/>
          <w:right w:w="28" w:type="dxa"/>
        </w:tblCellMar>
      </w:tblPr>
      <w:tblGrid>
        <w:gridCol w:w="4412"/>
        <w:gridCol w:w="4412"/>
      </w:tblGrid>
      <w:tr>
        <w:trPr/>
        <w:tc>
          <w:tcPr>
            <w:tcW w:w="4412" w:type="dxa"/>
            <w:tcBorders/>
            <w:vAlign w:val="center"/>
          </w:tcPr>
          <w:p>
            <w:pPr>
              <w:pStyle w:val="TableContents"/>
              <w:bidi w:val="0"/>
              <w:spacing w:before="0" w:after="0"/>
              <w:jc w:val="left"/>
              <w:rPr/>
            </w:pPr>
            <w:r>
              <w:rPr/>
              <w:t> </w:t>
            </w:r>
          </w:p>
          <w:tbl>
            <w:tblPr>
              <w:tblW w:w="4246" w:type="dxa"/>
              <w:jc w:val="left"/>
              <w:tblInd w:w="0" w:type="dxa"/>
              <w:tblLayout w:type="fixed"/>
              <w:tblCellMar>
                <w:top w:w="28" w:type="dxa"/>
                <w:left w:w="28" w:type="dxa"/>
                <w:bottom w:w="28" w:type="dxa"/>
                <w:right w:w="28" w:type="dxa"/>
              </w:tblCellMar>
            </w:tblPr>
            <w:tblGrid>
              <w:gridCol w:w="4246"/>
            </w:tblGrid>
            <w:tr>
              <w:trPr/>
              <w:tc>
                <w:tcPr>
                  <w:tcW w:w="4246" w:type="dxa"/>
                  <w:tcBorders/>
                  <w:vAlign w:val="center"/>
                </w:tcPr>
                <w:p>
                  <w:pPr>
                    <w:pStyle w:val="TableContents"/>
                    <w:bidi w:val="0"/>
                    <w:spacing w:before="0" w:after="0"/>
                    <w:jc w:val="left"/>
                    <w:rPr/>
                  </w:pPr>
                  <w:r>
                    <w:rPr/>
                    <w:t>Sphera Global Healthcare Management LP</w:t>
                  </w:r>
                </w:p>
              </w:tc>
            </w:tr>
          </w:tbl>
          <w:p>
            <w:pPr>
              <w:pStyle w:val="TableContents"/>
              <w:bidi w:val="0"/>
              <w:spacing w:before="0" w:after="283"/>
              <w:jc w:val="left"/>
              <w:rPr/>
            </w:pPr>
            <w:r>
              <w:rPr/>
            </w:r>
          </w:p>
        </w:tc>
        <w:tc>
          <w:tcPr>
            <w:tcW w:w="44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2"/>
        <w:gridCol w:w="4373"/>
      </w:tblGrid>
      <w:tr>
        <w:trPr/>
        <w:tc>
          <w:tcPr>
            <w:tcW w:w="583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Adi Hanetz</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Adi Hanetz / General Counsel</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08/27/2026</w:t>
                  </w:r>
                </w:p>
              </w:tc>
            </w:tr>
          </w:tbl>
          <w:p>
            <w:pPr>
              <w:pStyle w:val="TableContents"/>
              <w:bidi w:val="0"/>
              <w:spacing w:before="0" w:after="283"/>
              <w:jc w:val="left"/>
              <w:rPr/>
            </w:pPr>
            <w:r>
              <w:rPr/>
            </w:r>
          </w:p>
        </w:tc>
        <w:tc>
          <w:tcPr>
            <w:tcW w:w="4373" w:type="dxa"/>
            <w:tcBorders/>
            <w:vAlign w:val="center"/>
          </w:tcPr>
          <w:p>
            <w:pPr>
              <w:pStyle w:val="TableContents"/>
              <w:bidi w:val="0"/>
              <w:spacing w:before="0" w:after="283"/>
              <w:jc w:val="left"/>
              <w:rPr>
                <w:sz w:val="4"/>
                <w:szCs w:val="4"/>
              </w:rPr>
            </w:pPr>
            <w:r>
              <w:rPr>
                <w:sz w:val="4"/>
                <w:szCs w:val="4"/>
              </w:rPr>
            </w:r>
          </w:p>
        </w:tc>
      </w:tr>
    </w:tbl>
    <w:tbl>
      <w:tblPr>
        <w:tblW w:w="6781" w:type="dxa"/>
        <w:jc w:val="left"/>
        <w:tblInd w:w="0" w:type="dxa"/>
        <w:tblLayout w:type="fixed"/>
        <w:tblCellMar>
          <w:top w:w="28" w:type="dxa"/>
          <w:left w:w="28" w:type="dxa"/>
          <w:bottom w:w="28" w:type="dxa"/>
          <w:right w:w="28" w:type="dxa"/>
        </w:tblCellMar>
      </w:tblPr>
      <w:tblGrid>
        <w:gridCol w:w="6781"/>
      </w:tblGrid>
      <w:tr>
        <w:trPr/>
        <w:tc>
          <w:tcPr>
            <w:tcW w:w="6781" w:type="dxa"/>
            <w:tcBorders/>
            <w:vAlign w:val="center"/>
          </w:tcPr>
          <w:p>
            <w:pPr>
              <w:pStyle w:val="TableContents"/>
              <w:bidi w:val="0"/>
              <w:spacing w:before="0" w:after="283"/>
              <w:jc w:val="center"/>
              <w:rPr>
                <w:b/>
              </w:rPr>
            </w:pPr>
            <w:r>
              <w:rPr>
                <w:b/>
              </w:rPr>
              <w:t xml:space="preserve">Exhibit Information </w:t>
            </w:r>
          </w:p>
        </w:tc>
      </w:tr>
      <w:tr>
        <w:trPr/>
        <w:tc>
          <w:tcPr>
            <w:tcW w:w="6781" w:type="dxa"/>
            <w:tcBorders/>
            <w:vAlign w:val="center"/>
          </w:tcPr>
          <w:p>
            <w:pPr>
              <w:pStyle w:val="TableContents"/>
              <w:bidi w:val="0"/>
              <w:spacing w:before="0" w:after="283"/>
              <w:jc w:val="left"/>
              <w:rPr/>
            </w:pPr>
            <w:r>
              <w:rPr/>
              <w:t>Exhibit 1: Joint Filing Agreement by and among the reporting persons</w:t>
            </w:r>
          </w:p>
        </w:tc>
      </w:tr>
    </w:tbl>
    <w:p>
      <w:pPr>
        <w:pStyle w:val="TextBody"/>
        <w:bidi w:val="0"/>
        <w:jc w:val="left"/>
        <w:rPr>
          <w:bdr w:val="single" w:sz="24" w:space="1" w:color="000000"/>
        </w:rPr>
      </w:pPr>
      <w:bookmarkStart w:id="24" w:name="exhibit_1.htm"/>
      <w:bookmarkStart w:id="25" w:name="ksexhibit_1"/>
      <w:bookmarkEnd w:id="24"/>
      <w:bookmarkEnd w:id="25"/>
      <w:r>
        <w:rPr>
          <w:bdr w:val="single" w:sz="24" w:space="1" w:color="000000"/>
        </w:rPr>
        <w:t> </w:t>
      </w:r>
      <w:r>
        <w:br w:type="page"/>
      </w:r>
    </w:p>
    <w:p>
      <w:pPr>
        <w:pStyle w:val="TextBody"/>
        <w:bidi w:val="0"/>
        <w:jc w:val="right"/>
        <w:rPr>
          <w:b/>
          <w:u w:val="single"/>
        </w:rPr>
      </w:pPr>
      <w:r>
        <w:rPr>
          <w:b/>
          <w:u w:val="single"/>
        </w:rPr>
        <w:t>Exhibit 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13d-1(k)(1) under the Securities Exchange Act of 1934, as amended, the undersigned hereby agree that only one statement containing the information required by Schedule 13G need be filed with respect to the ownership by each of the undersigned of shares of Tenax Therapeutics, Inc. (the “Issuer”); 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 In accordance with Rule 13d-1(k)(1), the undersigned hereby agree to the joint filing with each other on behalf of each of them of such a statement on Schedule 13G and any amendments thereto with respect to the equity securities (as defined in Rule 13d-1(i)) of the Issuer, beneficially owned by each of them. This Joint Filing Agreement shall be included as an exhibit to such Schedule 13G and any amendments thereto.</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any number of counterparts, each of which shall be deemed an original.</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26, 2025</w:t>
      </w:r>
    </w:p>
    <w:p>
      <w:pPr>
        <w:pStyle w:val="TextBody"/>
        <w:bidi w:val="0"/>
        <w:spacing w:before="0" w:after="0"/>
        <w:ind w:left="0" w:right="0" w:hanging="0"/>
        <w:jc w:val="left"/>
        <w:rPr>
          <w:caps w:val="false"/>
          <w:smallCaps w:val="false"/>
        </w:rPr>
      </w:pPr>
      <w:r>
        <w:rPr>
          <w:caps w:val="false"/>
          <w:smallCaps w:val="false"/>
        </w:rPr>
        <w:t> </w:t>
      </w:r>
    </w:p>
    <w:tbl>
      <w:tblPr>
        <w:tblW w:w="3439" w:type="dxa"/>
        <w:jc w:val="left"/>
        <w:tblInd w:w="0" w:type="dxa"/>
        <w:tblLayout w:type="fixed"/>
        <w:tblCellMar>
          <w:top w:w="0" w:type="dxa"/>
          <w:left w:w="0" w:type="dxa"/>
          <w:bottom w:w="0" w:type="dxa"/>
          <w:right w:w="0" w:type="dxa"/>
        </w:tblCellMar>
      </w:tblPr>
      <w:tblGrid>
        <w:gridCol w:w="75"/>
        <w:gridCol w:w="3234"/>
        <w:gridCol w:w="130"/>
      </w:tblGrid>
      <w:tr>
        <w:trPr/>
        <w:tc>
          <w:tcPr>
            <w:tcW w:w="75"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283"/>
              <w:jc w:val="left"/>
              <w:rPr>
                <w:b/>
              </w:rPr>
            </w:pPr>
            <w:r>
              <w:rPr>
                <w:b/>
              </w:rPr>
              <w:t>Sphera Funds Management Ltd.</w:t>
            </w:r>
          </w:p>
        </w:tc>
      </w:tr>
      <w:tr>
        <w:trPr/>
        <w:tc>
          <w:tcPr>
            <w:tcW w:w="75" w:type="dxa"/>
            <w:tcBorders/>
            <w:vAlign w:val="center"/>
          </w:tcPr>
          <w:p>
            <w:pPr>
              <w:pStyle w:val="TableContents"/>
              <w:bidi w:val="0"/>
              <w:spacing w:before="0" w:after="283"/>
              <w:jc w:val="left"/>
              <w:rPr/>
            </w:pPr>
            <w:r>
              <w:rPr/>
              <w:t> </w:t>
            </w:r>
          </w:p>
        </w:tc>
        <w:tc>
          <w:tcPr>
            <w:tcW w:w="3234"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34" w:type="dxa"/>
            <w:tcBorders>
              <w:bottom w:val="single" w:sz="8" w:space="0" w:color="000000"/>
            </w:tcBorders>
            <w:tcMar>
              <w:bottom w:w="28" w:type="dxa"/>
            </w:tcMar>
            <w:vAlign w:val="center"/>
          </w:tcPr>
          <w:p>
            <w:pPr>
              <w:pStyle w:val="TableContents"/>
              <w:bidi w:val="0"/>
              <w:spacing w:before="0" w:after="283"/>
              <w:jc w:val="left"/>
              <w:rPr/>
            </w:pPr>
            <w:r>
              <w:rPr/>
              <w:t>/s/ Adi Hanetz</w:t>
            </w:r>
          </w:p>
        </w:tc>
        <w:tc>
          <w:tcPr>
            <w:tcW w:w="1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34" w:type="dxa"/>
            <w:tcBorders/>
            <w:vAlign w:val="center"/>
          </w:tcPr>
          <w:p>
            <w:pPr>
              <w:pStyle w:val="TableContents"/>
              <w:bidi w:val="0"/>
              <w:spacing w:before="0" w:after="283"/>
              <w:jc w:val="left"/>
              <w:rPr/>
            </w:pPr>
            <w:r>
              <w:rPr/>
              <w:t>By: Adi Hanetz</w:t>
            </w:r>
          </w:p>
        </w:tc>
        <w:tc>
          <w:tcPr>
            <w:tcW w:w="1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General Counsel</w:t>
            </w:r>
          </w:p>
        </w:tc>
        <w:tc>
          <w:tcPr>
            <w:tcW w:w="13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4111" w:right="0" w:hanging="0"/>
        <w:jc w:val="left"/>
        <w:rPr>
          <w:caps w:val="false"/>
          <w:smallCaps w:val="false"/>
        </w:rPr>
      </w:pPr>
      <w:r>
        <w:rPr>
          <w:caps w:val="false"/>
          <w:smallCaps w:val="false"/>
        </w:rPr>
        <w:t> </w:t>
      </w:r>
    </w:p>
    <w:tbl>
      <w:tblPr>
        <w:tblW w:w="3634" w:type="dxa"/>
        <w:jc w:val="left"/>
        <w:tblInd w:w="0" w:type="dxa"/>
        <w:tblLayout w:type="fixed"/>
        <w:tblCellMar>
          <w:top w:w="0" w:type="dxa"/>
          <w:left w:w="0" w:type="dxa"/>
          <w:bottom w:w="0" w:type="dxa"/>
          <w:right w:w="0" w:type="dxa"/>
        </w:tblCellMar>
      </w:tblPr>
      <w:tblGrid>
        <w:gridCol w:w="75"/>
        <w:gridCol w:w="3422"/>
        <w:gridCol w:w="137"/>
      </w:tblGrid>
      <w:tr>
        <w:trPr/>
        <w:tc>
          <w:tcPr>
            <w:tcW w:w="75" w:type="dxa"/>
            <w:tcBorders/>
            <w:vAlign w:val="center"/>
          </w:tcPr>
          <w:p>
            <w:pPr>
              <w:pStyle w:val="TableContents"/>
              <w:bidi w:val="0"/>
              <w:spacing w:before="0" w:after="283"/>
              <w:jc w:val="left"/>
              <w:rPr/>
            </w:pPr>
            <w:r>
              <w:rPr/>
              <w:t> </w:t>
            </w:r>
          </w:p>
        </w:tc>
        <w:tc>
          <w:tcPr>
            <w:tcW w:w="3559" w:type="dxa"/>
            <w:gridSpan w:val="2"/>
            <w:tcBorders/>
            <w:vAlign w:val="center"/>
          </w:tcPr>
          <w:p>
            <w:pPr>
              <w:pStyle w:val="TableContents"/>
              <w:bidi w:val="0"/>
              <w:spacing w:before="0" w:after="283"/>
              <w:jc w:val="left"/>
              <w:rPr>
                <w:b/>
              </w:rPr>
            </w:pPr>
            <w:r>
              <w:rPr>
                <w:b/>
              </w:rPr>
              <w:t>Sphera Global Healthcare GP Ltd.</w:t>
            </w:r>
          </w:p>
        </w:tc>
      </w:tr>
      <w:tr>
        <w:trPr/>
        <w:tc>
          <w:tcPr>
            <w:tcW w:w="75" w:type="dxa"/>
            <w:tcBorders/>
            <w:vAlign w:val="center"/>
          </w:tcPr>
          <w:p>
            <w:pPr>
              <w:pStyle w:val="TableContents"/>
              <w:bidi w:val="0"/>
              <w:spacing w:before="0" w:after="283"/>
              <w:jc w:val="left"/>
              <w:rPr/>
            </w:pPr>
            <w:r>
              <w:rPr/>
              <w:t> </w:t>
            </w:r>
          </w:p>
        </w:tc>
        <w:tc>
          <w:tcPr>
            <w:tcW w:w="3422"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22" w:type="dxa"/>
            <w:tcBorders>
              <w:bottom w:val="single" w:sz="8" w:space="0" w:color="000000"/>
            </w:tcBorders>
            <w:tcMar>
              <w:bottom w:w="28" w:type="dxa"/>
            </w:tcMar>
            <w:vAlign w:val="center"/>
          </w:tcPr>
          <w:p>
            <w:pPr>
              <w:pStyle w:val="TableContents"/>
              <w:bidi w:val="0"/>
              <w:spacing w:before="0" w:after="283"/>
              <w:jc w:val="left"/>
              <w:rPr/>
            </w:pPr>
            <w:r>
              <w:rPr/>
              <w:t>/s/ Adi Hanetz</w:t>
            </w:r>
          </w:p>
        </w:tc>
        <w:tc>
          <w:tcPr>
            <w:tcW w:w="13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22" w:type="dxa"/>
            <w:tcBorders/>
            <w:vAlign w:val="center"/>
          </w:tcPr>
          <w:p>
            <w:pPr>
              <w:pStyle w:val="TableContents"/>
              <w:bidi w:val="0"/>
              <w:spacing w:before="0" w:after="283"/>
              <w:jc w:val="left"/>
              <w:rPr/>
            </w:pPr>
            <w:r>
              <w:rPr/>
              <w:t>By: Adi Hanetz</w:t>
            </w:r>
          </w:p>
        </w:tc>
        <w:tc>
          <w:tcPr>
            <w:tcW w:w="13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42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General Counsel</w:t>
            </w:r>
          </w:p>
        </w:tc>
        <w:tc>
          <w:tcPr>
            <w:tcW w:w="137"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4111" w:right="0" w:hanging="0"/>
        <w:jc w:val="left"/>
        <w:rPr>
          <w:caps w:val="false"/>
          <w:smallCaps w:val="false"/>
        </w:rPr>
      </w:pPr>
      <w:r>
        <w:rPr>
          <w:caps w:val="false"/>
          <w:smallCaps w:val="false"/>
        </w:rPr>
        <w:t> </w:t>
      </w:r>
    </w:p>
    <w:tbl>
      <w:tblPr>
        <w:tblW w:w="4519" w:type="dxa"/>
        <w:jc w:val="left"/>
        <w:tblInd w:w="0" w:type="dxa"/>
        <w:tblLayout w:type="fixed"/>
        <w:tblCellMar>
          <w:top w:w="0" w:type="dxa"/>
          <w:left w:w="0" w:type="dxa"/>
          <w:bottom w:w="0" w:type="dxa"/>
          <w:right w:w="0" w:type="dxa"/>
        </w:tblCellMar>
      </w:tblPr>
      <w:tblGrid>
        <w:gridCol w:w="75"/>
        <w:gridCol w:w="4273"/>
        <w:gridCol w:w="171"/>
      </w:tblGrid>
      <w:tr>
        <w:trPr/>
        <w:tc>
          <w:tcPr>
            <w:tcW w:w="75" w:type="dxa"/>
            <w:tcBorders/>
            <w:vAlign w:val="center"/>
          </w:tcPr>
          <w:p>
            <w:pPr>
              <w:pStyle w:val="TableContents"/>
              <w:bidi w:val="0"/>
              <w:spacing w:before="0" w:after="283"/>
              <w:jc w:val="left"/>
              <w:rPr/>
            </w:pPr>
            <w:r>
              <w:rPr/>
              <w:t> </w:t>
            </w:r>
          </w:p>
        </w:tc>
        <w:tc>
          <w:tcPr>
            <w:tcW w:w="4444" w:type="dxa"/>
            <w:gridSpan w:val="2"/>
            <w:tcBorders/>
            <w:vAlign w:val="center"/>
          </w:tcPr>
          <w:p>
            <w:pPr>
              <w:pStyle w:val="TableContents"/>
              <w:bidi w:val="0"/>
              <w:spacing w:before="0" w:after="283"/>
              <w:jc w:val="left"/>
              <w:rPr>
                <w:b/>
              </w:rPr>
            </w:pPr>
            <w:r>
              <w:rPr>
                <w:b/>
              </w:rPr>
              <w:t>Sphera Global Healthcare Management LP</w:t>
            </w:r>
          </w:p>
        </w:tc>
      </w:tr>
      <w:tr>
        <w:trPr/>
        <w:tc>
          <w:tcPr>
            <w:tcW w:w="75" w:type="dxa"/>
            <w:tcBorders/>
            <w:vAlign w:val="center"/>
          </w:tcPr>
          <w:p>
            <w:pPr>
              <w:pStyle w:val="TableContents"/>
              <w:bidi w:val="0"/>
              <w:spacing w:before="0" w:after="283"/>
              <w:jc w:val="left"/>
              <w:rPr/>
            </w:pPr>
            <w:r>
              <w:rPr/>
              <w:t> </w:t>
            </w:r>
          </w:p>
        </w:tc>
        <w:tc>
          <w:tcPr>
            <w:tcW w:w="4273"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73" w:type="dxa"/>
            <w:tcBorders>
              <w:bottom w:val="single" w:sz="8" w:space="0" w:color="000000"/>
            </w:tcBorders>
            <w:tcMar>
              <w:bottom w:w="28" w:type="dxa"/>
            </w:tcMar>
            <w:vAlign w:val="center"/>
          </w:tcPr>
          <w:p>
            <w:pPr>
              <w:pStyle w:val="TableContents"/>
              <w:bidi w:val="0"/>
              <w:spacing w:before="0" w:after="283"/>
              <w:jc w:val="left"/>
              <w:rPr/>
            </w:pPr>
            <w:r>
              <w:rPr/>
              <w:t>/s/ Adi Hanetz</w:t>
            </w:r>
          </w:p>
        </w:tc>
        <w:tc>
          <w:tcPr>
            <w:tcW w:w="17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73" w:type="dxa"/>
            <w:tcBorders/>
            <w:vAlign w:val="center"/>
          </w:tcPr>
          <w:p>
            <w:pPr>
              <w:pStyle w:val="TableContents"/>
              <w:bidi w:val="0"/>
              <w:spacing w:before="0" w:after="283"/>
              <w:jc w:val="left"/>
              <w:rPr/>
            </w:pPr>
            <w:r>
              <w:rPr/>
              <w:t>By: Adi Hanetz</w:t>
            </w:r>
          </w:p>
        </w:tc>
        <w:tc>
          <w:tcPr>
            <w:tcW w:w="17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4273"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General Counsel</w:t>
            </w:r>
          </w:p>
        </w:tc>
        <w:tc>
          <w:tcPr>
            <w:tcW w:w="171"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4111" w:right="0" w:hanging="0"/>
        <w:jc w:val="left"/>
        <w:rPr>
          <w:caps w:val="false"/>
          <w:smallCaps w:val="false"/>
        </w:rPr>
      </w:pPr>
      <w:r>
        <w:rPr>
          <w:caps w:val="false"/>
          <w:smallCaps w:val="false"/>
        </w:rPr>
        <w:t> </w:t>
      </w:r>
    </w:p>
    <w:p>
      <w:pPr>
        <w:pStyle w:val="TextBody"/>
        <w:bidi w:val="0"/>
        <w:spacing w:before="0" w:after="283"/>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1825</Words>
  <Characters>9336</Characters>
  <CharactersWithSpaces>11131</CharactersWithSpaces>
  <Paragraphs>311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