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Ikarian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1,080,700.00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1,080,700.00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1,080,700.00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figures in Items 6, 8, and 9 represent Common Stock, $0.0001 par value per share ("Common Stock") of Tenax Therapeutics, Inc. (the "Issuer") held by Ikarian Healthcare Master Fund, L.P., a Cayman Islands exempted limited partnership (the "Fund"), and certain separately managed accounts. See Item 2 for more information. (2) The figures in Items 6, 8, and 9 include 373,100 shares of Common Stock of the Issuer that may be acquired by the Reporting Persons within 60 days pursuant to options held by the Reporting Persons. (3) The figure in Item 11 is based upon 37,423,917 shares of Common Stock of the Issuer outstanding as of July 28, 2026, as disclosed in the Issuer's quarterly report on Form 10-Q for the quarterly period ended June 30, 2026, filed with the U.S. Securities and Exchange Commission (the "SEC")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Neil Shahrestani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1,080,700.00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1,080,700.00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1,080,700.00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figures in Items 6, 8, and 9 represent Common Stock of the Issuer held by the Fund and certain separately managed accounts. See Item 2 for more information. (2) The figures in Items 6, 8, and 9 include 373,100 shares of Common Stock of the Issuer that may be acquired by the Reporting Persons within 60 days pursuant to options held by the Reporting Persons. (3) The figure in Item 11 is based upon 37,423,917 shares of Common Stock of the Issuer outstanding as of July 28, 2026, as disclosed in the Issuer's quarterly report on Form 10-Q for the quarterly period ended June 30, 2026, filed with the SEC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jointly by and on behalf of each of Ikarian Capital, LLC, a Delaware limited liability company ("Ikarian Capital"), and Neil Shahrestani (together referred herein as the "Reporting Persons"). The Fund, and certain separately managed accounts managed by Ikarian Capital (collectively, the "Managed Accounts"), are the record owners of the securities covered by this statement. Ikarian Capital is an investment adviser registered under the Investment Advisers Act of 1940, as amended, and serves as investment manager to the Fund and as sub-adviser to the Managed Accounts, and may be deemed to have beneficial ownership of the securities covered by this statement through the investment discretion it has over the Fund and the Managed Accounts. Ikarian Capital is ultimately controlled, indirectly, by Mr. Shahrestani. Accordingly, Mr. Shahrestani may be deemed to indirectly beneficially own securities beneficially owned by Ikarian Capital. The Fund disclaims beneficial ownership of the shares held by the Managed Accounts. The Managed Accounts disclaim beneficial ownership of the shares held by the Fund.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Ikarian Capital, LLC, 100 Crescent Court, Suite 1620,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pages(s) hereto.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page(s) hereto.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information set forth in Item 2(a)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Ikarian Capital, LLC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Neil Shahrestani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Neil Shahrestani, Sole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Neil Shahrestani</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Neil Shahrestani</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Neil Shahrestani</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 Joint Filing Agreement is incorporated herein by reference to Exhibit 99.1 to the Schedule 13G filed on October 7, 2025 by the Reporting Persons with the SEC.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1695</Words>
  <Characters>8511</Characters>
  <CharactersWithSpaces>10180</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