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0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218440</wp:posOffset>
            </wp:positionH>
            <wp:positionV relativeFrom="page">
              <wp:posOffset>182880</wp:posOffset>
            </wp:positionV>
            <wp:extent cx="7112635" cy="3937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12635" cy="39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218440</wp:posOffset>
            </wp:positionH>
            <wp:positionV relativeFrom="page">
              <wp:posOffset>254000</wp:posOffset>
            </wp:positionV>
            <wp:extent cx="7112635" cy="1587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12635" cy="15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10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SECURITIES AND EXCHANGE COMMISSION</w:t>
      </w:r>
    </w:p>
    <w:p>
      <w:pPr>
        <w:jc w:val="center"/>
        <w:ind w:right="-110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WASHINGTON, D.C. 20549</w:t>
      </w:r>
    </w:p>
    <w:p>
      <w:pPr>
        <w:spacing w:after="0" w:line="155" w:lineRule="exact"/>
        <w:rPr>
          <w:sz w:val="24"/>
          <w:szCs w:val="24"/>
          <w:color w:val="auto"/>
        </w:rPr>
      </w:pPr>
    </w:p>
    <w:p>
      <w:pPr>
        <w:jc w:val="center"/>
        <w:ind w:right="-110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0"/>
          <w:szCs w:val="30"/>
          <w:b w:val="1"/>
          <w:bCs w:val="1"/>
          <w:color w:val="auto"/>
        </w:rPr>
        <w:t>SCHEDULE 14A INFORMATION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jc w:val="center"/>
        <w:ind w:right="-110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Proxy Statement Pursuant to Section 14(a) of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-110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the Securities Exchange Act of 1934</w:t>
      </w:r>
    </w:p>
    <w:p>
      <w:pPr>
        <w:spacing w:after="0" w:line="158" w:lineRule="exact"/>
        <w:rPr>
          <w:sz w:val="24"/>
          <w:szCs w:val="24"/>
          <w:color w:val="auto"/>
        </w:rPr>
      </w:pPr>
    </w:p>
    <w:p>
      <w:pPr>
        <w:ind w:left="1"/>
        <w:spacing w:after="0" w:line="18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 xml:space="preserve">Filed by the Registrant </w:t>
      </w:r>
      <w:r>
        <w:rPr>
          <w:rFonts w:ascii="MS PGothic" w:cs="MS PGothic" w:eastAsia="MS PGothic" w:hAnsi="MS PGothic"/>
          <w:sz w:val="16"/>
          <w:szCs w:val="16"/>
          <w:color w:val="auto"/>
        </w:rPr>
        <w:t>☒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"/>
        <w:spacing w:after="0" w:line="18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 xml:space="preserve">Filed by a Party other than the Registrant </w:t>
      </w:r>
      <w:r>
        <w:rPr>
          <w:rFonts w:ascii="MS PGothic" w:cs="MS PGothic" w:eastAsia="MS PGothic" w:hAnsi="MS PGothic"/>
          <w:sz w:val="16"/>
          <w:szCs w:val="16"/>
          <w:color w:val="auto"/>
        </w:rPr>
        <w:t>☐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Check the appropriate box:</w:t>
      </w:r>
    </w:p>
    <w:p>
      <w:pPr>
        <w:spacing w:after="0" w:line="198" w:lineRule="exact"/>
        <w:rPr>
          <w:sz w:val="24"/>
          <w:szCs w:val="24"/>
          <w:color w:val="auto"/>
        </w:rPr>
      </w:pPr>
    </w:p>
    <w:p>
      <w:pPr>
        <w:ind w:left="441" w:hanging="441"/>
        <w:spacing w:after="0"/>
        <w:tabs>
          <w:tab w:leader="none" w:pos="441" w:val="left"/>
        </w:tabs>
        <w:numPr>
          <w:ilvl w:val="0"/>
          <w:numId w:val="1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Preliminary Proxy Statement</w:t>
      </w:r>
    </w:p>
    <w:p>
      <w:pPr>
        <w:spacing w:after="0" w:line="211" w:lineRule="exact"/>
        <w:rPr>
          <w:rFonts w:ascii="MS PGothic" w:cs="MS PGothic" w:eastAsia="MS PGothic" w:hAnsi="MS PGothic"/>
          <w:sz w:val="16"/>
          <w:szCs w:val="16"/>
          <w:color w:val="auto"/>
        </w:rPr>
      </w:pPr>
    </w:p>
    <w:p>
      <w:pPr>
        <w:ind w:left="441" w:hanging="441"/>
        <w:spacing w:after="0"/>
        <w:tabs>
          <w:tab w:leader="none" w:pos="441" w:val="left"/>
        </w:tabs>
        <w:numPr>
          <w:ilvl w:val="0"/>
          <w:numId w:val="1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Confidential, for Use of the Commission Only (as permitted by Rule 14a-6(e)(2))</w:t>
      </w:r>
    </w:p>
    <w:p>
      <w:pPr>
        <w:spacing w:after="0" w:line="211" w:lineRule="exact"/>
        <w:rPr>
          <w:rFonts w:ascii="MS PGothic" w:cs="MS PGothic" w:eastAsia="MS PGothic" w:hAnsi="MS PGothic"/>
          <w:sz w:val="16"/>
          <w:szCs w:val="16"/>
          <w:color w:val="auto"/>
        </w:rPr>
      </w:pPr>
    </w:p>
    <w:p>
      <w:pPr>
        <w:ind w:left="441" w:hanging="441"/>
        <w:spacing w:after="0"/>
        <w:tabs>
          <w:tab w:leader="none" w:pos="441" w:val="left"/>
        </w:tabs>
        <w:numPr>
          <w:ilvl w:val="0"/>
          <w:numId w:val="1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Definitive Proxy Statement</w:t>
      </w: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ind w:left="441" w:hanging="441"/>
        <w:spacing w:after="0"/>
        <w:tabs>
          <w:tab w:leader="none" w:pos="441" w:val="left"/>
        </w:tabs>
        <w:numPr>
          <w:ilvl w:val="0"/>
          <w:numId w:val="2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Definitive Additional Materials</w:t>
      </w: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ind w:left="441" w:hanging="441"/>
        <w:spacing w:after="0"/>
        <w:tabs>
          <w:tab w:leader="none" w:pos="441" w:val="left"/>
        </w:tabs>
        <w:numPr>
          <w:ilvl w:val="0"/>
          <w:numId w:val="3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Soliciting Material Pursuant to Rule 14a-12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jc w:val="center"/>
        <w:ind w:right="-110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0"/>
          <w:szCs w:val="30"/>
          <w:b w:val="1"/>
          <w:bCs w:val="1"/>
          <w:color w:val="auto"/>
        </w:rPr>
        <w:t>TENAX THERAPEUTICS, INC.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1790065</wp:posOffset>
            </wp:positionH>
            <wp:positionV relativeFrom="paragraph">
              <wp:posOffset>17780</wp:posOffset>
            </wp:positionV>
            <wp:extent cx="3571875" cy="76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187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jc w:val="center"/>
        <w:ind w:right="-110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(Name of Registrant as Specified In Its Charter)</w:t>
      </w:r>
    </w:p>
    <w:p>
      <w:pPr>
        <w:spacing w:after="0" w:line="194" w:lineRule="exact"/>
        <w:rPr>
          <w:sz w:val="24"/>
          <w:szCs w:val="24"/>
          <w:color w:val="auto"/>
        </w:rPr>
      </w:pPr>
    </w:p>
    <w:p>
      <w:pPr>
        <w:jc w:val="center"/>
        <w:ind w:right="-110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u w:val="single" w:color="auto"/>
          <w:color w:val="auto"/>
        </w:rPr>
        <w:t>Not Applicable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jc w:val="center"/>
        <w:ind w:right="-110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(Name of Person(s) Filing Proxy Statement if other than the Registrant)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Payment of Filing Fee (Check all boxes that apply):</w:t>
      </w: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ind w:left="441" w:hanging="441"/>
        <w:spacing w:after="0"/>
        <w:tabs>
          <w:tab w:leader="none" w:pos="441" w:val="left"/>
        </w:tabs>
        <w:numPr>
          <w:ilvl w:val="0"/>
          <w:numId w:val="4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No fee required.</w:t>
      </w: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ind w:left="441" w:hanging="441"/>
        <w:spacing w:after="0"/>
        <w:tabs>
          <w:tab w:leader="none" w:pos="441" w:val="left"/>
        </w:tabs>
        <w:numPr>
          <w:ilvl w:val="0"/>
          <w:numId w:val="5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Fee paid previously with preliminary materials.</w:t>
      </w:r>
    </w:p>
    <w:p>
      <w:pPr>
        <w:spacing w:after="0" w:line="211" w:lineRule="exact"/>
        <w:rPr>
          <w:rFonts w:ascii="MS PGothic" w:cs="MS PGothic" w:eastAsia="MS PGothic" w:hAnsi="MS PGothic"/>
          <w:sz w:val="16"/>
          <w:szCs w:val="16"/>
          <w:color w:val="auto"/>
        </w:rPr>
      </w:pPr>
    </w:p>
    <w:p>
      <w:pPr>
        <w:ind w:left="441" w:hanging="441"/>
        <w:spacing w:after="0"/>
        <w:tabs>
          <w:tab w:leader="none" w:pos="441" w:val="left"/>
        </w:tabs>
        <w:numPr>
          <w:ilvl w:val="0"/>
          <w:numId w:val="5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Fee computed on table in exhibit required by Item 25(b) per Exchange Act Rules 14a-6(i)(1) and 0-11.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15875</wp:posOffset>
            </wp:positionH>
            <wp:positionV relativeFrom="paragraph">
              <wp:posOffset>173990</wp:posOffset>
            </wp:positionV>
            <wp:extent cx="7112635" cy="158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12635" cy="15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15875</wp:posOffset>
            </wp:positionH>
            <wp:positionV relativeFrom="paragraph">
              <wp:posOffset>220980</wp:posOffset>
            </wp:positionV>
            <wp:extent cx="7112635" cy="39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12635" cy="39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40"/>
          </w:cols>
          <w:pgMar w:left="319" w:top="621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202565</wp:posOffset>
            </wp:positionH>
            <wp:positionV relativeFrom="page">
              <wp:posOffset>88900</wp:posOffset>
            </wp:positionV>
            <wp:extent cx="7201535" cy="97110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1535" cy="9711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202565</wp:posOffset>
            </wp:positionH>
            <wp:positionV relativeFrom="page">
              <wp:posOffset>88900</wp:posOffset>
            </wp:positionV>
            <wp:extent cx="7201535" cy="97110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1535" cy="9711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2023-10-27T07:19:15Z</dcterms:created>
  <dcterms:modified xsi:type="dcterms:W3CDTF">2023-10-27T07:19:15Z</dcterms:modified>
</cp:coreProperties>
</file>