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ind w:left="3360" w:right="1860" w:hanging="3352"/>
        <w:spacing w:after="0" w:line="422"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2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4161155</wp:posOffset>
            </wp:positionH>
            <wp:positionV relativeFrom="paragraph">
              <wp:posOffset>-10160</wp:posOffset>
            </wp:positionV>
            <wp:extent cx="909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001-34600</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 INC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3"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26-2593535</w:t>
      </w:r>
    </w:p>
    <w:p>
      <w:pPr>
        <w:spacing w:after="0" w:line="21"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20" w:space="720"/>
            <w:col w:w="4100"/>
          </w:cols>
          <w:pgMar w:left="320" w:top="693" w:right="3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Copley Parkway, Suite 490, Morrisville, North Carolina 27560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855-2100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760" w:type="dxa"/>
            <w:vAlign w:val="bottom"/>
            <w:gridSpan w:val="2"/>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0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center"/>
              <w:ind w:right="932"/>
              <w:spacing w:after="0"/>
              <w:rPr>
                <w:sz w:val="20"/>
                <w:szCs w:val="20"/>
                <w:color w:val="auto"/>
              </w:rPr>
            </w:pPr>
            <w:r>
              <w:rPr>
                <w:rFonts w:ascii="Arial" w:cs="Arial" w:eastAsia="Arial" w:hAnsi="Arial"/>
                <w:sz w:val="18"/>
                <w:szCs w:val="18"/>
                <w:color w:val="auto"/>
                <w:w w:val="89"/>
              </w:rPr>
              <w:t>Trading Symbol(s)</w:t>
            </w: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Common Stock, $0.0001 par value per share</w:t>
            </w:r>
          </w:p>
        </w:tc>
        <w:tc>
          <w:tcPr>
            <w:tcW w:w="100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jc w:val="center"/>
              <w:ind w:right="932"/>
              <w:spacing w:after="0"/>
              <w:rPr>
                <w:sz w:val="20"/>
                <w:szCs w:val="20"/>
                <w:color w:val="auto"/>
              </w:rPr>
            </w:pPr>
            <w:r>
              <w:rPr>
                <w:rFonts w:ascii="Arial" w:cs="Arial" w:eastAsia="Arial" w:hAnsi="Arial"/>
                <w:sz w:val="18"/>
                <w:szCs w:val="18"/>
                <w:color w:val="auto"/>
                <w:w w:val="99"/>
              </w:rPr>
              <w:t>TENX</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4741545</wp:posOffset>
            </wp:positionH>
            <wp:positionV relativeFrom="paragraph">
              <wp:posOffset>-329565</wp:posOffset>
            </wp:positionV>
            <wp:extent cx="2408555" cy="18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187960"/>
                    </a:xfrm>
                    <a:prstGeom prst="rect">
                      <a:avLst/>
                    </a:prstGeom>
                    <a:noFill/>
                  </pic:spPr>
                </pic:pic>
              </a:graphicData>
            </a:graphic>
          </wp:anchor>
        </w:drawing>
      </w:r>
    </w:p>
    <w:p>
      <w:pPr>
        <w:spacing w:after="0" w:line="215" w:lineRule="exact"/>
        <w:rPr>
          <w:sz w:val="24"/>
          <w:szCs w:val="24"/>
          <w:color w:val="auto"/>
        </w:rPr>
      </w:pPr>
    </w:p>
    <w:p>
      <w:pPr>
        <w:ind w:right="80" w:firstLine="48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86"/>
        <w:spacing w:after="0" w:line="22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firstLine="48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90" w:lineRule="exact"/>
        <w:rPr>
          <w:sz w:val="24"/>
          <w:szCs w:val="24"/>
          <w:color w:val="auto"/>
        </w:rPr>
      </w:pPr>
    </w:p>
    <w:p>
      <w:pPr>
        <w:ind w:right="280" w:firstLine="48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ind w:left="500" w:right="1300"/>
        <w:spacing w:after="0" w:line="310"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13, 2021, the registrant had outstanding 14,969,312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40" w:type="dxa"/>
            <w:vAlign w:val="bottom"/>
            <w:gridSpan w:val="8"/>
          </w:tcPr>
          <w:p>
            <w:pPr>
              <w:ind w:left="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3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196"/>
        </w:trPr>
        <w:tc>
          <w:tcPr>
            <w:tcW w:w="30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46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5"/>
        </w:trPr>
        <w:tc>
          <w:tcPr>
            <w:tcW w:w="136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2021 (Unaudited) and December 31, 2020</w:t>
              </w:r>
            </w:hyperlink>
          </w:p>
        </w:tc>
        <w:tc>
          <w:tcPr>
            <w:tcW w:w="208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176"/>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100" w:type="dxa"/>
            <w:vAlign w:val="bottom"/>
            <w:gridSpan w:val="15"/>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Loss (Unaudited) for the Three Months Ended March 31, 2021 and 2020</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90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 (Unaudited) for the Three Months Ended March 31, 2021 and 2020</w:t>
              </w:r>
            </w:hyperlink>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175"/>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100" w:type="dxa"/>
            <w:vAlign w:val="bottom"/>
            <w:gridSpan w:val="15"/>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(Unaudited) for the Three Months Ended March 31, 2021 and 2020</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10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100" w:type="dxa"/>
            <w:vAlign w:val="bottom"/>
            <w:gridSpan w:val="15"/>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36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100" w:type="dxa"/>
            <w:vAlign w:val="bottom"/>
            <w:gridSpan w:val="15"/>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100" w:type="dxa"/>
            <w:vAlign w:val="bottom"/>
            <w:gridSpan w:val="1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18"/>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80" w:type="dxa"/>
            <w:vAlign w:val="bottom"/>
          </w:tcPr>
          <w:p>
            <w:pPr>
              <w:spacing w:after="0"/>
              <w:rPr>
                <w:sz w:val="15"/>
                <w:szCs w:val="15"/>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36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10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36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10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55"/>
        </w:trPr>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758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PART I - FINANCIAL INFORMATION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TENAX THERAPEUTICS, INC.</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7"/>
        </w:trPr>
        <w:tc>
          <w:tcPr>
            <w:tcW w:w="11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11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2021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r>
      <w:tr>
        <w:trPr>
          <w:trHeight w:val="216"/>
        </w:trPr>
        <w:tc>
          <w:tcPr>
            <w:tcW w:w="1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1100" w:type="dxa"/>
            <w:vAlign w:val="bottom"/>
            <w:shd w:val="clear" w:color="auto" w:fill="CCEEFF"/>
          </w:tcPr>
          <w:p>
            <w:pPr>
              <w:spacing w:after="0"/>
              <w:rPr>
                <w:sz w:val="21"/>
                <w:szCs w:val="21"/>
                <w:color w:val="auto"/>
              </w:rPr>
            </w:pPr>
          </w:p>
        </w:tc>
        <w:tc>
          <w:tcPr>
            <w:tcW w:w="7580" w:type="dxa"/>
            <w:vAlign w:val="bottom"/>
            <w:shd w:val="clear" w:color="auto" w:fill="CCEEFF"/>
          </w:tcPr>
          <w:p>
            <w:pPr>
              <w:jc w:val="center"/>
              <w:ind w:right="1132"/>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1100" w:type="dxa"/>
            <w:vAlign w:val="bottom"/>
          </w:tcPr>
          <w:p>
            <w:pPr>
              <w:spacing w:after="0"/>
              <w:rPr>
                <w:sz w:val="20"/>
                <w:szCs w:val="20"/>
                <w:color w:val="auto"/>
              </w:rPr>
            </w:pPr>
            <w:r>
              <w:rPr>
                <w:rFonts w:ascii="Arial" w:cs="Arial" w:eastAsia="Arial" w:hAnsi="Arial"/>
                <w:sz w:val="18"/>
                <w:szCs w:val="18"/>
                <w:color w:val="auto"/>
                <w:w w:val="92"/>
              </w:rPr>
              <w:t>Current assets</w:t>
            </w:r>
          </w:p>
        </w:tc>
        <w:tc>
          <w:tcPr>
            <w:tcW w:w="7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3,536,787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6,250,241</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494,877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462,687</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82,578</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4,517,599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6,795,506</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58,778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5,972</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8,435</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Total assets</w:t>
            </w:r>
          </w:p>
        </w:tc>
        <w:tc>
          <w:tcPr>
            <w:tcW w:w="7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4,560,561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6,868,691</w:t>
            </w:r>
          </w:p>
        </w:tc>
      </w:tr>
      <w:tr>
        <w:trPr>
          <w:trHeight w:val="21"/>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1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7580" w:type="dxa"/>
            <w:vAlign w:val="bottom"/>
          </w:tcPr>
          <w:p>
            <w:pPr>
              <w:jc w:val="center"/>
              <w:ind w:right="113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997,443</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757,856</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1,240,616</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Note payable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120,491</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2,118,963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124,166</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long term liabilities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124,166</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liabilities</w:t>
            </w: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2,243,129</w:t>
            </w: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Preferred stock, undesignated, authorized 9,989,558 shares; See Note 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Series A Preferred stock, par value $.0001, issued 5,181,346 shares; outstanding 210, respectively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00"/>
              <w:spacing w:after="0"/>
              <w:rPr>
                <w:sz w:val="20"/>
                <w:szCs w:val="20"/>
                <w:color w:val="auto"/>
              </w:rPr>
            </w:pPr>
            <w:r>
              <w:rPr>
                <w:rFonts w:ascii="Arial" w:cs="Arial" w:eastAsia="Arial" w:hAnsi="Arial"/>
                <w:sz w:val="18"/>
                <w:szCs w:val="18"/>
                <w:color w:val="auto"/>
              </w:rPr>
              <w:t>Series B Preferred stock, par value $.0001, issued 10,232 shares; outstanding 10,232 and 0, respectively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Common stock, par value $.0001 per share; authorized 400,000,000 shares; issued and outstanding 14,969,312 and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12,619,369, respectively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272,862,552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250,644,197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(269,767,967)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(246,019,827)</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3,095,681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4,625,562</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4,560,561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6,868,691</w:t>
            </w:r>
          </w:p>
        </w:tc>
      </w:tr>
      <w:tr>
        <w:trPr>
          <w:trHeight w:val="21"/>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23"/>
        </w:trPr>
        <w:tc>
          <w:tcPr>
            <w:tcW w:w="7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33"/>
        </w:trPr>
        <w:tc>
          <w:tcPr>
            <w:tcW w:w="7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(Unaudited)</w:t>
            </w:r>
          </w:p>
        </w:tc>
      </w:tr>
      <w:tr>
        <w:trPr>
          <w:trHeight w:val="226"/>
        </w:trPr>
        <w:tc>
          <w:tcPr>
            <w:tcW w:w="7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0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1,373,460</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1,322,959</w:t>
            </w:r>
          </w:p>
        </w:tc>
      </w:tr>
      <w:tr>
        <w:trPr>
          <w:trHeight w:val="216"/>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22,376,202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1,342,526</w:t>
            </w:r>
          </w:p>
        </w:tc>
      </w:tr>
      <w:tr>
        <w:trPr>
          <w:trHeight w:val="27"/>
        </w:trPr>
        <w:tc>
          <w:tcPr>
            <w:tcW w:w="70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23,749,662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2,665,485</w:t>
            </w:r>
          </w:p>
        </w:tc>
      </w:tr>
      <w:tr>
        <w:trPr>
          <w:trHeight w:val="216"/>
        </w:trPr>
        <w:tc>
          <w:tcPr>
            <w:tcW w:w="7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23,749,662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2,665,485</w:t>
            </w:r>
          </w:p>
        </w:tc>
      </w:tr>
      <w:tr>
        <w:trPr>
          <w:trHeight w:val="216"/>
        </w:trPr>
        <w:tc>
          <w:tcPr>
            <w:tcW w:w="7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(10,841)</w:t>
            </w:r>
          </w:p>
        </w:tc>
      </w:tr>
      <w:tr>
        <w:trPr>
          <w:trHeight w:val="27"/>
        </w:trPr>
        <w:tc>
          <w:tcPr>
            <w:tcW w:w="70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23,748,140</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2,654,644</w:t>
            </w:r>
          </w:p>
        </w:tc>
      </w:tr>
      <w:tr>
        <w:trPr>
          <w:trHeight w:val="21"/>
        </w:trPr>
        <w:tc>
          <w:tcPr>
            <w:tcW w:w="7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1,622</w:t>
            </w:r>
          </w:p>
        </w:tc>
      </w:tr>
      <w:tr>
        <w:trPr>
          <w:trHeight w:val="27"/>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23,748,472</w:t>
            </w: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2,656,266</w:t>
            </w:r>
          </w:p>
        </w:tc>
      </w:tr>
      <w:tr>
        <w:trPr>
          <w:trHeight w:val="209"/>
        </w:trPr>
        <w:tc>
          <w:tcPr>
            <w:tcW w:w="70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14,515,088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6,974,387</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5"/>
                <w:szCs w:val="15"/>
                <w:b w:val="1"/>
                <w:bCs w:val="1"/>
                <w:color w:val="auto"/>
              </w:rPr>
              <w:t>Preferred Stock</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center"/>
              <w:ind w:right="26"/>
              <w:spacing w:after="0"/>
              <w:rPr>
                <w:sz w:val="20"/>
                <w:szCs w:val="20"/>
                <w:color w:val="auto"/>
              </w:rPr>
            </w:pPr>
            <w:r>
              <w:rPr>
                <w:rFonts w:ascii="Arial" w:cs="Arial" w:eastAsia="Arial" w:hAnsi="Arial"/>
                <w:sz w:val="15"/>
                <w:szCs w:val="15"/>
                <w:b w:val="1"/>
                <w:bCs w:val="1"/>
                <w:color w:val="auto"/>
                <w:w w:val="92"/>
              </w:rPr>
              <w:t>Additional</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Number of</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paid-in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4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6"/>
              <w:spacing w:after="0"/>
              <w:rPr>
                <w:sz w:val="20"/>
                <w:szCs w:val="20"/>
                <w:color w:val="auto"/>
              </w:rPr>
            </w:pPr>
            <w:r>
              <w:rPr>
                <w:rFonts w:ascii="Arial" w:cs="Arial" w:eastAsia="Arial" w:hAnsi="Arial"/>
                <w:sz w:val="15"/>
                <w:szCs w:val="15"/>
                <w:b w:val="1"/>
                <w:bCs w:val="1"/>
                <w:color w:val="auto"/>
                <w:w w:val="92"/>
              </w:rPr>
              <w:t>capital</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2019</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6"/>
              <w:spacing w:after="0" w:line="162" w:lineRule="exact"/>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6,741,860</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239,939,797</w:t>
            </w:r>
          </w:p>
        </w:tc>
        <w:tc>
          <w:tcPr>
            <w:tcW w:w="500" w:type="dxa"/>
            <w:vAlign w:val="bottom"/>
            <w:gridSpan w:val="2"/>
            <w:shd w:val="clear" w:color="auto" w:fill="CCEEFF"/>
          </w:tcPr>
          <w:p>
            <w:pPr>
              <w:jc w:val="right"/>
              <w:ind w:right="146"/>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458</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(236,168,436)</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3,772,497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Common stock and pre-funded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warrants sold, net of offering costs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750,000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2,129,930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2,130,005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Compensation on options issued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72,376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72,376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77,987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99,992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(38,396)</w:t>
            </w:r>
          </w:p>
        </w:tc>
        <w:tc>
          <w:tcPr>
            <w:tcW w:w="7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(4)</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38,396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Exercise of pre-funded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(1,622)</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(1,622)</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(2,654,644)</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(2,654,644)</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March 31, 2020</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6"/>
              <w:spacing w:after="0" w:line="162" w:lineRule="exact"/>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8,008,243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242,242,095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(1,164)</w:t>
            </w: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(238,823,080)</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3,418,652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2020</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6"/>
              <w:spacing w:after="0" w:line="162" w:lineRule="exact"/>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12,619,369</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1,262</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250,644,197</w:t>
            </w:r>
          </w:p>
        </w:tc>
        <w:tc>
          <w:tcPr>
            <w:tcW w:w="500" w:type="dxa"/>
            <w:vAlign w:val="bottom"/>
            <w:gridSpan w:val="2"/>
            <w:shd w:val="clear" w:color="auto" w:fill="CCEEFF"/>
          </w:tcPr>
          <w:p>
            <w:pPr>
              <w:jc w:val="right"/>
              <w:ind w:right="146"/>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(70)</w:t>
            </w: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(246,019,827)</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4,625,562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Common stock and preferred stock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issued for asset acquisition</w:t>
            </w: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10,232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1,892,905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21,582,141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w w:val="98"/>
              </w:rPr>
              <w:t>21,582,331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Compensation on options issued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91,609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91,609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Exercise of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457,038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544,605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544,651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(332)</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(23,748,140)</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4"/>
              </w:rPr>
              <w:t>(23,748,140)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March 31, 2021</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10,442</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6"/>
              <w:spacing w:after="0" w:line="162" w:lineRule="exact"/>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14,969,312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1,497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272,862,552</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(402)</w:t>
            </w: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(269,767,967)</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3,095,681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23"/>
        </w:trPr>
        <w:tc>
          <w:tcPr>
            <w:tcW w:w="7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33"/>
        </w:trPr>
        <w:tc>
          <w:tcPr>
            <w:tcW w:w="7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(Unaudited)</w:t>
            </w:r>
          </w:p>
        </w:tc>
      </w:tr>
      <w:tr>
        <w:trPr>
          <w:trHeight w:val="226"/>
        </w:trPr>
        <w:tc>
          <w:tcPr>
            <w:tcW w:w="7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(23,748,140)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(2,654,644)</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debt instrument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Amortization of right of use asset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26,841</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Issuance and vesting of compensatory stock options and warrants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72,376</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services rendered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Amortization of premium on marketable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Accounts receivable, prepaid expenses and other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(403,357)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(85,192)</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(26,945)</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Long term portion of lease liability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(29,636)</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(3,221,141)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(2,671,029)</w:t>
            </w:r>
          </w:p>
        </w:tc>
      </w:tr>
      <w:tr>
        <w:trPr>
          <w:trHeight w:val="216"/>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(227,148)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(146,298)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139,968</w:t>
            </w:r>
          </w:p>
        </w:tc>
      </w:tr>
      <w:tr>
        <w:trPr>
          <w:trHeight w:val="27"/>
        </w:trPr>
        <w:tc>
          <w:tcPr>
            <w:tcW w:w="7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46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(6,330)</w:t>
            </w:r>
          </w:p>
        </w:tc>
      </w:tr>
      <w:tr>
        <w:trPr>
          <w:trHeight w:val="216"/>
        </w:trPr>
        <w:tc>
          <w:tcPr>
            <w:tcW w:w="7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pre-funded warrants, net of issuance costs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2,130,005</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2,130,045</w:t>
            </w:r>
          </w:p>
        </w:tc>
      </w:tr>
      <w:tr>
        <w:trPr>
          <w:trHeight w:val="216"/>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(2,713,454)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(547,314)</w:t>
            </w:r>
          </w:p>
        </w:tc>
      </w:tr>
      <w:tr>
        <w:trPr>
          <w:trHeight w:val="27"/>
        </w:trPr>
        <w:tc>
          <w:tcPr>
            <w:tcW w:w="7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6,250,241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4,905,993</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3,536,787</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4,358,679</w:t>
            </w: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As further discussed in Note 7 below,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0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October 9, 2020, the Company entered into an Amendment (the “Amendment”) to the License between the Company and Orion Corporation, a global healthcare company incorporated under the laws of Finland (“Orion”),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 The Company intends to conduct an upcoming Phase 3 study in pulmonary hypertension patients utilizing one of these oral formulations.</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15, 2021, the Company, Life Newco II, Inc., a Delaware corporation and a wholly-owned, direct subsidiary of the Company (“Life Newco II”), PHPrecisionMed Inc., a Delaware corporation (“PHPM,”) and Dr. Stuart Rich, solely in his capacity as holders’ representative (in such capacity, the “Representative”), entered into an Agreement and Plan of Merger, dated January 15, 2021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(the “Merger”). On January 15, 2021, the Company completed the acquisition contemplated by the Merger Agreement (the “Acquisition”). As a result of the Acquisition the Company intends to develop pharmaceutical products containing imatinib for the treatment of pulmonary arterial hypertension in the United States and the rest of the world.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accompanying unaudited condensed consolidated financial statements include all adjustments (consisting of normal and recurring adjustments) necessary for a fair presentation of these financial statements. The condensed consolidated balance sheet on December 31, 2020 has been derived from the Company’s audited consolidated financial statements included in its Annual Report on Form 10-K for the period ended December 31, 2020. Certain footnote disclosures normally included in financial statements prepared in accordance with accounting principles generally accepted in the United States (“GAAP”) have been condensed or omitted pursuant to Article 8 of Regulation S-X of the Securities and Exchange Commission (“SEC”) rules and regulations. Operating results for the three-month period ended March 31, 2021 are not necessarily indicative of results for the full year or any other future periods. As such, it is suggested that these condensed consolidated financial statements be read in conjunction with the consolidated financial statements and notes thereto included in the Company’s Annual Report on Form 10-K for the year ended December 31, 2020.</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Management believes the accompanying condensed consolidated financial statements have been prepared in conformity with GAAP, which contemplate continuation of the Company as a going concern. The Company has an accumulated deficit of $270 million on March 31, 2021 and $246 million on December 31, 2020 and used cash in operations of $3.2 million and $2.7 million during the three months ended March 31, 2021 and 2020,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March 31, 2021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preparing the unaudited condensed consolidated financial statements, management is required to make estimates and assumptions that affect the reported amounts of assets and liabilities, the disclosure of contingent assets and liabilities at the dates of the unaudited condensed consolidated financial statements and the reported amounts of revenue and expenses during the reporting periods. Actual results could differ from these estimates and the operating results for the interim periods presented are not necessarily indicative of the results expected for the full year.</w:t>
      </w:r>
    </w:p>
    <w:p>
      <w:pPr>
        <w:spacing w:after="0" w:line="9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and transactions of the Company, Life Newco and Life Newco II.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3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31, 2021, the Company had cash and cash equivalents, including the fair value of its marketable securities, of approximately $4.0 million. The Company used $3.2 million of cash for operating activities during the three months ended March 31, 2021 and had stockholders’ equity of $3.1 million, versus $4.6 million on December 31, 2020.</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expects to continue to incur expenses related to development of levosimendan for pulmonary hypertension and other potential indications, as well as identifying and developing other potential product candidates. Based on its resources on March 31, 2021, the Company believes that it has sufficient capital to fund its planned operations through the third quarter of calendar year 2021.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COVID-19 Impact and Related Risks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continued spread of COVID-19 globally could adversely affect the Company’s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the Company’s ability to initiate and/or complete planned clinical and preclinical studies in the future.</w:t>
      </w:r>
    </w:p>
    <w:p>
      <w:pPr>
        <w:spacing w:after="0" w:line="99"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auto"/>
        </w:rPr>
        <w:t>The full extent to which the COVID-19 pandemic and the various responses to it might impact the Company’s business, operations and financial results will depend on numerous evolving factors that are not subject to accurate prediction and that are beyond the Company’s control.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Basic net loss per share, which excludes antidilutive securities, is computed by dividing net loss by the weighted-average number of common shares outstanding for that particular period. In contrast, diluted net loss per share considers the potential dilution that could occur from other equity instruments that would increase the total number of outstanding shares of common stock. Such amounts include shares potentially issuable under outstanding options, convertible preferred shares and warrants.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4"/>
          </w:tcPr>
          <w:p>
            <w:pPr>
              <w:jc w:val="right"/>
              <w:ind w:right="340"/>
              <w:spacing w:after="0"/>
              <w:rPr>
                <w:sz w:val="20"/>
                <w:szCs w:val="20"/>
                <w:color w:val="auto"/>
              </w:rPr>
            </w:pPr>
            <w:r>
              <w:rPr>
                <w:rFonts w:ascii="Arial" w:cs="Arial" w:eastAsia="Arial" w:hAnsi="Arial"/>
                <w:sz w:val="15"/>
                <w:szCs w:val="15"/>
                <w:b w:val="1"/>
                <w:bCs w:val="1"/>
                <w:color w:val="auto"/>
                <w:w w:val="99"/>
              </w:rPr>
              <w:t>Three months ended March 31,</w:t>
            </w:r>
          </w:p>
        </w:tc>
      </w:tr>
      <w:tr>
        <w:trPr>
          <w:trHeight w:val="223"/>
        </w:trPr>
        <w:tc>
          <w:tcPr>
            <w:tcW w:w="8680" w:type="dxa"/>
            <w:vAlign w:val="bottom"/>
          </w:tcPr>
          <w:p>
            <w:pPr>
              <w:spacing w:after="0"/>
              <w:rPr>
                <w:sz w:val="19"/>
                <w:szCs w:val="19"/>
                <w:color w:val="auto"/>
              </w:rPr>
            </w:pPr>
          </w:p>
        </w:tc>
        <w:tc>
          <w:tcPr>
            <w:tcW w:w="1080" w:type="dxa"/>
            <w:vAlign w:val="bottom"/>
            <w:tcBorders>
              <w:top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2021</w:t>
            </w:r>
          </w:p>
        </w:tc>
        <w:tc>
          <w:tcPr>
            <w:tcW w:w="13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43"/>
        </w:trPr>
        <w:tc>
          <w:tcPr>
            <w:tcW w:w="86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21,057,508</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14,362,007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751,137</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581,694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Company’s adoption of this standard did not have a material impact on its consolidated financial statements.</w:t>
      </w:r>
    </w:p>
    <w:p>
      <w:pPr>
        <w:spacing w:after="0" w:line="99"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FAIR VALUE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to approximate fair value due to the short-term nature of these instruments.</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73025</wp:posOffset>
            </wp:positionV>
            <wp:extent cx="565721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215" cy="325755"/>
                    </a:xfrm>
                    <a:prstGeom prst="rect">
                      <a:avLst/>
                    </a:prstGeom>
                    <a:noFill/>
                  </pic:spPr>
                </pic:pic>
              </a:graphicData>
            </a:graphic>
          </wp:anchor>
        </w:drawing>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400" w:type="dxa"/>
            <w:vAlign w:val="bottom"/>
            <w:tcBorders>
              <w:top w:val="single" w:sz="8" w:color="BFBFBF"/>
              <w:left w:val="single" w:sz="8" w:color="BFBFBF"/>
            </w:tcBorders>
          </w:tcPr>
          <w:p>
            <w:pPr>
              <w:ind w:left="20"/>
              <w:spacing w:after="0"/>
              <w:rPr>
                <w:sz w:val="20"/>
                <w:szCs w:val="20"/>
                <w:color w:val="auto"/>
              </w:rPr>
            </w:pPr>
            <w:r>
              <w:rPr>
                <w:rFonts w:ascii="Arial" w:cs="Arial" w:eastAsia="Arial" w:hAnsi="Arial"/>
                <w:sz w:val="18"/>
                <w:szCs w:val="18"/>
                <w:color w:val="auto"/>
              </w:rPr>
              <w:t>Level one</w:t>
            </w:r>
          </w:p>
        </w:tc>
        <w:tc>
          <w:tcPr>
            <w:tcW w:w="8840" w:type="dxa"/>
            <w:vAlign w:val="bottom"/>
            <w:gridSpan w:val="2"/>
          </w:tcPr>
          <w:p>
            <w:pPr>
              <w:spacing w:after="0"/>
              <w:rPr>
                <w:sz w:val="20"/>
                <w:szCs w:val="20"/>
                <w:color w:val="auto"/>
              </w:rPr>
            </w:pPr>
            <w:r>
              <w:rPr>
                <w:rFonts w:ascii="Arial" w:cs="Arial" w:eastAsia="Arial" w:hAnsi="Arial"/>
                <w:sz w:val="18"/>
                <w:szCs w:val="18"/>
                <w:color w:val="auto"/>
              </w:rPr>
              <w:t>Quoted market prices in active markets for identical assets or liabilities;</w:t>
            </w:r>
          </w:p>
        </w:tc>
        <w:tc>
          <w:tcPr>
            <w:tcW w:w="0" w:type="dxa"/>
            <w:vAlign w:val="bottom"/>
          </w:tcPr>
          <w:p>
            <w:pPr>
              <w:spacing w:after="0"/>
              <w:rPr>
                <w:sz w:val="1"/>
                <w:szCs w:val="1"/>
                <w:color w:val="auto"/>
              </w:rPr>
            </w:pPr>
          </w:p>
        </w:tc>
      </w:tr>
      <w:tr>
        <w:trPr>
          <w:trHeight w:val="217"/>
        </w:trPr>
        <w:tc>
          <w:tcPr>
            <w:tcW w:w="2400" w:type="dxa"/>
            <w:vAlign w:val="bottom"/>
            <w:tcBorders>
              <w:left w:val="single" w:sz="8" w:color="BFBFBF"/>
              <w:bottom w:val="single" w:sz="8" w:color="BFBFBF"/>
            </w:tcBorders>
          </w:tcPr>
          <w:p>
            <w:pPr>
              <w:spacing w:after="0"/>
              <w:rPr>
                <w:sz w:val="18"/>
                <w:szCs w:val="18"/>
                <w:color w:val="auto"/>
              </w:rPr>
            </w:pPr>
          </w:p>
        </w:tc>
        <w:tc>
          <w:tcPr>
            <w:tcW w:w="8820" w:type="dxa"/>
            <w:vAlign w:val="bottom"/>
            <w:vMerge w:val="restart"/>
          </w:tcPr>
          <w:p>
            <w:pPr>
              <w:spacing w:after="0"/>
              <w:rPr>
                <w:sz w:val="20"/>
                <w:szCs w:val="20"/>
                <w:color w:val="auto"/>
              </w:rPr>
            </w:pPr>
            <w:r>
              <w:rPr>
                <w:rFonts w:ascii="Arial" w:cs="Arial" w:eastAsia="Arial" w:hAnsi="Arial"/>
                <w:sz w:val="18"/>
                <w:szCs w:val="18"/>
                <w:color w:val="auto"/>
              </w:rPr>
              <w:t>Inputs other than level one inputs that are either directly or indirectly observable;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Level two</w:t>
            </w:r>
          </w:p>
        </w:tc>
        <w:tc>
          <w:tcPr>
            <w:tcW w:w="8820" w:type="dxa"/>
            <w:vAlign w:val="bottom"/>
            <w:vMerge w:val="continue"/>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0" w:type="dxa"/>
            <w:vAlign w:val="bottom"/>
            <w:tcBorders>
              <w:left w:val="single" w:sz="8" w:color="BFBFBF"/>
              <w:bottom w:val="single" w:sz="8" w:color="BFBFBF"/>
              <w:right w:val="single" w:sz="8" w:color="BFBFBF"/>
            </w:tcBorders>
          </w:tcPr>
          <w:p>
            <w:pPr>
              <w:spacing w:after="0"/>
              <w:rPr>
                <w:sz w:val="18"/>
                <w:szCs w:val="18"/>
                <w:color w:val="auto"/>
              </w:rPr>
            </w:pPr>
          </w:p>
        </w:tc>
        <w:tc>
          <w:tcPr>
            <w:tcW w:w="8820" w:type="dxa"/>
            <w:vAlign w:val="bottom"/>
            <w:tcBorders>
              <w:bottom w:val="single" w:sz="8" w:color="BFBFBF"/>
            </w:tcBorders>
          </w:tcPr>
          <w:p>
            <w:pPr>
              <w:spacing w:after="0"/>
              <w:rPr>
                <w:sz w:val="18"/>
                <w:szCs w:val="18"/>
                <w:color w:val="auto"/>
              </w:rPr>
            </w:pPr>
          </w:p>
        </w:tc>
        <w:tc>
          <w:tcPr>
            <w:tcW w:w="20" w:type="dxa"/>
            <w:vAlign w:val="bottom"/>
            <w:tcBorders>
              <w:bottom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Level three</w:t>
            </w:r>
          </w:p>
        </w:tc>
        <w:tc>
          <w:tcPr>
            <w:tcW w:w="8820" w:type="dxa"/>
            <w:vAlign w:val="bottom"/>
          </w:tcPr>
          <w:p>
            <w:pPr>
              <w:spacing w:after="0"/>
              <w:rPr>
                <w:sz w:val="20"/>
                <w:szCs w:val="20"/>
                <w:color w:val="auto"/>
              </w:rPr>
            </w:pPr>
            <w:r>
              <w:rPr>
                <w:rFonts w:ascii="Arial" w:cs="Arial" w:eastAsia="Arial" w:hAnsi="Arial"/>
                <w:sz w:val="18"/>
                <w:szCs w:val="18"/>
                <w:color w:val="auto"/>
                <w:w w:val="91"/>
              </w:rPr>
              <w:t>Unobservable inputs developed using estimates and assumptions, which are developed by the reporting entity and reflect</w:t>
            </w:r>
          </w:p>
        </w:tc>
        <w:tc>
          <w:tcPr>
            <w:tcW w:w="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BFBFBF"/>
              <w:bottom w:val="single" w:sz="8" w:color="BFBFBF"/>
              <w:right w:val="single" w:sz="8" w:color="BFBFBF"/>
            </w:tcBorders>
          </w:tcPr>
          <w:p>
            <w:pPr>
              <w:spacing w:after="0"/>
              <w:rPr>
                <w:sz w:val="20"/>
                <w:szCs w:val="20"/>
                <w:color w:val="auto"/>
              </w:rPr>
            </w:pPr>
          </w:p>
        </w:tc>
        <w:tc>
          <w:tcPr>
            <w:tcW w:w="882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those assumptions that a market participant would use.</w:t>
            </w:r>
          </w:p>
        </w:tc>
        <w:tc>
          <w:tcPr>
            <w:tcW w:w="20" w:type="dxa"/>
            <w:vAlign w:val="bottom"/>
            <w:tcBorders>
              <w:bottom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March 31, 2021, the Company believes that the costs of its investments are recoverable in all material respects.</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 summarizes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March 31, 2021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line="162"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line="162" w:lineRule="exact"/>
              <w:rPr>
                <w:sz w:val="20"/>
                <w:szCs w:val="20"/>
                <w:color w:val="auto"/>
              </w:rPr>
            </w:pPr>
            <w:r>
              <w:rPr>
                <w:rFonts w:ascii="Arial" w:cs="Arial" w:eastAsia="Arial" w:hAnsi="Arial"/>
                <w:sz w:val="15"/>
                <w:szCs w:val="15"/>
                <w:b w:val="1"/>
                <w:bCs w:val="1"/>
                <w:color w:val="auto"/>
                <w:w w:val="93"/>
              </w:rPr>
              <w:t>Accrued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14"/>
                <w:szCs w:val="14"/>
                <w:color w:val="auto"/>
              </w:rPr>
            </w:pPr>
          </w:p>
        </w:tc>
        <w:tc>
          <w:tcPr>
            <w:tcW w:w="9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9"/>
              </w:rPr>
              <w:t>Interest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76"/>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494,877</w:t>
            </w:r>
          </w:p>
        </w:tc>
        <w:tc>
          <w:tcPr>
            <w:tcW w:w="100" w:type="dxa"/>
            <w:vAlign w:val="bottom"/>
            <w:shd w:val="clear" w:color="auto" w:fill="CCEEFF"/>
          </w:tcPr>
          <w:p>
            <w:pPr>
              <w:spacing w:after="0"/>
              <w:rPr>
                <w:sz w:val="18"/>
                <w:szCs w:val="18"/>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491,924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494,877</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investments have scheduled maturities of less than one year as of March 31, 2021 and December 31,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 w:name="page11"/>
    <w:bookmarkEnd w:id="10"/>
    <w:p>
      <w:pPr>
        <w:ind w:right="4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March 31, 2021 and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5"/>
                <w:szCs w:val="15"/>
                <w:b w:val="1"/>
                <w:bCs w:val="1"/>
                <w:color w:val="auto"/>
                <w:w w:val="89"/>
              </w:rPr>
              <w:t>Fair Value Measurements at Reporting Date Using</w:t>
            </w:r>
          </w:p>
        </w:tc>
      </w:tr>
      <w:tr>
        <w:trPr>
          <w:trHeight w:val="149"/>
        </w:trPr>
        <w:tc>
          <w:tcPr>
            <w:tcW w:w="4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Significant</w:t>
            </w: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Unobservable</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March 31, 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Inputs (Level 2)</w:t>
            </w: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3,536,787</w:t>
            </w:r>
          </w:p>
        </w:tc>
        <w:tc>
          <w:tcPr>
            <w:tcW w:w="2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3,536,787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494,877</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r>
      <w:tr>
        <w:trPr>
          <w:trHeight w:val="533"/>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5"/>
                <w:szCs w:val="15"/>
                <w:b w:val="1"/>
                <w:bCs w:val="1"/>
                <w:color w:val="auto"/>
                <w:w w:val="89"/>
              </w:rPr>
              <w:t>Fair Value Measurements at Reporting Date Using</w:t>
            </w:r>
          </w:p>
        </w:tc>
      </w:tr>
      <w:tr>
        <w:trPr>
          <w:trHeight w:val="149"/>
        </w:trPr>
        <w:tc>
          <w:tcPr>
            <w:tcW w:w="4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Significant</w:t>
            </w: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Unobservable</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2020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Inputs (Level 2)</w:t>
            </w: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6,250,241</w:t>
            </w:r>
          </w:p>
        </w:tc>
        <w:tc>
          <w:tcPr>
            <w:tcW w:w="2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6,250,241</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462,687</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r>
      <w:tr>
        <w:trPr>
          <w:trHeight w:val="457"/>
        </w:trPr>
        <w:tc>
          <w:tcPr>
            <w:tcW w:w="7320" w:type="dxa"/>
            <w:vAlign w:val="bottom"/>
            <w:gridSpan w:val="5"/>
          </w:tcPr>
          <w:p>
            <w:pPr>
              <w:spacing w:after="0"/>
              <w:rPr>
                <w:sz w:val="20"/>
                <w:szCs w:val="20"/>
                <w:color w:val="auto"/>
              </w:rPr>
            </w:pPr>
            <w:r>
              <w:rPr>
                <w:rFonts w:ascii="Arial" w:cs="Arial" w:eastAsia="Arial" w:hAnsi="Arial"/>
                <w:sz w:val="18"/>
                <w:szCs w:val="18"/>
                <w:color w:val="auto"/>
                <w:w w:val="97"/>
              </w:rPr>
              <w:t>There were no significant transfers between levels in the three months ended March 31,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47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7320" w:type="dxa"/>
            <w:vAlign w:val="bottom"/>
            <w:gridSpan w:val="5"/>
          </w:tcPr>
          <w:p>
            <w:pPr>
              <w:spacing w:after="0"/>
              <w:rPr>
                <w:sz w:val="20"/>
                <w:szCs w:val="20"/>
                <w:color w:val="auto"/>
              </w:rPr>
            </w:pPr>
            <w:r>
              <w:rPr>
                <w:rFonts w:ascii="Arial" w:cs="Arial" w:eastAsia="Arial" w:hAnsi="Arial"/>
                <w:sz w:val="18"/>
                <w:szCs w:val="18"/>
                <w:color w:val="auto"/>
                <w:w w:val="96"/>
              </w:rPr>
              <w:t>Property and equipment consist of the following as of March 31, 2021 and December 31,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9"/>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89"/>
              </w:rPr>
              <w:t>2021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140" w:type="dxa"/>
            <w:vAlign w:val="bottom"/>
          </w:tcPr>
          <w:p>
            <w:pPr>
              <w:spacing w:after="0"/>
              <w:rPr>
                <w:sz w:val="15"/>
                <w:szCs w:val="15"/>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23,307</w:t>
            </w:r>
          </w:p>
        </w:tc>
        <w:tc>
          <w:tcPr>
            <w:tcW w:w="140" w:type="dxa"/>
            <w:vAlign w:val="bottom"/>
          </w:tcPr>
          <w:p>
            <w:pPr>
              <w:spacing w:after="0"/>
              <w:rPr>
                <w:sz w:val="18"/>
                <w:szCs w:val="18"/>
                <w:color w:val="auto"/>
              </w:rPr>
            </w:pP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66,340</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(59,953)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(60,368)</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$1,100 for each the three months ended March 31, 2021 and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as of March 31, 2021 and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17"/>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860,629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319,608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60,379</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222,780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1,240,616</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w:t>
      </w:r>
    </w:p>
    <w:p>
      <w:pPr>
        <w:spacing w:after="0" w:line="1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(“Expansion Space”) became available; none of these optional periods have been considered in the determination of the right-of-use asset or the lease liability for the Lease as the Company did not consider it reasonably certain that it would exercise any such options. The Lease further provides that the Company is obligated to pay to the landlord certain variable costs, including taxes and operating expenses. The Company also has a right of first offer to lease the Expansion Space, of no less than 1,000 square feet, as that additional space becomes available adjacent to the premises over the remainder of the initial term of the Lease, at the same rate per square foot as the current premises, with an extension of the term of sixty additional months starting at the commencement date of acquiring the Expansion Space.</w:t>
      </w:r>
    </w:p>
    <w:p>
      <w:pPr>
        <w:spacing w:after="0" w:line="10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and determined that, except for the Lease described above, none of the Company’s contracts contain a 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of our lease liabilities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2021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27"/>
        </w:trPr>
        <w:tc>
          <w:tcPr>
            <w:tcW w:w="7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30,743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As of March 31, 2021, the maturities of our operating lease liabilities were as follows:</w:t>
            </w: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73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80" w:type="dxa"/>
            <w:vAlign w:val="bottom"/>
          </w:tcPr>
          <w:p>
            <w:pPr>
              <w:spacing w:after="0"/>
              <w:rPr>
                <w:sz w:val="20"/>
                <w:szCs w:val="20"/>
                <w:color w:val="auto"/>
              </w:rPr>
            </w:pPr>
            <w:r>
              <w:rPr>
                <w:rFonts w:ascii="Arial" w:cs="Arial" w:eastAsia="Arial" w:hAnsi="Arial"/>
                <w:sz w:val="18"/>
                <w:szCs w:val="18"/>
                <w:b w:val="1"/>
                <w:bCs w:val="1"/>
                <w:color w:val="auto"/>
              </w:rPr>
              <w:t>Year ending December 31, 2021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30,743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the Lease commencement date. As of March 31, 2021, the remaining Lease term is 3 months and the discount rate used to determine the operating lease liability was 8.0%. For the three months ending March 31, 2021, the Company paid $34,543 in total lease expenses, including $3,895 for common area maintenance charges.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NOTE PAYABLE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Protection Program Loan</w:t>
      </w:r>
    </w:p>
    <w:p>
      <w:pPr>
        <w:spacing w:after="0" w:line="15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April 30, 2020, the Company received a loan pursuant to the Paycheck Protection Program (the “PPP Loan”) under the Coronavirus Aid, Relief, and Economic Security Act (the “CARES Act”), as administered by the U.S. Small Business Administration. The PPP Loan in the principal amount of $244,657 was disbursed by First Horizon Bank (the “Lender”) pursuant to a promissory note issued by us (the “Note”).</w:t>
      </w:r>
    </w:p>
    <w:p>
      <w:pPr>
        <w:spacing w:after="0" w:line="16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PPP Loan has a two-year term and bears interest at a rate of 1.00% per annum. Monthly principal and interest payments are deferred for sixteen months. Beginning September 30, 2021, the Company is required to make monthly payments of principal and interest of approximately $31,100 to the Lender. The Company did not provide any collateral or guarantees for the PPP Loan, nor did the Company pay any facility charge to obtain the PPP Loan. The Note provides for customary events of default, including, among others, those relating to failure to make payment, bankruptcy, breaches of representations, and material adverse effects. The Company may prepay the principal of the PPP Loan at any time, subject to certain notice requirements.</w:t>
      </w:r>
    </w:p>
    <w:p>
      <w:pPr>
        <w:spacing w:after="0" w:line="16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The Company is using the proceeds from the PPP Loan to fund payroll costs in accordance with the relevant terms and conditions of the CARES Act. However, no assurance is provided that forgiveness for any portion of the PPP Loan will be obtained.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current and long-term portions of the PPP Loan were $213,577 and $31,080,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MERGER</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January 15, 2021, the Company, Life Newco II, PHPM, and Dr. Stuart Rich, solely in his capacity as Representative, entered into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On January 15, 2021, the Company completed the Acquisition.</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consideration for the Merger, the stockholders of PHPM received (i) 1,892,905 shares of the Company’s common stock (“Common Stock”), and (ii) 10,232 shares of the Company’s Series B convertible preferred stock, which are convertible into up to an aggregate of 10,232,000 shares of Common Stock (“Preferred Stock”) (collectively, the “Merger Consideration”). The issuance of 1,212,492 shares of Common Stock issuable upon conversion of the Preferred Stock, representing approximately 10% of the Merger Consideration, will be delayed as security for closing adjustments and post-closing indemnification obligations of PHPM and the stockholders of PHPM. Each share of Preferred Stock will automatically convert into (i) 881.5 shares of Common Stock following receipt of the approval of the stockholders of the Company for the Conversion (as defined herein), and (ii) 118.5 shares of Common Stock 24 months after the date of issuance of the Preferred Stock, subject to reduction for indemnification claims. The number of shares of Common Stock into which the Preferred Stock converts is subject to adjustment in the case of stock splits, stock dividends, combinations of shares and similar recapitalization transactions. The Preferred Stock does not carry dividends or a liquidation preference. The Preferred Stock carries voting rights aggregating 4.99% of the Company’s Common Stock voting power immediately prior to the closing of the Merger. The rights, preferences and privileges of the Preferred Stock are set forth in the Certificate of Designation of Series B Convertible Preferred Stock that the Company filed with the Secretary of State of the State of Delaware on January 15, 2021 (the “Certificate of Designation”).</w:t>
      </w:r>
    </w:p>
    <w:p>
      <w:pPr>
        <w:spacing w:after="0" w:line="4"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Pursuant to the Merger Agreement, the Company must, no later than July 31, 2021, take all action necessary to call, convene and hold a meeting of the Company’s stockholders to vote upon the conversion of the Preferred Stock pursuant to the Certificate of Designation (the “Conversion”). If stockholder approval is not obtained at such meeting, the Company must call a meeting every 90 days thereafter to seek stockholder approval for the Conversion until the earlier of the date stockholder approval for the Conversion is obtained or the Preferred Stock is no longer outstanding.</w:t>
      </w:r>
    </w:p>
    <w:p>
      <w:pPr>
        <w:spacing w:after="0" w:line="16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terms of the Merger Agreement also require the board of directors of the Company (the “Board”) to, subject to the Board’s fiduciary duties under applicable law, (i) recommend to the Company’s stockholders that they approve the Conversion at any meeting of the Company’s stockholders called for the approval of the Conversion, and (ii) use reasonable best efforts to solicit from the Company’s stockholders, the affirmative vote of the holders of shares representing a majority of the shares of the Company’s capital stock voting in person or by proxy at any such meeting. A vote on the Conversion is expected to take place at the Company’s next annual meeting of stockholders. In addition, (i) at the Company’s first regularly scheduled Board meeting following the closing of the Merger, the Board must appoint one director designated by the Representative to serve on the Board, and (ii) as promptly as practicable after the Company has obtained stockholder approval for the Conversion, the Board must appoint two additional directors designated by the Representative to serve on the Board. Dr. Stuart Rich, the co-founder and Chief Executive Officer, and a stockholder of PHPM, and Dr. Michael Davidson and Dr. Declan Doogan, the two other designees of the Representative, were appointed to the Board on February 25, 2021. In connection with the closing of the Merger, Dr. Stuart Rich was also appointed Chief Medical Officer of the Company.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 w:name="page14"/>
    <w:bookmarkEnd w:id="13"/>
    <w:p>
      <w:pPr>
        <w:ind w:right="20"/>
        <w:spacing w:after="0" w:line="288"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(“IPR&amp;D”)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will be allocated to the in-process research and development project. As such, the Company concluded that substantially all of the fair value of the gross assets acquired is concentrated in the single in-process research and development asset and the set is not a business.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is planning to use the acquired asset to further its clinical develop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will be recorded as an expense on the acquisition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8"/>
        </w:trPr>
        <w:tc>
          <w:tcPr>
            <w:tcW w:w="8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3,369,371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Fair Value of Series B Convertible Preferred Stock issued at closing</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18,212,960</w:t>
            </w:r>
          </w:p>
        </w:tc>
      </w:tr>
      <w:tr>
        <w:trPr>
          <w:trHeight w:val="27"/>
        </w:trPr>
        <w:tc>
          <w:tcPr>
            <w:tcW w:w="8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of consideration transferred</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21,582,331</w:t>
            </w:r>
          </w:p>
        </w:tc>
      </w:tr>
      <w:tr>
        <w:trPr>
          <w:trHeight w:val="209"/>
        </w:trPr>
        <w:tc>
          <w:tcPr>
            <w:tcW w:w="8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Accounts payable assumed</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r>
      <w:tr>
        <w:trPr>
          <w:trHeight w:val="27"/>
        </w:trPr>
        <w:tc>
          <w:tcPr>
            <w:tcW w:w="8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identifiable net assets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IPR&amp;D expense recognized</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21,732,331</w:t>
            </w:r>
          </w:p>
        </w:tc>
      </w:tr>
      <w:tr>
        <w:trPr>
          <w:trHeight w:val="27"/>
        </w:trPr>
        <w:tc>
          <w:tcPr>
            <w:tcW w:w="8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fair value of consideration</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21,582,331</w:t>
            </w:r>
          </w:p>
        </w:tc>
      </w:tr>
      <w:tr>
        <w:trPr>
          <w:trHeight w:val="20"/>
        </w:trPr>
        <w:tc>
          <w:tcPr>
            <w:tcW w:w="84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the Company an exclusive, sublicenseable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 (15) year term, provided, however, that the License will continue after the end of the fifteen-year term in each country in the Territory until the expiration of Orion’s patent rights in the Product in such country.</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9, 2020, the Company entered into the Amendment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4" w:name="page15"/>
    <w:bookmarkEnd w:id="14"/>
    <w:p>
      <w:pPr>
        <w:ind w:right="20"/>
        <w:spacing w:after="0" w:line="288" w:lineRule="auto"/>
        <w:rPr>
          <w:sz w:val="20"/>
          <w:szCs w:val="20"/>
          <w:color w:val="auto"/>
        </w:rPr>
      </w:pPr>
      <w:r>
        <w:rPr>
          <w:rFonts w:ascii="Arial" w:cs="Arial" w:eastAsia="Arial" w:hAnsi="Arial"/>
          <w:sz w:val="16"/>
          <w:szCs w:val="16"/>
          <w:color w:val="auto"/>
        </w:rPr>
        <w:t>Pursuant to the terms of the License, the Company paid to Orion a non-refundable up-front payment in the amount of $1.0 million. The License also includes the following development milestones for which the Company shall make non-refundable payments to Orion no later than twenty-eight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of the License, the Company must pay Orion a royalty based on net sales of the Product in the Territory for as long as the Company sells the Product in the Territory.</w:t>
      </w:r>
    </w:p>
    <w:p>
      <w:pPr>
        <w:spacing w:after="0" w:line="10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of March 31, 2021, the Company has not met any of the developmental milestones and, accordingly, has not recorded any liability for the contingent payments due to Orion.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Series B Stock</w:t>
      </w:r>
    </w:p>
    <w:p>
      <w:pPr>
        <w:spacing w:after="0" w:line="158" w:lineRule="exact"/>
        <w:rPr>
          <w:sz w:val="20"/>
          <w:szCs w:val="20"/>
          <w:color w:val="auto"/>
        </w:rPr>
      </w:pPr>
    </w:p>
    <w:p>
      <w:pPr>
        <w:ind w:right="180"/>
        <w:spacing w:after="0" w:line="369" w:lineRule="auto"/>
        <w:rPr>
          <w:sz w:val="20"/>
          <w:szCs w:val="20"/>
          <w:color w:val="auto"/>
        </w:rPr>
      </w:pPr>
      <w:r>
        <w:rPr>
          <w:rFonts w:ascii="Arial" w:cs="Arial" w:eastAsia="Arial" w:hAnsi="Arial"/>
          <w:sz w:val="15"/>
          <w:szCs w:val="15"/>
          <w:color w:val="auto"/>
        </w:rPr>
        <w:t>As further discussed in Note 7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5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rights, preferences and privileges of the Series B Stock are set forth in the Certificate of Designation. Each share of Series B Stock will automatically convert into (i) 881.5 shares of Common Stock following receipt of the approval of the stockholders of the Company for the Conversion, and (ii) 118.5 shares of Common Stock 24 months after the date of issuance of the Preferred Stock, subject to reduction for indemnification claims. The number of shares of Common Stock into which the Preferred Stock converts is subject to adjustment in the case of stock splits, stock dividends, combinations of shares and similar recapitalization transactions. The Preferred Stock does not carry dividends or a liquidation preference. The Preferred Stock carries voting rights aggregating 4.99% of the Company’s Common Stock voting power immediately prior to the closing of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10,232 shares of Series B Stock outstanding.</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Series A Stock</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11, 2018, the Company closed its underwritten offering of 5,181,346 units for net proceeds of approximately $9 million. Each unit consists of (1) one share of the Company’s Series A convertible preferred stock, par value $0.0001 per share (the “Series A Stock”), (2) a two-year warrant to purchase one share of common stock at an exercise price of $1.93, and (3) a five-year warrant to purchase one share of common stock at an exercise price of $1.93. In accordance with ASC 480, the estimated fair value of $1,800,016 for the beneficial conversion feature was recognized as a deemed dividend on the Series A Stock during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60"/>
              <w:spacing w:after="0"/>
              <w:rPr>
                <w:sz w:val="20"/>
                <w:szCs w:val="20"/>
                <w:color w:val="auto"/>
              </w:rPr>
            </w:pPr>
            <w:r>
              <w:rPr>
                <w:rFonts w:ascii="Arial" w:cs="Arial" w:eastAsia="Arial" w:hAnsi="Arial"/>
                <w:sz w:val="18"/>
                <w:szCs w:val="18"/>
                <w:color w:val="auto"/>
              </w:rPr>
              <w:t>Conversion</w:t>
            </w:r>
          </w:p>
        </w:tc>
        <w:tc>
          <w:tcPr>
            <w:tcW w:w="9620" w:type="dxa"/>
            <w:vAlign w:val="bottom"/>
          </w:tcPr>
          <w:p>
            <w:pPr>
              <w:ind w:left="760"/>
              <w:spacing w:after="0"/>
              <w:rPr>
                <w:sz w:val="20"/>
                <w:szCs w:val="20"/>
                <w:color w:val="auto"/>
              </w:rPr>
            </w:pPr>
            <w:r>
              <w:rPr>
                <w:rFonts w:ascii="Arial" w:cs="Arial" w:eastAsia="Arial" w:hAnsi="Arial"/>
                <w:sz w:val="18"/>
                <w:szCs w:val="18"/>
                <w:color w:val="auto"/>
                <w:w w:val="89"/>
              </w:rPr>
              <w:t>Subject to the ownership limitations described below, the Series A Stock is convertible at any time at the option of the holder</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91"/>
              </w:rPr>
              <w:t>into shares of the Company’s common stock at a conversion ratio determined by dividing the stated value of the Series A</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88"/>
              </w:rPr>
              <w:t>Stock by a conversion price of $1.93 per share. The conversion price is subject to adjustment in the case of stock splits, stock</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rPr>
              <w:t>dividends, combinations of shares and similar recapitalization transactions.</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89"/>
              </w:rPr>
              <w:t>The Company will not affect any conversion of the Series A Stock, nor shall a holder convert its shares of Series A Stock, to</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94"/>
              </w:rPr>
              <w:t>the extent that such conversion would cause the holder to have acquired, through conversion of the Series A Stock or</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91"/>
              </w:rPr>
              <w:t>otherwise, beneficial ownership of a number shares of common stock in excess of 4.99% (or, at the election of the holder</w:t>
            </w:r>
          </w:p>
        </w:tc>
      </w:tr>
      <w:tr>
        <w:trPr>
          <w:trHeight w:val="216"/>
        </w:trPr>
        <w:tc>
          <w:tcPr>
            <w:tcW w:w="1620" w:type="dxa"/>
            <w:vAlign w:val="bottom"/>
          </w:tcPr>
          <w:p>
            <w:pPr>
              <w:spacing w:after="0"/>
              <w:rPr>
                <w:sz w:val="18"/>
                <w:szCs w:val="18"/>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w w:val="92"/>
              </w:rPr>
              <w:t>prior to the issuance of any shares of Series A Stock, 9.99%) of the common stock outstanding after giving effect to such</w:t>
            </w:r>
          </w:p>
        </w:tc>
      </w:tr>
      <w:tr>
        <w:trPr>
          <w:trHeight w:val="222"/>
        </w:trPr>
        <w:tc>
          <w:tcPr>
            <w:tcW w:w="1620" w:type="dxa"/>
            <w:vAlign w:val="bottom"/>
          </w:tcPr>
          <w:p>
            <w:pPr>
              <w:spacing w:after="0"/>
              <w:rPr>
                <w:sz w:val="19"/>
                <w:szCs w:val="19"/>
                <w:color w:val="auto"/>
              </w:rPr>
            </w:pPr>
          </w:p>
        </w:tc>
        <w:tc>
          <w:tcPr>
            <w:tcW w:w="9620" w:type="dxa"/>
            <w:vAlign w:val="bottom"/>
          </w:tcPr>
          <w:p>
            <w:pPr>
              <w:ind w:left="760"/>
              <w:spacing w:after="0"/>
              <w:rPr>
                <w:sz w:val="20"/>
                <w:szCs w:val="20"/>
                <w:color w:val="auto"/>
              </w:rPr>
            </w:pPr>
            <w:r>
              <w:rPr>
                <w:rFonts w:ascii="Arial" w:cs="Arial" w:eastAsia="Arial" w:hAnsi="Arial"/>
                <w:sz w:val="18"/>
                <w:szCs w:val="18"/>
                <w:color w:val="auto"/>
              </w:rPr>
              <w:t>exercise.</w:t>
            </w:r>
          </w:p>
        </w:tc>
      </w:tr>
      <w:tr>
        <w:trPr>
          <w:trHeight w:val="649"/>
        </w:trPr>
        <w:tc>
          <w:tcPr>
            <w:tcW w:w="16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5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Liquidation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event the Company pays dividends on its shares of common stock, the holders of the Series A Stock will be entitled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dividends on shares of Series A Stock equal, on an as-if-converted basis, to and in the same form as paid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No other dividends will be paid on the shares of Series A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Upon any liquidation, dissolution or winding up of the Company after payment or provision for payment of debts and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liabilities of the Company, the holders of Series A Stock shall be entitled to be paid out of the assets of the Company available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distribution to its stockholders an amount equal to the amount that a holder of common stock would receive if the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were fully converted to common stock, which amounts will be paid pari passu with all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of Series A Stock will generally have no voting rights, except as required by law and except that the consent of 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 majority of the then outstanding Series A Stock will be required to amend the terms of the Series A Stock or to take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that adversely affects the rights of the holders of Series A Stock.</w:t>
      </w:r>
    </w:p>
    <w:p>
      <w:pPr>
        <w:spacing w:after="0" w:line="200" w:lineRule="exact"/>
        <w:rPr>
          <w:sz w:val="20"/>
          <w:szCs w:val="20"/>
          <w:color w:val="auto"/>
        </w:rPr>
      </w:pPr>
    </w:p>
    <w:p>
      <w:pPr>
        <w:sectPr>
          <w:pgSz w:w="11900" w:h="16838" w:orient="portrait"/>
          <w:cols w:equalWidth="0" w:num="2">
            <w:col w:w="1660" w:space="720"/>
            <w:col w:w="8860"/>
          </w:cols>
          <w:pgMar w:left="320" w:top="496" w:right="3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210 shares of Series A Stock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720"/>
        <w:spacing w:after="0" w:line="331" w:lineRule="auto"/>
        <w:rPr>
          <w:sz w:val="20"/>
          <w:szCs w:val="20"/>
          <w:color w:val="auto"/>
        </w:rPr>
      </w:pPr>
      <w:r>
        <w:rPr>
          <w:rFonts w:ascii="Arial" w:cs="Arial" w:eastAsia="Arial" w:hAnsi="Arial"/>
          <w:sz w:val="16"/>
          <w:szCs w:val="16"/>
          <w:color w:val="auto"/>
        </w:rPr>
        <w:t>The Company’s Certificate of Incorporation authorizes it to issue 400,000,000 shares of $0.0001 par value common stock. As of March 31, 2021, and December 31, 2020, there were 14,969,312 and 12,619,369 shares of common stock issued and outstanding, respectively.</w:t>
      </w:r>
    </w:p>
    <w:p>
      <w:pPr>
        <w:spacing w:after="0" w:line="7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On March 13, 2020, the Company completed a registered direct offering to a single healthcare-focused institutional investor (the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$2.125 million. The fair value allocated to the common stock, pre-funded warrants and warrants was $0.5 million, $1.1 million and $1.1 million, respectively.</w:t>
      </w:r>
    </w:p>
    <w:p>
      <w:pPr>
        <w:spacing w:after="0" w:line="1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8, 2020, the Company completed a registered direct offering with the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5,260,005 pre-funded warrants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part of the March 2020 registered direct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July 2020 Warrants</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part of the July 2020 offering, the Company issued unregistered warrants to purchase 7,783,616 shares of its common stock at an exercise price of $0.903 per share and contractual term of five and one-half years. The unregistered warrants were offered in a private placement under Section 4(a)(2) of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 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July 2020 offering described above, the Company issued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 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0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three months ended March 31, 2021, the Company received approximately $545,000 and issued 282,202 shares of common stock upon the exercise of previously outstanding warrants issued in connection with the Company’s December 2018 offering.</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three months ended March 31, 2021, the Company issued 119,491 shares of common stock upon the cashless exercise of previously outstanding placement agent warrants issued in connection with the Company’s March 2020 offering.</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three months ended March 31, 2021, the Company issued 399,883 shares of common stock upon the cashless exercise of previously outstanding placement agent warrants issued in connection with the Company’s July 2020 offering.</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of March 31, 2021, the Company has 15,797,503 warrants outstanding. The following table summarizes the Company’s warrant activity for the three months ended March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Warrants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16,599,079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(801,576)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15,797,503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the shares available for grant under the 2016 Plan for the three months ended March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Shares Available</w:t>
            </w:r>
          </w:p>
        </w:tc>
      </w:tr>
      <w:tr>
        <w:trPr>
          <w:trHeight w:val="182"/>
        </w:trPr>
        <w:tc>
          <w:tcPr>
            <w:tcW w:w="100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for Grant</w:t>
            </w:r>
          </w:p>
        </w:tc>
        <w:tc>
          <w:tcPr>
            <w:tcW w:w="140" w:type="dxa"/>
            <w:vAlign w:val="bottom"/>
          </w:tcPr>
          <w:p>
            <w:pPr>
              <w:spacing w:after="0"/>
              <w:rPr>
                <w:sz w:val="15"/>
                <w:szCs w:val="15"/>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356,500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(300,000)</w:t>
            </w:r>
          </w:p>
        </w:tc>
      </w:tr>
      <w:tr>
        <w:trPr>
          <w:trHeight w:val="27"/>
        </w:trPr>
        <w:tc>
          <w:tcPr>
            <w:tcW w:w="10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56,500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15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three months ended March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r>
    </w:tbl>
    <w:p>
      <w:pPr>
        <w:spacing w:after="0" w:line="23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recorded compensation expense for these stock option grants of $90,319 and $60,161 for the three months ended March 31, 2021 and 2020, respectively.</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March 31, 2021, there were unrecognized compensation costs of approximately $503,592 related to non-vested stock option awards under the 2016 Plan that will be recognized on a straight-line basis over the weighted average remaining vesting period of 1.57 years.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assumptions to estimate the fair value of options granted under the 2016 Plan for the three months ended 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80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w w:val="95"/>
              </w:rPr>
              <w:t>For the three months ended March 31,</w:t>
            </w:r>
          </w:p>
        </w:tc>
      </w:tr>
      <w:tr>
        <w:trPr>
          <w:trHeight w:val="196"/>
        </w:trPr>
        <w:tc>
          <w:tcPr>
            <w:tcW w:w="21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2021</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0.66%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99.49%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97.59%</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3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3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0.00%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0.00%</w:t>
            </w:r>
          </w:p>
        </w:tc>
      </w:tr>
      <w:tr>
        <w:trPr>
          <w:trHeight w:val="444"/>
        </w:trPr>
        <w:tc>
          <w:tcPr>
            <w:tcW w:w="212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94"/>
              </w:rPr>
              <w:t>The risk-free interest rate assumption was based on U.S. Treasury instruments with a term that is consistent with the</w:t>
            </w:r>
          </w:p>
        </w:tc>
      </w:tr>
      <w:tr>
        <w:trPr>
          <w:trHeight w:val="216"/>
        </w:trPr>
        <w:tc>
          <w:tcPr>
            <w:tcW w:w="2120" w:type="dxa"/>
            <w:vAlign w:val="bottom"/>
          </w:tcPr>
          <w:p>
            <w:pPr>
              <w:spacing w:after="0"/>
              <w:rPr>
                <w:sz w:val="18"/>
                <w:szCs w:val="18"/>
                <w:color w:val="auto"/>
              </w:rPr>
            </w:pPr>
          </w:p>
        </w:tc>
        <w:tc>
          <w:tcPr>
            <w:tcW w:w="6320" w:type="dxa"/>
            <w:vAlign w:val="bottom"/>
          </w:tcPr>
          <w:p>
            <w:pPr>
              <w:ind w:left="380"/>
              <w:spacing w:after="0"/>
              <w:rPr>
                <w:sz w:val="20"/>
                <w:szCs w:val="20"/>
                <w:color w:val="auto"/>
              </w:rPr>
            </w:pPr>
            <w:r>
              <w:rPr>
                <w:rFonts w:ascii="Arial" w:cs="Arial" w:eastAsia="Arial" w:hAnsi="Arial"/>
                <w:sz w:val="18"/>
                <w:szCs w:val="18"/>
                <w:color w:val="auto"/>
              </w:rPr>
              <w:t>expected term of the Company’s stock options.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90"/>
              </w:rPr>
              <w:t>The expected stock price volatility for the Company’s common stock was determined by examining the historical volatility</w:t>
            </w:r>
          </w:p>
        </w:tc>
      </w:tr>
      <w:tr>
        <w:trPr>
          <w:trHeight w:val="216"/>
        </w:trPr>
        <w:tc>
          <w:tcPr>
            <w:tcW w:w="2120" w:type="dxa"/>
            <w:vAlign w:val="bottom"/>
          </w:tcPr>
          <w:p>
            <w:pPr>
              <w:spacing w:after="0"/>
              <w:rPr>
                <w:sz w:val="18"/>
                <w:szCs w:val="18"/>
                <w:color w:val="auto"/>
              </w:rPr>
            </w:pPr>
          </w:p>
        </w:tc>
        <w:tc>
          <w:tcPr>
            <w:tcW w:w="7780" w:type="dxa"/>
            <w:vAlign w:val="bottom"/>
            <w:gridSpan w:val="3"/>
          </w:tcPr>
          <w:p>
            <w:pPr>
              <w:ind w:left="380"/>
              <w:spacing w:after="0"/>
              <w:rPr>
                <w:sz w:val="20"/>
                <w:szCs w:val="20"/>
                <w:color w:val="auto"/>
              </w:rPr>
            </w:pPr>
            <w:r>
              <w:rPr>
                <w:rFonts w:ascii="Arial" w:cs="Arial" w:eastAsia="Arial" w:hAnsi="Arial"/>
                <w:sz w:val="18"/>
                <w:szCs w:val="18"/>
                <w:color w:val="auto"/>
                <w:w w:val="92"/>
              </w:rPr>
              <w:t>and trading history for its common stock over a term consistent with the expected term of its options.</w:t>
            </w:r>
          </w:p>
        </w:tc>
        <w:tc>
          <w:tcPr>
            <w:tcW w:w="134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93"/>
              </w:rPr>
              <w:t>The expected term of stock options represents the weighted average period the stock options are expected to remain</w:t>
            </w:r>
          </w:p>
        </w:tc>
      </w:tr>
      <w:tr>
        <w:trPr>
          <w:trHeight w:val="216"/>
        </w:trPr>
        <w:tc>
          <w:tcPr>
            <w:tcW w:w="2120" w:type="dxa"/>
            <w:vAlign w:val="bottom"/>
          </w:tcPr>
          <w:p>
            <w:pPr>
              <w:spacing w:after="0"/>
              <w:rPr>
                <w:sz w:val="18"/>
                <w:szCs w:val="18"/>
                <w:color w:val="auto"/>
              </w:rPr>
            </w:pPr>
          </w:p>
        </w:tc>
        <w:tc>
          <w:tcPr>
            <w:tcW w:w="7780" w:type="dxa"/>
            <w:vAlign w:val="bottom"/>
            <w:gridSpan w:val="3"/>
          </w:tcPr>
          <w:p>
            <w:pPr>
              <w:ind w:left="380"/>
              <w:spacing w:after="0"/>
              <w:rPr>
                <w:sz w:val="20"/>
                <w:szCs w:val="20"/>
                <w:color w:val="auto"/>
              </w:rPr>
            </w:pPr>
            <w:r>
              <w:rPr>
                <w:rFonts w:ascii="Arial" w:cs="Arial" w:eastAsia="Arial" w:hAnsi="Arial"/>
                <w:sz w:val="18"/>
                <w:szCs w:val="18"/>
                <w:color w:val="auto"/>
                <w:w w:val="88"/>
              </w:rPr>
              <w:t>outstanding. It was calculated based on the Company’s historical experience with its stock option grants.</w:t>
            </w:r>
          </w:p>
        </w:tc>
        <w:tc>
          <w:tcPr>
            <w:tcW w:w="134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89"/>
              </w:rPr>
              <w:t>The expected dividend yield of 0% is based on the Company’s history and expectation of dividend payouts. The Company</w:t>
            </w:r>
          </w:p>
        </w:tc>
      </w:tr>
      <w:tr>
        <w:trPr>
          <w:trHeight w:val="216"/>
        </w:trPr>
        <w:tc>
          <w:tcPr>
            <w:tcW w:w="2120" w:type="dxa"/>
            <w:vAlign w:val="bottom"/>
          </w:tcPr>
          <w:p>
            <w:pPr>
              <w:spacing w:after="0"/>
              <w:rPr>
                <w:sz w:val="18"/>
                <w:szCs w:val="18"/>
                <w:color w:val="auto"/>
              </w:rPr>
            </w:pPr>
          </w:p>
        </w:tc>
        <w:tc>
          <w:tcPr>
            <w:tcW w:w="6320" w:type="dxa"/>
            <w:vAlign w:val="bottom"/>
          </w:tcPr>
          <w:p>
            <w:pPr>
              <w:ind w:left="380"/>
              <w:spacing w:after="0"/>
              <w:rPr>
                <w:sz w:val="20"/>
                <w:szCs w:val="20"/>
                <w:color w:val="auto"/>
              </w:rPr>
            </w:pPr>
            <w:r>
              <w:rPr>
                <w:rFonts w:ascii="Arial" w:cs="Arial" w:eastAsia="Arial" w:hAnsi="Arial"/>
                <w:sz w:val="18"/>
                <w:szCs w:val="18"/>
                <w:color w:val="auto"/>
                <w:w w:val="97"/>
              </w:rPr>
              <w:t>has not paid and does not anticipate paying any dividends in the near future.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86"/>
              </w:rPr>
              <w:t>Stock compensation expense recognized in the statements of operations for the three months ended March 31, 2021 is based</w:t>
            </w:r>
          </w:p>
        </w:tc>
      </w:tr>
      <w:tr>
        <w:trPr>
          <w:trHeight w:val="216"/>
        </w:trPr>
        <w:tc>
          <w:tcPr>
            <w:tcW w:w="2120" w:type="dxa"/>
            <w:vAlign w:val="bottom"/>
          </w:tcPr>
          <w:p>
            <w:pPr>
              <w:spacing w:after="0"/>
              <w:rPr>
                <w:sz w:val="18"/>
                <w:szCs w:val="18"/>
                <w:color w:val="auto"/>
              </w:rPr>
            </w:pP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89"/>
              </w:rPr>
              <w:t>on awards ultimately expected to vest, and it has been reduced for estimated forfeitures. ASC 718 requires forfeitures to be</w:t>
            </w:r>
          </w:p>
        </w:tc>
      </w:tr>
      <w:tr>
        <w:trPr>
          <w:trHeight w:val="216"/>
        </w:trPr>
        <w:tc>
          <w:tcPr>
            <w:tcW w:w="2120" w:type="dxa"/>
            <w:vAlign w:val="bottom"/>
          </w:tcPr>
          <w:p>
            <w:pPr>
              <w:spacing w:after="0"/>
              <w:rPr>
                <w:sz w:val="18"/>
                <w:szCs w:val="18"/>
                <w:color w:val="auto"/>
              </w:rPr>
            </w:pPr>
          </w:p>
        </w:tc>
        <w:tc>
          <w:tcPr>
            <w:tcW w:w="9120" w:type="dxa"/>
            <w:vAlign w:val="bottom"/>
            <w:gridSpan w:val="4"/>
          </w:tcPr>
          <w:p>
            <w:pPr>
              <w:ind w:left="380"/>
              <w:spacing w:after="0"/>
              <w:rPr>
                <w:sz w:val="20"/>
                <w:szCs w:val="20"/>
                <w:color w:val="auto"/>
              </w:rPr>
            </w:pPr>
            <w:r>
              <w:rPr>
                <w:rFonts w:ascii="Arial" w:cs="Arial" w:eastAsia="Arial" w:hAnsi="Arial"/>
                <w:sz w:val="18"/>
                <w:szCs w:val="18"/>
                <w:color w:val="auto"/>
                <w:w w:val="95"/>
              </w:rPr>
              <w:t>estimated at the time of grant and revised, if necessary, in subsequent periods if actual forfeitures differ from those</w:t>
            </w:r>
          </w:p>
        </w:tc>
      </w:tr>
      <w:tr>
        <w:trPr>
          <w:trHeight w:val="222"/>
        </w:trPr>
        <w:tc>
          <w:tcPr>
            <w:tcW w:w="2120" w:type="dxa"/>
            <w:vAlign w:val="bottom"/>
          </w:tcPr>
          <w:p>
            <w:pPr>
              <w:spacing w:after="0"/>
              <w:rPr>
                <w:sz w:val="19"/>
                <w:szCs w:val="19"/>
                <w:color w:val="auto"/>
              </w:rPr>
            </w:pPr>
          </w:p>
        </w:tc>
        <w:tc>
          <w:tcPr>
            <w:tcW w:w="6320" w:type="dxa"/>
            <w:vAlign w:val="bottom"/>
          </w:tcPr>
          <w:p>
            <w:pPr>
              <w:ind w:left="380"/>
              <w:spacing w:after="0"/>
              <w:rPr>
                <w:sz w:val="20"/>
                <w:szCs w:val="20"/>
                <w:color w:val="auto"/>
              </w:rPr>
            </w:pPr>
            <w:r>
              <w:rPr>
                <w:rFonts w:ascii="Arial" w:cs="Arial" w:eastAsia="Arial" w:hAnsi="Arial"/>
                <w:sz w:val="18"/>
                <w:szCs w:val="18"/>
                <w:color w:val="auto"/>
                <w:w w:val="87"/>
              </w:rPr>
              <w:t>estimates. Forfeitures were estimated based on the Company’s historical experience.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649"/>
        </w:trPr>
        <w:tc>
          <w:tcPr>
            <w:tcW w:w="21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ind w:left="3420"/>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15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Stock options granted under the 1999 Plan may be either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six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three months ended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2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cancelled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789.45</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46.20</w:t>
            </w:r>
          </w:p>
        </w:tc>
      </w:tr>
    </w:tbl>
    <w:p>
      <w:pPr>
        <w:spacing w:after="0" w:line="23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recorded compensation expense for these stock option grants of $1,290 and $12,215 for the three months ended March 31, 2021 and 2020, respectively.</w:t>
      </w:r>
    </w:p>
    <w:p>
      <w:pPr>
        <w:spacing w:after="0" w:line="118" w:lineRule="exact"/>
        <w:rPr>
          <w:sz w:val="20"/>
          <w:szCs w:val="20"/>
          <w:color w:val="auto"/>
        </w:rPr>
      </w:pPr>
    </w:p>
    <w:p>
      <w:pPr>
        <w:ind w:right="1780"/>
        <w:spacing w:after="0" w:line="422" w:lineRule="auto"/>
        <w:rPr>
          <w:sz w:val="20"/>
          <w:szCs w:val="20"/>
          <w:color w:val="auto"/>
        </w:rPr>
      </w:pPr>
      <w:r>
        <w:rPr>
          <w:rFonts w:ascii="Arial" w:cs="Arial" w:eastAsia="Arial" w:hAnsi="Arial"/>
          <w:sz w:val="18"/>
          <w:szCs w:val="18"/>
          <w:color w:val="auto"/>
        </w:rPr>
        <w:t xml:space="preserve">As of March 31, 2021, there were no unrecognized compensation costs related to non-vested stock option awards under the 1999 Plan. </w:t>
      </w:r>
      <w:r>
        <w:rPr>
          <w:rFonts w:ascii="Arial" w:cs="Arial" w:eastAsia="Arial" w:hAnsi="Arial"/>
          <w:sz w:val="18"/>
          <w:szCs w:val="18"/>
          <w:b w:val="1"/>
          <w:bCs w:val="1"/>
          <w:i w:val="1"/>
          <w:iCs w:val="1"/>
          <w:color w:val="auto"/>
        </w:rPr>
        <w:t>Inducement Stock Options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Rule 5635(c)(4) and was therefore not awarded under the Company’s stockholder approved equity plan. The option award will vest as follows: 25% upon initiation of a Phase 3 trial; 25% upon database lock; 25% upon acceptance for review of an NDA; and 25% upon approval. The options have a 10-year term and an exercise price of $1.78 per share, the January 15, 2021 closing price of the Company's common stock. As of March 31, 2021, none of the vesting milestones have been achieved.</w:t>
      </w:r>
    </w:p>
    <w:p>
      <w:pPr>
        <w:spacing w:after="0" w:line="13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Inducement stock option compensation expense totaled $0 for the three months ended March 31, 2021. As of March 31, 2021, there was $402,789 of remaining unrecognized compensation expense related to this inducement stock option.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(“Expansion Space”) became available. On April 2, 2021, the Company negotiated a 3-year extension to the existing lease term, commencing July 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t>Beginning on the commencement date, the annual base rent will be increase to $125,034 and will increase 2.5% annually for lease years 2 and 3. In accordance with ASC 842, the Company remeasured its lease classification, lease liability, its right-of-use asset and its lease expense as of the date of the extension (remeasurement date)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liability</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30,743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Remeasured Lease liability</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364,523</w:t>
            </w:r>
          </w:p>
        </w:tc>
      </w:tr>
      <w:tr>
        <w:trPr>
          <w:trHeight w:val="216"/>
        </w:trPr>
        <w:tc>
          <w:tcPr>
            <w:tcW w:w="6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Right of use asset</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29,690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Remeasured Right of use assset</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363,469</w:t>
            </w:r>
          </w:p>
        </w:tc>
      </w:tr>
      <w:tr>
        <w:trPr>
          <w:trHeight w:val="216"/>
        </w:trPr>
        <w:tc>
          <w:tcPr>
            <w:tcW w:w="6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Original Lease expense</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10,033</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Remeasured Lease expense</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10,634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“may,” “will,” “should,” “could,” “would,” “expects,” “plans,” “anticipates,” “believes,” “estimates,” “projects,” “predicts,” “potential” and similar expressions intended to identify forward-looking statements. Examples of these statements include, but are not limited to, statements regarding: the implications of interim or final results of our clinical trials, the progress of our research programs, including clinical testing, the extent to which our issued and pending patents may protect our products and technology, our ability to identify new product candidates, the potential of such product candidates to lead to the development of commercial products, our anticipated timing for initiation or completion of our clinical trials for any of our product candidates, our future operating expenses, our future losses, our future expenditures for research and development, our relationship with Orion Corporation, or Orion, our ability to raise capital, the sufficiency of our cash resources, our ability to successfully integrate operations pursuant to our merger with PH Precision Med, the impacts of the current COVID-19 pandemic and the eligibility for forgiveness of our loan, or the PPP Loan, received pursuant to the Paycheck Protection Program under the Coronavirus Aid, Relief, and Economic Security Act, or the CARES Act, as administered by the U.S. Small Business Administration, or the SBA. Our actual results could differ materially from those anticipated in these forward-looking statements for many reasons, including the risks faced by us and described in Part II, Item 1A of this Quarterly Report on Form 10-Q, Part I, Item 1A of our Annual Report on Form 10-K, and our other filings with the Securities and Exchange Commission, or the SEC. You should not place undue reliance on these forward-looking statements, which apply only as of the date of this Quarterly Report on Form 10-Q. You should read this Quarterly Report on Form 10-Q completely and with the understanding that our actual future results may be materially different from those we expect. Except as required by law, we assume no obligation to update these forward-looking statements, whether as a result of new information, future events or otherwise.</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consolidated financial statements and related notes thereto included as part of our Annual Report on Form 10-K for the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in this Quarterly Report to “Tenax Therapeutics”, “we”, “our” and “us” means Tenax Therapeutics, Inc.</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The description or discussion, in this Quarterly Report on Form 10-Q of any contract or agreement is a summary only and is qualified in all respects by reference to the full text of the applicable contract or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are a specialty pharmaceutical company focused on identifying, developing and commercializing products </w:t>
      </w:r>
      <w:r>
        <w:rPr>
          <w:rFonts w:ascii="Arial" w:cs="Arial" w:eastAsia="Arial" w:hAnsi="Arial"/>
          <w:sz w:val="18"/>
          <w:szCs w:val="18"/>
          <w:color w:val="080808"/>
          <w:highlight w:val="white"/>
        </w:rPr>
        <w:t>that address cardiovascular and pulmonary</w:t>
      </w:r>
      <w:r>
        <w:rPr>
          <w:rFonts w:ascii="Arial" w:cs="Arial" w:eastAsia="Arial" w:hAnsi="Arial"/>
          <w:sz w:val="18"/>
          <w:szCs w:val="18"/>
          <w:color w:val="auto"/>
        </w:rPr>
        <w:t xml:space="preserve"> </w:t>
      </w:r>
      <w:r>
        <w:rPr>
          <w:rFonts w:ascii="Arial" w:cs="Arial" w:eastAsia="Arial" w:hAnsi="Arial"/>
          <w:sz w:val="18"/>
          <w:szCs w:val="18"/>
          <w:color w:val="080808"/>
          <w:highlight w:val="white"/>
        </w:rPr>
        <w:t>diseases of high unmet medical need</w:t>
      </w:r>
      <w:r>
        <w:rPr>
          <w:rFonts w:ascii="Arial" w:cs="Arial" w:eastAsia="Arial" w:hAnsi="Arial"/>
          <w:sz w:val="18"/>
          <w:szCs w:val="18"/>
          <w:color w:val="000000"/>
        </w:rPr>
        <w:t>. On November 13, 2013, through our wholly owned subsidiary, Life Newco, Inc., or Life Newco, we acquired a license</w:t>
      </w:r>
      <w:r>
        <w:rPr>
          <w:rFonts w:ascii="Arial" w:cs="Arial" w:eastAsia="Arial" w:hAnsi="Arial"/>
          <w:sz w:val="18"/>
          <w:szCs w:val="18"/>
          <w:color w:val="080808"/>
          <w:highlight w:val="white"/>
        </w:rPr>
        <w:t xml:space="preserve"> </w:t>
      </w:r>
      <w:r>
        <w:rPr>
          <w:rFonts w:ascii="Arial" w:cs="Arial" w:eastAsia="Arial" w:hAnsi="Arial"/>
          <w:sz w:val="18"/>
          <w:szCs w:val="18"/>
          <w:color w:val="000000"/>
        </w:rPr>
        <w:t>granting Life Newco an exclusive, sublicensable right to develop and commercialize pharmaceutical products containing levosimendan, 2.5 mg/ml concentrate for solution for infusion / 5ml vial in the United States and Canada. On October 9, 2020, we entered into an amendment to the license to include two new oral products containing levosimendan, in capsule and solid dosage form, and a subcutaneously administered product containing levosimendan, to the scope of the license, subject to specified limitations.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15, 2021, through our wholly owned subsidiary, Life Newco II, Inc., or Life Newco II, we acquired 100% of the equity of PHPrecisionMed Inc., a Delaware corporation, or PHPM. In accordance with the terms of the merger agreement between Life Newco II and PHPM, Life Newco II merged with and into PHPM, with PHPM surviving as our wholly-owned subsidiary. As a result of the merger, we plan to develop and commercialize pharmaceutical products containing imatinib for the treatment of pulmonary arterial hypertension.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Levosimendan was discovered and developed by Orion Corporation, a Finnish company, or Orion. Levosimendan is a </w:t>
      </w:r>
      <w:r>
        <w:rPr>
          <w:rFonts w:ascii="Arial" w:cs="Arial" w:eastAsia="Arial" w:hAnsi="Arial"/>
          <w:sz w:val="16"/>
          <w:szCs w:val="16"/>
          <w:i w:val="1"/>
          <w:iCs w:val="1"/>
          <w:color w:val="auto"/>
        </w:rPr>
        <w:t>calcium sensitizer/K-ATP activator</w:t>
      </w:r>
      <w:r>
        <w:rPr>
          <w:rFonts w:ascii="Arial" w:cs="Arial" w:eastAsia="Arial" w:hAnsi="Arial"/>
          <w:sz w:val="16"/>
          <w:szCs w:val="16"/>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1.5 million patients have been treated worldwide with levosimendan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1300" w:hanging="320"/>
        <w:spacing w:after="0" w:line="25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1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long-acting metabolite, lack of impairment of diastolic function, and evidence of better compatibility with beta blockers than dobutamine.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recently completed a Phase 2 clinical trial of levosimendan in North America for the treatment of patients with pulmonary hypertension associated with heart failure with preserved ejection fraction, or PH-HFpEF. PH-HFpEF is defined hemodynamically by a mean pulmonary artery pressure, or mPAP, ≥25 mmHg, and a pulmonary capillary wedge pressure, or PCWP, &gt;15 mmHg. Pulmonary hypertension in these patients is believed to arise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33"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and pulmonary artery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to believe that levosimendan may be beneficial in PH-HFpEF patients.</w:t>
      </w:r>
    </w:p>
    <w:p>
      <w:pPr>
        <w:spacing w:after="0" w:line="1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w:t>
      </w:r>
      <w:r>
        <w:rPr>
          <w:rFonts w:ascii="Arial" w:cs="Arial" w:eastAsia="Arial" w:hAnsi="Arial"/>
          <w:sz w:val="18"/>
          <w:szCs w:val="18"/>
          <w:b w:val="1"/>
          <w:bCs w:val="1"/>
          <w:color w:val="auto"/>
        </w:rPr>
        <w:t>H</w:t>
      </w:r>
      <w:r>
        <w:rPr>
          <w:rFonts w:ascii="Arial" w:cs="Arial" w:eastAsia="Arial" w:hAnsi="Arial"/>
          <w:sz w:val="18"/>
          <w:szCs w:val="18"/>
          <w:color w:val="auto"/>
        </w:rPr>
        <w:t xml:space="preserve">emodynamic </w:t>
      </w:r>
      <w:r>
        <w:rPr>
          <w:rFonts w:ascii="Arial" w:cs="Arial" w:eastAsia="Arial" w:hAnsi="Arial"/>
          <w:sz w:val="18"/>
          <w:szCs w:val="18"/>
          <w:b w:val="1"/>
          <w:bCs w:val="1"/>
          <w:color w:val="auto"/>
        </w:rPr>
        <w:t>E</w:t>
      </w:r>
      <w:r>
        <w:rPr>
          <w:rFonts w:ascii="Arial" w:cs="Arial" w:eastAsia="Arial" w:hAnsi="Arial"/>
          <w:sz w:val="18"/>
          <w:szCs w:val="18"/>
          <w:color w:val="auto"/>
        </w:rPr>
        <w:t>valuation of</w:t>
      </w:r>
      <w:r>
        <w:rPr>
          <w:rFonts w:ascii="Arial" w:cs="Arial" w:eastAsia="Arial" w:hAnsi="Arial"/>
          <w:sz w:val="18"/>
          <w:szCs w:val="18"/>
          <w:b w:val="1"/>
          <w:bCs w:val="1"/>
          <w:color w:val="auto"/>
        </w:rPr>
        <w:t xml:space="preserve"> L</w:t>
      </w:r>
      <w:r>
        <w:rPr>
          <w:rFonts w:ascii="Arial" w:cs="Arial" w:eastAsia="Arial" w:hAnsi="Arial"/>
          <w:sz w:val="18"/>
          <w:szCs w:val="18"/>
          <w:color w:val="auto"/>
        </w:rPr>
        <w:t>evosimendan in</w:t>
      </w:r>
      <w:r>
        <w:rPr>
          <w:rFonts w:ascii="Arial" w:cs="Arial" w:eastAsia="Arial" w:hAnsi="Arial"/>
          <w:sz w:val="18"/>
          <w:szCs w:val="18"/>
          <w:b w:val="1"/>
          <w:bCs w:val="1"/>
          <w:color w:val="auto"/>
        </w:rPr>
        <w:t xml:space="preserve"> P</w:t>
      </w:r>
      <w:r>
        <w:rPr>
          <w:rFonts w:ascii="Arial" w:cs="Arial" w:eastAsia="Arial" w:hAnsi="Arial"/>
          <w:sz w:val="18"/>
          <w:szCs w:val="18"/>
          <w:color w:val="auto"/>
        </w:rPr>
        <w:t>H-HFpEF.</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initiated the first of our expected 10-12 HELP Study clinical sites in November 2018 and the first of 37 patients were enrolled in the HELP Study in March 2019. Enrollment in the HELP Study was completed in March 2020. The primary endpoint of the HELP Study was based on the change in PCWP during exercise versus baseline compared to placebo. The HELP Study utilized a double-blind randomized design following five weekly outpatient infusions of levosimendan.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22" w:name="page23"/>
    <w:bookmarkEnd w:id="22"/>
    <w:p>
      <w:pPr>
        <w:ind w:right="140"/>
        <w:spacing w:after="0" w:line="253" w:lineRule="auto"/>
        <w:rPr>
          <w:sz w:val="20"/>
          <w:szCs w:val="20"/>
          <w:color w:val="auto"/>
        </w:rPr>
      </w:pPr>
      <w:r>
        <w:rPr>
          <w:rFonts w:ascii="Arial" w:cs="Arial" w:eastAsia="Arial" w:hAnsi="Arial"/>
          <w:sz w:val="18"/>
          <w:szCs w:val="18"/>
          <w:color w:val="auto"/>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Hemodynamic Results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Hemodynamic measurements were made at rest (supine), after leg raise on a supine bicycle (a test of rapid increase in ventricular filling) and during exercise (25 watts for 3 minutes or until the patient tired). In the initial open-label phase, 84% of the patients had a significant reduction in right atrial pressure, or RAP, pulmonary artery pressure, or PAP and PCWP at rest and during exercise. In the randomized double-blinded 6-week trial, levosimendan demonstrated a statistically significant reduction in PCWP compared to baseline (p=&lt;0.0017) and placebo (p=&lt;0.0475) when the measurements at rest, with legs up and on exercise were combined. While there was no significant change in PCWP during exercise, patients receiving levosimendan had reductions from baseline at Week 6 in PCWP, PAP, and RAP that were significant when patients were “at rest” and/or with their “legs raised” (p&lt;0.05).</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Results (6-Minute Walk Distance)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 Levosimendan was given in once-weekly home infusions for six weeks.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w:t>
      </w:r>
    </w:p>
    <w:p>
      <w:pPr>
        <w:spacing w:after="0" w:line="158"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The incidence of adverse events or serious adverse events between the control and treated groups were similar. In addition, there were no arrhythmias observed, atrial or ventricular, when comparing baseline electrocardiographic monitoring with 72-hour monitoring after five weeks of treatment.</w:t>
      </w:r>
    </w:p>
    <w:p>
      <w:pPr>
        <w:spacing w:after="0" w:line="73"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has been accepted for publication in the peer-reviewed journal JACC:Heart Failure.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Steps</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October 9, 2020, we entered into an amendment, or the Amendment, to the License between the Company and Orion to include two new product formulations containing levosimendan, in a capsule solid oral dosage form, and a subcutaneously administered dosage form containing levosimendan, to the scope of the License, subject to specified limitations.</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plan to study the utility of the levosimendan oral capsule dosage form in patients who have participated in the open-label extension of the HELP Study and who continue to receive weekly infusions of intravenous levosimendan. These patients are now eligible to participate in the amendment to the HELP Study that will transition them from the intravenous to an oral formulation. The investigators at the centers that participated in the HELP Study have been invited to participate and enroll their patients into this study.</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oral levosimendan doses in a Phase 3 clinical study. The FDA expressed concern about a safety database as potentially necessary and indicated that the need for a further safety database could be dependent on the final design of the Phase 3 study. We expect that this will be addressed when the final Phase 3 protocol is submitted which will better characterize the trial design and primary endpoints.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HELP Study design was novel in several respects. To date, no other multi-center study has evaluated levosimendan in heart failure patients with preserved ejection fraction, or HFpEF, patients or PH-HFpEF patients. Instead, all previous levosimendan heart failure studies have enrolled heart failure patients with reduced ejection fraction, or HFrEF, which specifically excluded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3" w:name="page24"/>
    <w:bookmarkEnd w:id="23"/>
    <w:p>
      <w:pPr>
        <w:jc w:val="both"/>
        <w:ind w:right="220"/>
        <w:spacing w:after="0" w:line="259" w:lineRule="auto"/>
        <w:rPr>
          <w:sz w:val="20"/>
          <w:szCs w:val="20"/>
          <w:color w:val="auto"/>
        </w:rPr>
      </w:pPr>
      <w:r>
        <w:rPr>
          <w:rFonts w:ascii="Arial" w:cs="Arial" w:eastAsia="Arial" w:hAnsi="Arial"/>
          <w:sz w:val="18"/>
          <w:szCs w:val="18"/>
          <w:color w:val="auto"/>
        </w:rPr>
        <w:t>We believe that the combination of the unique HELP Study patient population, innovative weekly 24-hour dosing, unique home-based site of administration, and novel findings of efficacy and safety in PH-HFpEF patients represent unique discoveries and significant intellectual property. These discoveries, among others from the HELP Study, form the basis for a U.S. patent application that we have filed.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Imatinib Background</w:t>
      </w:r>
    </w:p>
    <w:p>
      <w:pPr>
        <w:spacing w:after="0" w:line="158"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Imatinib (also known as “Gleevec”), is a tyrosine kinase inhibitor, which revolutionized the treatment of chronic myeloid leukemia, or CML, in 2001. The first clinical trial of imatinib took place in 1998 and the drug received FDA approval in May 2001. Encouraged by the success of Imatinib in treating CML patients, scientists explored its effect in other cancers, and it was found to produce a similar positive effect in other cancers where tyrosine kinases were overexpressed.</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is the manufacturer of Gleevec.</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Previous Imatinib Development for Pulmonary Arterial Hypertension Patients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pulmonary arterial hypertension, or PAH, a rare disease, subjects who remain symptomatic despite available therapies have a high morbidity and mortality. Though several therapies are now available, there is no cure for the disease, and there is no data supporting that the existing therapies, all of which are pulmonary vasodilators, halt progression or induce regression of the disease. Imatinib is a tyrosine kinase inhibitor that has been shown in animal models of pulmonary hypertension to induce disease reversal by an effect on platelet derived growth factor, 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Novartis sponsored a Phase 2 proof-of-concept trial to evaluate the safety, tolerability, and efficacy of imatinib as an adjunct to PAH 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Imatinib Development for Pulmonary Arterial Hypertension Patients</w:t>
      </w:r>
    </w:p>
    <w:p>
      <w:pPr>
        <w:spacing w:after="0" w:line="158"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On May 30, 2019, PHPM met with the FDA to discuss a proposal for a Phase 3 trial of imatinib for PAH. At that meeting, PHPM received agreement for a single Phase 3 trial using change in 6-minute walk distance as the primary endpoint (p&lt;0.05). PHPM also received agreement for submission under the 505(b)</w:t>
      </w:r>
    </w:p>
    <w:p>
      <w:pPr>
        <w:spacing w:after="0" w:line="1" w:lineRule="exact"/>
        <w:rPr>
          <w:sz w:val="20"/>
          <w:szCs w:val="20"/>
          <w:color w:val="auto"/>
        </w:rPr>
      </w:pPr>
    </w:p>
    <w:p>
      <w:pPr>
        <w:jc w:val="both"/>
        <w:ind w:right="160" w:firstLine="8"/>
        <w:spacing w:after="0" w:line="295"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pathway, and thereafter received orphan designation. In August of 2019, PHPM was given preliminary advice on its plans to submit an application for Breakthrough Therapy Designation. In July 2020, PHPM received agreement from the FDA for the development of a modified release formulation that would require only a small comparative PK/bioavailability study in 12 volunteers receiving a single dose of the modified release formulation to be compared to a single dose of the existing immediate release formulation. A Phase 3 study is planned with the modified release formulation of imatinib.</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Highlights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financial measures for the three months ended March 31, 2021:</w:t>
      </w:r>
    </w:p>
    <w:p>
      <w:pPr>
        <w:spacing w:after="0" w:line="1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including the fair-value of our marketable securities, were $4.0 million on March 31, 2021.</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net loss from operations was $23.7 million for the first quarter of fiscal 2021 compared to $2.7 million for the three months ended March 31, 2020.</w:t>
      </w:r>
    </w:p>
    <w:p>
      <w:pPr>
        <w:ind w:left="660" w:hanging="328"/>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Net cash used in operating activities was $3.2 million and $2.7 million for the three months ended March 31, 2021 and 2020, respectively.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continued spread of COVID-19 globally could adversely affect our clinical trial operations in the United States and elsewhere, including our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w:t>
      </w:r>
    </w:p>
    <w:p>
      <w:pPr>
        <w:spacing w:after="0" w:line="133"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are focused on the following initiatives:</w:t>
      </w:r>
    </w:p>
    <w:p>
      <w:pPr>
        <w:spacing w:after="0" w:line="225" w:lineRule="exact"/>
        <w:rPr>
          <w:sz w:val="20"/>
          <w:szCs w:val="20"/>
          <w:color w:val="auto"/>
        </w:rPr>
      </w:pPr>
    </w:p>
    <w:p>
      <w:pPr>
        <w:ind w:left="660" w:right="8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developmental capabilities;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Three Months Ended March 31, 2021 and 2020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three months ended March 31, 2021 and 2020, respectively,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2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135"/>
              <w:spacing w:after="0"/>
              <w:rPr>
                <w:sz w:val="20"/>
                <w:szCs w:val="20"/>
                <w:color w:val="auto"/>
              </w:rPr>
            </w:pPr>
            <w:r>
              <w:rPr>
                <w:rFonts w:ascii="Arial" w:cs="Arial" w:eastAsia="Arial" w:hAnsi="Arial"/>
                <w:sz w:val="15"/>
                <w:szCs w:val="15"/>
                <w:b w:val="1"/>
                <w:bCs w:val="1"/>
                <w:color w:val="auto"/>
                <w:w w:val="92"/>
              </w:rPr>
              <w:t>Three months ended March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2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169"/>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97"/>
              <w:spacing w:after="0" w:line="162" w:lineRule="exact"/>
              <w:rPr>
                <w:sz w:val="20"/>
                <w:szCs w:val="20"/>
                <w:color w:val="auto"/>
              </w:rPr>
            </w:pPr>
            <w:r>
              <w:rPr>
                <w:rFonts w:ascii="Arial" w:cs="Arial" w:eastAsia="Arial" w:hAnsi="Arial"/>
                <w:sz w:val="15"/>
                <w:szCs w:val="15"/>
                <w:b w:val="1"/>
                <w:bCs w:val="1"/>
                <w:color w:val="auto"/>
              </w:rPr>
              <w:t>2021</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2020</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795,510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737,269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382,548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357,831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24,717</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costs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(34,948)</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Facilities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38,266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2,491</w:t>
            </w:r>
          </w:p>
        </w:tc>
        <w:tc>
          <w:tcPr>
            <w:tcW w:w="28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Personnel costs increased approximately $58,000 for the three months ended March 31, 2021 compared to the same period in the prior year. This increase was due primarily to an increase of approximately $38,000 in salaries and benefits paid and an increase of approximately $20,000 in expense recognized for vested employee stock options as compared to the same period in the prior year.</w:t>
      </w: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590" w:right="25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Legal and professional fees consist of the costs incurred for legal fees, accounting fees, capital market expenses, consulting fees and investor relations services, as well as fees paid to our Board of Directors. Legal and professional fees increased approximately $25,000 for the three months ended March 31, 2021 compared to the same period in the prior year. This increase was due primarily to an increase in accounting fees and Board of Directors fees, partially offset by reductions in legal fees, capital market expenses and investor relations services.</w:t>
      </w:r>
    </w:p>
    <w:p>
      <w:pPr>
        <w:spacing w:after="0" w:line="99" w:lineRule="exact"/>
        <w:rPr>
          <w:sz w:val="20"/>
          <w:szCs w:val="20"/>
          <w:color w:val="auto"/>
        </w:rPr>
      </w:pPr>
    </w:p>
    <w:p>
      <w:pPr>
        <w:ind w:left="660" w:right="8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fees increased approximately $40,000 in the current period due primarily to fees associated with the PHPM transaction that were not incurred during the same period in the prior year.</w:t>
      </w: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of Director fees increased approximately $12,000 in the current period due primarily to fees paid to new directors that were not incurred during the same period in the prior year.</w:t>
      </w:r>
    </w:p>
    <w:p>
      <w:pPr>
        <w:jc w:val="both"/>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fees decreased approximately $9,000 in the current period. This decrease was due primarily to a decrease of approximately $50,000 in costs incurred for arbitration partially offset by an increase of approximately $32,000 in costs associated with the PHPM acquisition and an increase of approximately $8,000 in fees associated with our intellectual property portfolio.</w:t>
      </w:r>
    </w:p>
    <w:p>
      <w:pPr>
        <w:spacing w:after="0" w:line="1"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Investor relations costs decreased approximately $12,000 in the current period. This decrease was primarily due to fees paid to a third-party investor relations firm for direct outreach and communications in the prior year that were not incurred in the current period.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costs include costs incurred for franchise and other taxes, travel, supplies, insurance, depreciation and other miscellaneous charges. Other costs decreased approximately $35,000 in the current period due primarily to a decrease in franchise taxes paid, partially offset by an increase of approximately $26,000 in insurance premiums paid in the current period as compared to the same period of the prior year.</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three months ended March 31, 2021 and 2020.</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Research and development expenses include, but are not limited to, (i) expenses incurred under agreements with clinical research organizations, or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w:t>
      </w:r>
    </w:p>
    <w:p>
      <w:pPr>
        <w:spacing w:after="0" w:line="1" w:lineRule="exact"/>
        <w:rPr>
          <w:sz w:val="20"/>
          <w:szCs w:val="20"/>
          <w:color w:val="auto"/>
        </w:rPr>
      </w:pPr>
    </w:p>
    <w:p>
      <w:pPr>
        <w:ind w:right="180" w:firstLine="8"/>
        <w:spacing w:after="0" w:line="302"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three months ended March 31, 2020 and 2019, respectively,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2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2"/>
              </w:rPr>
              <w:t>Three months ended March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2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3"/>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2020</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Clinical and preclinical development</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500,178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1,282,662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(782,484)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Personnel costs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55,143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81,099</w:t>
            </w:r>
          </w:p>
        </w:tc>
        <w:tc>
          <w:tcPr>
            <w:tcW w:w="2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21,739,782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21,735,061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460391%</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Clinical and preclinical development costs include the costs associated with our Phase 2 HELP Study for levosimendan, which was completed during fiscal year 2020, the costs associated with our IV to oral levosimendan transition study and development costs associated with the formulation for imatinib. The decrease of approximately $782,000 in clinical and preclinical development costs for the three months ended March 31, 2021 compared to the same period in the prior year was primarily due to a decrease of approximately $384,000 in expenditures for CRO costs, a reduction of approximately $524,000 in enrolled patient costs and a decrease of approximately $66,000 in fees paid for clinical research associates to manage the Phase 2 HELP Study in the current period as compared to the same period in the prior year. These cost reductions were partially offset by an increase of approximately $45,000 in costs associated with oral levosimendan transition study drug material and an increase of approximately $146,000 in costs associated with formulation development of imatinib in the current period that were not incurred in the same period in the prior year.</w:t>
      </w: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590" w:right="25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Personnel costs increased approximately $81,000 for the three months ended March 31, 2021 due primarily to the addition of our Chief Medical Officer in the current period.</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costs increased approximately $21.7 million for the three months ended March 31, 2021 due primarily to the recognition of IPR&amp;D acquired as part of the merger with PHPM in the current period that was not incurred in the same period in the prior year.</w:t>
      </w:r>
    </w:p>
    <w:p>
      <w:pPr>
        <w:spacing w:after="0" w:line="118"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most advanced product candidate, levosimendan; however, we will need substantial additional capital in the future in order to complete the development and potential commercialization of levosimendan, and to continue with the development of other potential product candidates.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condensed consolidated statement of comprehensive loss. These items include, but are not limited to, changes in the fair value of financial assets and derivative liabilities, interest income earned and fixed asset disposals.</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income decreased approximately $9,000 for the three months ended March 31, 2021 compared to the same period in the prior year. This decrease is due primarily to a decrease in the interest earned on our investment in marketable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Plan of Operation</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incurred losses since our inception, and as of March 31, 2021 we had an accumulated deficit of approximately $270 million. We will continue to incur losses until we generate sufficient revenue to offset our expenses, and we anticipate that we will continue to incur net losses for at least the next several years. We expect to incur increased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$4,517,599 and $6,795,506 and working capital of $3,083,799 and $4,676,543 as of March 31, 2021 and December 31, 2020, respectively. Based on our working capital and the value of our investments in marketable securities on March 31, 2021, we believe we have sufficient capital to fund our operations through the third quarter of calendar year 2021.</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March 31, 2021 and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5"/>
                <w:szCs w:val="15"/>
                <w:b w:val="1"/>
                <w:bCs w:val="1"/>
                <w:color w:val="auto"/>
                <w:w w:val="99"/>
              </w:rPr>
              <w:t>Three months ended March 31,</w:t>
            </w:r>
          </w:p>
        </w:tc>
        <w:tc>
          <w:tcPr>
            <w:tcW w:w="140" w:type="dxa"/>
            <w:vAlign w:val="bottom"/>
          </w:tcPr>
          <w:p>
            <w:pPr>
              <w:spacing w:after="0"/>
              <w:rPr>
                <w:sz w:val="15"/>
                <w:szCs w:val="15"/>
                <w:color w:val="auto"/>
              </w:rPr>
            </w:pPr>
          </w:p>
        </w:tc>
      </w:tr>
      <w:tr>
        <w:trPr>
          <w:trHeight w:val="223"/>
        </w:trPr>
        <w:tc>
          <w:tcPr>
            <w:tcW w:w="5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(3,221,141)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(2,671,029)</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gridSpan w:val="3"/>
          </w:tcPr>
          <w:p>
            <w:pPr>
              <w:jc w:val="right"/>
              <w:ind w:right="120"/>
              <w:spacing w:after="0"/>
              <w:rPr>
                <w:sz w:val="20"/>
                <w:szCs w:val="20"/>
                <w:color w:val="auto"/>
              </w:rPr>
            </w:pPr>
            <w:r>
              <w:rPr>
                <w:rFonts w:ascii="Arial" w:cs="Arial" w:eastAsia="Arial" w:hAnsi="Arial"/>
                <w:sz w:val="18"/>
                <w:szCs w:val="18"/>
                <w:color w:val="auto"/>
              </w:rPr>
              <w:t>(36,964)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(6,330)</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2,130,045</w:t>
            </w:r>
          </w:p>
        </w:tc>
      </w:tr>
    </w:tbl>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Net cash used in operating activities was approximately $3.2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used in operating activities of approximately $2.7 million for the three months ended March 31, 2020. The increase in cash used for operating activities was due primarily to an increase in our annual insurance premiums and accrued bonuses paid in the current period as compared to the prior year.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7" w:name="page28"/>
    <w:bookmarkEnd w:id="27"/>
    <w:p>
      <w:pPr>
        <w:ind w:right="400"/>
        <w:spacing w:after="0" w:line="259" w:lineRule="auto"/>
        <w:rPr>
          <w:sz w:val="20"/>
          <w:szCs w:val="20"/>
          <w:color w:val="auto"/>
        </w:rPr>
      </w:pPr>
      <w:r>
        <w:rPr>
          <w:rFonts w:ascii="Arial" w:cs="Arial" w:eastAsia="Arial" w:hAnsi="Arial"/>
          <w:sz w:val="18"/>
          <w:szCs w:val="18"/>
          <w:i w:val="1"/>
          <w:iCs w:val="1"/>
          <w:color w:val="auto"/>
        </w:rPr>
        <w:t>Net cash provided by investing activities</w:t>
      </w:r>
      <w:r>
        <w:rPr>
          <w:rFonts w:ascii="Arial" w:cs="Arial" w:eastAsia="Arial" w:hAnsi="Arial"/>
          <w:sz w:val="18"/>
          <w:szCs w:val="18"/>
          <w:color w:val="auto"/>
        </w:rPr>
        <w:t>. Net cash used for investing activities was approximately $37,000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$6,000 used in the three months ended March 31, 2020. The increase in cash used investing activities was primarily due to the purchase of marketable securities in the current period.</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$545,000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$2.1 million for the three months ended March 31, 2020. The decrease in cash provided by financing activities was due primarily to net proceeds of approximately $2.1 million from the March 2020 offering in the prior period, as compared with approximately $545,000 received upon the exercise of warrants in the current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 and potential product candidates;</w:t>
      </w:r>
    </w:p>
    <w:p>
      <w:pPr>
        <w:spacing w:after="0" w:line="15"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impacts of COVID-19, including delays that may be caused by COVID-19;</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 w:lineRule="exact"/>
        <w:rPr>
          <w:rFonts w:ascii="Arial" w:cs="Arial" w:eastAsia="Arial" w:hAnsi="Arial"/>
          <w:sz w:val="18"/>
          <w:szCs w:val="18"/>
          <w:color w:val="auto"/>
        </w:rPr>
      </w:pPr>
    </w:p>
    <w:p>
      <w:pPr>
        <w:ind w:left="580" w:hanging="31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our existing cash and cash equivalents, along with our investment in marketable securities, will be sufficient to fund our projected operating requirements through the third quarter of calendar year 2021. We will need substantial additional capital in the future in order to complete the development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may not be available on favorable terms, if at all. In the event we are unable to obtain additional capital, we may delay or reduce the scope of our current research and development programs and other expenses.</w:t>
      </w:r>
    </w:p>
    <w:p>
      <w:pPr>
        <w:spacing w:after="0" w:line="10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2020, and Note 2 to our unaudited condensed consolidated financial statements included in Part I, Item 1 of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December 2019, the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Our adoption of this new guidance did not have a material impact on our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8" w:name="page29"/>
    <w:bookmarkEnd w:id="28"/>
    <w:p>
      <w:pPr>
        <w:spacing w:after="0" w:line="294"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required by paragraph (b) of Rules 13a-15 and 15d-15 promulgated under the Exchange Act, our management, including our Chief Executive Officer and Chief Financial Officer, conducted an evaluation as of the end of the period covered by this report, of the effectiveness of our disclosure controls and procedures as defined in Exchange Act Rules 13a-15(e) and 15d-15(e). Based on that evaluation, our Chief Executive Officer and Chief Financial Officer concluded that our disclosure controls and procedures were effective as of March 31, 2021, the end of the period covered by this report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Chief Executive Officer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There were no changes in our internal control over financial reporting during our most recently completed fiscal quarter that have materially affected, or is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96" w:right="4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risks we face have not materially changed from those disclosed in our Annual Report on Form 10-K for the year ended December 31, 2020.</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 and are numbered in accordance with Item 601 of Regulation S-K: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8"/>
              </w:rPr>
              <w:t>Agreement and Plan of Merger among PHPrecisionMed Inc., Tenax Therapeutics, Inc., Life Newco II, Inc., and Dr. Stuart Rich dated January</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15, 2021 (incorporated herein by reference to Exhibit 2.1 to our current report on Form 8-K filed with the SEC on January 19, 2021)</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2"/>
              </w:rPr>
              <w:t>Certificate of Designation of Preferences, Rights and Limitations of Series B Convertible Preferred Stock pursuant to Section 151 of the</w:t>
            </w:r>
          </w:p>
        </w:tc>
      </w:tr>
      <w:tr>
        <w:trPr>
          <w:trHeight w:val="228"/>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89"/>
              </w:rPr>
              <w:t>Delaware General Corporation Law dated January 15, 2021 (incorporated herein by reference to Exhibit 4.1 to our current report on Form 8-</w:t>
            </w:r>
          </w:p>
        </w:tc>
      </w:tr>
      <w:tr>
        <w:trPr>
          <w:trHeight w:val="223"/>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K filed with the SEC on January 19, 2021)</w:t>
            </w:r>
          </w:p>
        </w:tc>
      </w:tr>
      <w:tr>
        <w:trPr>
          <w:trHeight w:val="17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Executive Employment Agreement with Dr. Stuart Rich dated January 15, 2021 (incorporated herein by reference to Exhibit 10.1 to our</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report on Form 8-K filed with the SEC on January 19, 2021)</w:t>
            </w:r>
          </w:p>
        </w:tc>
      </w:tr>
      <w:tr>
        <w:trPr>
          <w:trHeight w:val="176"/>
        </w:trPr>
        <w:tc>
          <w:tcPr>
            <w:tcW w:w="114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r>
      <w:tr>
        <w:trPr>
          <w:trHeight w:val="175"/>
        </w:trPr>
        <w:tc>
          <w:tcPr>
            <w:tcW w:w="11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of 2002</w:t>
            </w:r>
          </w:p>
        </w:tc>
      </w:tr>
      <w:tr>
        <w:trPr>
          <w:trHeight w:val="177"/>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8"/>
              </w:rPr>
              <w:t>Certification of Chief Financial Officer Pursuant to 18 U.S.C. Section 1350, as Adopted Pursuant to Section 906 of the Sarbanes-Oxley Act of</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2002</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TENAX THERAPEUTICS,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490"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Anthony DiTonno,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1034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340" w:right="40"/>
        <w:spacing w:after="0" w:line="27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12" w:lineRule="exact"/>
        <w:rPr>
          <w:sz w:val="20"/>
          <w:szCs w:val="20"/>
          <w:color w:val="auto"/>
        </w:rPr>
      </w:pPr>
    </w:p>
    <w:p>
      <w:pPr>
        <w:jc w:val="both"/>
        <w:ind w:right="12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March 31, 2021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right="380" w:firstLine="494"/>
        <w:spacing w:after="0" w:line="440"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17,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3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1034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12" w:lineRule="exact"/>
        <w:rPr>
          <w:sz w:val="20"/>
          <w:szCs w:val="20"/>
          <w:color w:val="auto"/>
        </w:rPr>
      </w:pPr>
    </w:p>
    <w:p>
      <w:pPr>
        <w:ind w:right="12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March 31, 2021 as filed with the Securities and Exchange Commission on the date hereof (the “Report”), I, Michael B. Jebsen, President and Chief Financial Officer (Principal Financial Officer) of the Company, certify pursuant to 18 U.S.C. Section 1350,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right="380" w:firstLine="494"/>
        <w:spacing w:after="0" w:line="440"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17,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3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Roman"/>
      <w:start w:val="5"/>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3" Type="http://schemas.openxmlformats.org/officeDocument/2006/relationships/hyperlink" Target="http://www.sec.gov/Archives/edgar/data/34956/000165495421000585/tenx_ex21.htm" TargetMode="External"/><Relationship Id="rId44" Type="http://schemas.openxmlformats.org/officeDocument/2006/relationships/hyperlink" Target="http://www.sec.gov/Archives/edgar/data/34956/000165495421000585/tenx_ex41.htm" TargetMode="External"/><Relationship Id="rId45" Type="http://schemas.openxmlformats.org/officeDocument/2006/relationships/hyperlink" Target="http://www.sec.gov/Archives/edgar/data/34956/000165495421000585/ten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2021-05-17T23:24:48Z</dcterms:created>
  <dcterms:modified xsi:type="dcterms:W3CDTF">2021-05-17T23:24:48Z</dcterms:modified>
</cp:coreProperties>
</file>