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Sphera Funds Management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2,663,296.00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2,663,296.00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2,663,296.00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reported in Item 11 is based on 37,423,917 shares of Common Stock outstanding as of July 28, 2026 (as provided by the Issuer in its Quarterly Report on Form 10-Q filed with the Securities and Exchange Commission ("SEC") on July 31, 2026), and 127,600 shares of Common Stock underlying call option contracts exercisable within 60 days, beneficially owned by the reporting persons as described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Sphera Global Healthcare GP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2,663,296.00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2,663,296.00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2,663,296.00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reported in Item 11 is based on 37,423,917 shares of Common Stock outstanding as of July 28, 2026 (as provided by the Issuer in its Quarterly Report on Form 10-Q filed with the SEC on July 31, 2026), and 127,600 shares of Common Stock underlying call option contracts exercisable within 60 days, beneficially owned by the reporting persons as described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Sphera Global Healthcare Management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2,663,296.00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2,663,296.00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2,663,296.00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reported in Item 11 is based on 37,423,917 shares of Common Stock outstanding as of July 28, 2026 (as provided by the Issuer in its Quarterly Report on Form 10-Q filed with the SEC on July 31, 2026), and 127,600 shares of Common Stock underlying call option contracts exercisable within 60 days, beneficially owned by the reporting persons as described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Sphera Funds Management Ltd. Sphera Global Healthcare GP Ltd. Sphera Global Healthcare Management LP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Address of the Principal Business Office of each of the reporting persons is: 4 Itzhak Sade, Building A, 29th Floor, Tel Aviv 6777504, Israel</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 is organized under the laws of the State of Israel</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 9 of the cover page of each reporting person. The securities reported herein by Sphera Funds Management Ltd., Sphera Global Healthcare GP Ltd. and Sphera Global Healthcare Management LP are beneficially owned as follows: (1) 219,775 Shares of Common Stock, and 12,600 shares of Common Stock underlying call option contracts exercisable within 60 days, which represent a total of 0.62% of the total Shares of Common Stock outstanding, are held directly by Sphera Global Healthcare Master Fund, which has delegated its investment management authority to Sphera Global Healthcare Management LP (the "Management Company"). (2) 2,315,921 Shares of Common Stock, and 115,000 shares of Common Stock underlying call option contracts exercisable within 60 days, which represent a total of 6.47% of the total Shares of Common Stock outstanding, are held directly by Sphera Biotech Master Fund, L.P., which has delegated its investment management authority to the Management Company. The Management Company is managed, controlled and operated by its general partner, Sphera Global Healthcare GP Ltd., the shares of which are owned 90% by Sphera Funds Management Ltd. 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Incorporated by reference to Item 11 of the cover page for each reporting person. Percentage reported in Item 11 for each reporting person is based on 37,423,917 shares of Common Stock outstanding as of July 28, 2026, (as provided by the Issuer in its Quarterly Report on Form 10-Q filed with the SEC on July 31, 2026), and 127,600 shares of Common Stock underlying call option contracts exercisable within 60 days, beneficially owned by the reporting persons as described above in Item 4(a).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Incorporated by reference to Item 5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Incorporated by reference to Item 6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Incorporated by reference to Item 7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Incorporated by reference to Item 8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Sphera Funds Management Ltd.</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Adi Hanetz</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Adi Hanetz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Sphera Global Healthcare GP Ltd.</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Adi Hanetz</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Adi Hanetz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Sphera Global Healthcare Management LP</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Adi Hanetz</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Adi Hanetz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Joint Filing Agreement by and among the reporting persons (incorporated herein by reference to Exhibit 1 to the Schedule 13G filed on August 27,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1720</Words>
  <Characters>8854</Characters>
  <CharactersWithSpaces>10524</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