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STAAB THOMAS R II</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280" w:type="dxa"/>
            <w:vAlign w:val="bottom"/>
            <w:tcBorders>
              <w:top w:val="single" w:sz="8" w:color="0000EE"/>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05/11/2026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TENAX 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TENX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101 GLEN LENNOX DRIVE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300</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2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9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CHAPEL</w:t>
            </w: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20"/>
                <w:szCs w:val="20"/>
                <w:color w:val="0000FF"/>
              </w:rPr>
              <w:t>NC</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27517</w:t>
            </w:r>
          </w:p>
        </w:tc>
        <w:tc>
          <w:tcPr>
            <w:tcW w:w="0" w:type="dxa"/>
            <w:vAlign w:val="bottom"/>
          </w:tcPr>
          <w:p>
            <w:pPr>
              <w:spacing w:after="0"/>
              <w:rPr>
                <w:sz w:val="1"/>
                <w:szCs w:val="1"/>
                <w:color w:val="auto"/>
              </w:rPr>
            </w:pPr>
          </w:p>
        </w:tc>
      </w:tr>
      <w:tr>
        <w:trPr>
          <w:trHeight w:val="134"/>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HILL</w:t>
            </w:r>
          </w:p>
        </w:tc>
        <w:tc>
          <w:tcPr>
            <w:tcW w:w="7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80" w:type="dxa"/>
            <w:vAlign w:val="bottom"/>
          </w:tcPr>
          <w:p>
            <w:pPr>
              <w:ind w:left="800"/>
              <w:spacing w:after="0"/>
              <w:rPr>
                <w:sz w:val="20"/>
                <w:szCs w:val="20"/>
                <w:color w:val="auto"/>
              </w:rPr>
            </w:pPr>
            <w:r>
              <w:rPr>
                <w:rFonts w:ascii="Times New Roman" w:cs="Times New Roman" w:eastAsia="Times New Roman" w:hAnsi="Times New Roman"/>
                <w:sz w:val="20"/>
                <w:szCs w:val="20"/>
                <w:color w:val="0000FF"/>
              </w:rPr>
              <w:t>0</w:t>
            </w:r>
          </w:p>
        </w:tc>
        <w:tc>
          <w:tcPr>
            <w:tcW w:w="1180" w:type="dxa"/>
            <w:vAlign w:val="bottom"/>
            <w:gridSpan w:val="2"/>
          </w:tcPr>
          <w:p>
            <w:pPr>
              <w:ind w:left="10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S. Halle Vakani,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05/13/2026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7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4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700" w:type="dxa"/>
            <w:vAlign w:val="bottom"/>
            <w:gridSpan w:val="2"/>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POWER OF ATTORNEY</w:t>
      </w:r>
    </w:p>
    <w:p>
      <w:pPr>
        <w:spacing w:after="0" w:line="261" w:lineRule="exact"/>
        <w:rPr>
          <w:sz w:val="20"/>
          <w:szCs w:val="20"/>
          <w:color w:val="auto"/>
        </w:rPr>
      </w:pPr>
    </w:p>
    <w:p>
      <w:pPr>
        <w:ind w:firstLine="729"/>
        <w:spacing w:after="0" w:line="244"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Amy Kinney Hallman, Lorna A. Knick, Barrett Schafer, Snehal Vakani and Holly Ann Wagner, and each of them acting alone, signing singly, the undersigned's true and lawful attorney-in-fact to: (1) execute for and on behalf of the undersigned, in the undersigned's capacity as an officer, director and/or 10% or more stockholder of Tenax Therapeutics, Inc. (the “Company”), Forms ID, 3, 4 and 5, Update Passphrase Acknowledgement (and any amendments thereto) in accordance with Section 16(a) of the Securities Exchange Act of 1934, as amended (the “1934 Act”), Schedule 13D and/or Schedule 13G (and any amendment thereto) in accordance with the 1934 Act, and the rules promulgated thereunder; (2) do and perform any and all acts for and on behalf of the undersigned which may be necessary or desirable to complete and execute any such Form ID, 3, 4, 5, and Update Passphrase Acknowledgement and Schedule 13D and/or Schedule 13G (and any amendments thereto), and any filing requirements in connection with EDGAR Next, and to file timely such form with the United States Securities and Exchange Commission and any stock exchange or similar authority; and (3)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24" w:lineRule="exact"/>
        <w:rPr>
          <w:sz w:val="20"/>
          <w:szCs w:val="20"/>
          <w:color w:val="auto"/>
        </w:rPr>
      </w:pPr>
    </w:p>
    <w:p>
      <w:pPr>
        <w:ind w:right="60" w:firstLine="729"/>
        <w:spacing w:after="0" w:line="246"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1934 Act.</w:t>
      </w:r>
    </w:p>
    <w:p>
      <w:pPr>
        <w:spacing w:after="0" w:line="222" w:lineRule="exact"/>
        <w:rPr>
          <w:sz w:val="20"/>
          <w:szCs w:val="20"/>
          <w:color w:val="auto"/>
        </w:rPr>
      </w:pPr>
    </w:p>
    <w:p>
      <w:pPr>
        <w:ind w:right="40" w:firstLine="729"/>
        <w:spacing w:after="0" w:line="248" w:lineRule="auto"/>
        <w:rPr>
          <w:sz w:val="20"/>
          <w:szCs w:val="20"/>
          <w:color w:val="auto"/>
        </w:rPr>
      </w:pPr>
      <w:r>
        <w:rPr>
          <w:rFonts w:ascii="Times New Roman" w:cs="Times New Roman" w:eastAsia="Times New Roman" w:hAnsi="Times New Roman"/>
          <w:sz w:val="22"/>
          <w:szCs w:val="22"/>
          <w:color w:val="auto"/>
        </w:rPr>
        <w:t>The undersigned attests and agrees that the use of an electronic signature in any authentication document that includes the undersigned signatory’s typed, conformed signature, and that is filed with or furnished to the Securities and Exchange Commission by or on behalf of the undersigned signatory, the Company or any of its affiliates, constitutes the legal equivalent of the undersigned signatory’s manual signature for purposes of authenticating the undersigned signatory’s signature to any filing or submission for which it is provided. The undersigned agrees that each such attorney-in-fact may rely entirely on information furnished orally or in writing by the undersigned to such attorney-in-fact.</w:t>
      </w:r>
    </w:p>
    <w:p>
      <w:pPr>
        <w:spacing w:after="0" w:line="217" w:lineRule="exact"/>
        <w:rPr>
          <w:sz w:val="20"/>
          <w:szCs w:val="20"/>
          <w:color w:val="auto"/>
        </w:rPr>
      </w:pPr>
    </w:p>
    <w:p>
      <w:pPr>
        <w:ind w:right="180" w:firstLine="729"/>
        <w:spacing w:after="0" w:line="252"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ID, 3, 4 and 5, Schedule 13D and Schedule 13G and any filings required by EDGAR Next with respect to the undersigned's holdings of and transactions in securities issued by the Company, unless earlier revoked by the undersigned in a signed writing delivered to each of the foregoing attorneys-in-fact.</w:t>
      </w:r>
    </w:p>
    <w:p>
      <w:pPr>
        <w:spacing w:after="0" w:line="213" w:lineRule="exact"/>
        <w:rPr>
          <w:sz w:val="20"/>
          <w:szCs w:val="20"/>
          <w:color w:val="auto"/>
        </w:rPr>
      </w:pPr>
    </w:p>
    <w:p>
      <w:pPr>
        <w:ind w:firstLine="729"/>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12th day of May 2026.</w:t>
      </w:r>
    </w:p>
    <w:p>
      <w:pPr>
        <w:spacing w:after="0" w:line="200" w:lineRule="exact"/>
        <w:rPr>
          <w:sz w:val="20"/>
          <w:szCs w:val="20"/>
          <w:color w:val="auto"/>
        </w:rPr>
      </w:pPr>
    </w:p>
    <w:p>
      <w:pPr>
        <w:spacing w:after="0" w:line="24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/s/ Thomas R. Staab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17145</wp:posOffset>
            </wp:positionV>
            <wp:extent cx="33540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354070" cy="9525"/>
                    </a:xfrm>
                    <a:prstGeom prst="rect">
                      <a:avLst/>
                    </a:prstGeom>
                    <a:noFill/>
                  </pic:spPr>
                </pic:pic>
              </a:graphicData>
            </a:graphic>
          </wp:anchor>
        </w:drawing>
      </w:r>
    </w:p>
    <w:p>
      <w:pPr>
        <w:spacing w:after="0" w:line="1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Thomas R. Staab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680720</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00"/>
      </w:cols>
      <w:pgMar w:left="480" w:top="144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230708" TargetMode="External"/><Relationship Id="rId11" Type="http://schemas.openxmlformats.org/officeDocument/2006/relationships/hyperlink" Target="http://www.sec.gov/cgi-bin/browse-edgar?action=getcompany&amp;CIK=00000349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2026-05-13T16:01:17Z</dcterms:created>
  <dcterms:modified xsi:type="dcterms:W3CDTF">2026-05-13T16:01:17Z</dcterms:modified>
</cp:coreProperties>
</file>