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837565</wp:posOffset>
            </wp:positionV>
            <wp:extent cx="71329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
          <w:szCs w:val="4"/>
          <w:b w:val="1"/>
          <w:bCs w:val="1"/>
          <w:color w:val="auto"/>
        </w:rPr>
        <w:t>rrrr</w:t>
      </w: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6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56" w:lineRule="exact"/>
        <w:rPr>
          <w:sz w:val="24"/>
          <w:szCs w:val="24"/>
          <w:color w:val="auto"/>
        </w:rPr>
      </w:pPr>
    </w:p>
    <w:p>
      <w:pPr>
        <w:ind w:left="4100" w:right="2840" w:hanging="4079"/>
        <w:spacing w:after="0" w:line="307" w:lineRule="auto"/>
        <w:tabs>
          <w:tab w:leader="none" w:pos="527"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2024</w:t>
      </w:r>
    </w:p>
    <w:p>
      <w:pPr>
        <w:spacing w:after="0" w:line="1" w:lineRule="exact"/>
        <w:rPr>
          <w:rFonts w:ascii="MS PGothic" w:cs="MS PGothic" w:eastAsia="MS PGothic" w:hAnsi="MS PGothic"/>
          <w:sz w:val="16"/>
          <w:szCs w:val="16"/>
          <w:color w:val="auto"/>
        </w:rPr>
      </w:pPr>
    </w:p>
    <w:p>
      <w:pPr>
        <w:ind w:left="5520"/>
        <w:spacing w:after="0"/>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OR</w:t>
      </w:r>
    </w:p>
    <w:p>
      <w:pPr>
        <w:spacing w:after="0" w:line="56" w:lineRule="exact"/>
        <w:rPr>
          <w:sz w:val="24"/>
          <w:szCs w:val="24"/>
          <w:color w:val="auto"/>
        </w:rPr>
      </w:pPr>
    </w:p>
    <w:p>
      <w:pPr>
        <w:ind w:left="4100" w:right="2500" w:hanging="4079"/>
        <w:spacing w:after="0" w:line="315" w:lineRule="auto"/>
        <w:tabs>
          <w:tab w:leader="none" w:pos="539"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 to _____</w:t>
      </w:r>
    </w:p>
    <w:p>
      <w:pPr>
        <w:ind w:left="452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Commission File No. 001-34600</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TENAX THERAPEUTICS, INC.</w:t>
      </w:r>
    </w:p>
    <w:p>
      <w:pPr>
        <w:spacing w:after="0" w:line="33" w:lineRule="exact"/>
        <w:rPr>
          <w:sz w:val="24"/>
          <w:szCs w:val="24"/>
          <w:color w:val="auto"/>
        </w:rPr>
      </w:pPr>
    </w:p>
    <w:tbl>
      <w:tblPr>
        <w:tblLayout w:type="fixed"/>
        <w:tblInd w:w="10" w:type="dxa"/>
        <w:tblCellMar>
          <w:top w:w="0" w:type="dxa"/>
          <w:left w:w="0" w:type="dxa"/>
          <w:bottom w:w="0" w:type="dxa"/>
          <w:right w:w="0" w:type="dxa"/>
        </w:tblCellMar>
      </w:tblPr>
      <w:tr>
        <w:trPr>
          <w:trHeight w:val="170"/>
        </w:trPr>
        <w:tc>
          <w:tcPr>
            <w:tcW w:w="3380" w:type="dxa"/>
            <w:vAlign w:val="bottom"/>
          </w:tcPr>
          <w:p>
            <w:pPr>
              <w:spacing w:after="0"/>
              <w:rPr>
                <w:sz w:val="14"/>
                <w:szCs w:val="14"/>
                <w:color w:val="auto"/>
              </w:rPr>
            </w:pPr>
          </w:p>
        </w:tc>
        <w:tc>
          <w:tcPr>
            <w:tcW w:w="4040" w:type="dxa"/>
            <w:vAlign w:val="bottom"/>
            <w:gridSpan w:val="5"/>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840" w:type="dxa"/>
            <w:vAlign w:val="bottom"/>
          </w:tcPr>
          <w:p>
            <w:pPr>
              <w:spacing w:after="0"/>
              <w:rPr>
                <w:sz w:val="14"/>
                <w:szCs w:val="14"/>
                <w:color w:val="auto"/>
              </w:rPr>
            </w:pPr>
          </w:p>
        </w:tc>
      </w:tr>
      <w:tr>
        <w:trPr>
          <w:trHeight w:val="172"/>
        </w:trPr>
        <w:tc>
          <w:tcPr>
            <w:tcW w:w="3380" w:type="dxa"/>
            <w:vAlign w:val="bottom"/>
            <w:tcBorders>
              <w:bottom w:val="single" w:sz="8" w:color="auto"/>
            </w:tcBorders>
          </w:tcPr>
          <w:p>
            <w:pPr>
              <w:jc w:val="center"/>
              <w:ind w:left="2171"/>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7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tcPr>
          <w:p>
            <w:pPr>
              <w:jc w:val="right"/>
              <w:ind w:right="2351"/>
              <w:spacing w:after="0"/>
              <w:rPr>
                <w:sz w:val="20"/>
                <w:szCs w:val="20"/>
                <w:color w:val="auto"/>
              </w:rPr>
            </w:pPr>
            <w:r>
              <w:rPr>
                <w:rFonts w:ascii="Times New Roman" w:cs="Times New Roman" w:eastAsia="Times New Roman" w:hAnsi="Times New Roman"/>
                <w:sz w:val="14"/>
                <w:szCs w:val="14"/>
                <w:b w:val="1"/>
                <w:bCs w:val="1"/>
                <w:color w:val="auto"/>
              </w:rPr>
              <w:t>26-2593535</w:t>
            </w:r>
          </w:p>
        </w:tc>
      </w:tr>
      <w:tr>
        <w:trPr>
          <w:trHeight w:val="157"/>
        </w:trPr>
        <w:tc>
          <w:tcPr>
            <w:tcW w:w="564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(State or other jurisdiction of incorporation or organization)</w:t>
            </w: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840" w:type="dxa"/>
            <w:vAlign w:val="bottom"/>
          </w:tcPr>
          <w:p>
            <w:pPr>
              <w:jc w:val="center"/>
              <w:ind w:right="1631"/>
              <w:spacing w:after="0"/>
              <w:rPr>
                <w:sz w:val="20"/>
                <w:szCs w:val="20"/>
                <w:color w:val="auto"/>
              </w:rPr>
            </w:pPr>
            <w:r>
              <w:rPr>
                <w:rFonts w:ascii="Times New Roman" w:cs="Times New Roman" w:eastAsia="Times New Roman" w:hAnsi="Times New Roman"/>
                <w:sz w:val="13"/>
                <w:szCs w:val="13"/>
                <w:b w:val="1"/>
                <w:bCs w:val="1"/>
                <w:color w:val="auto"/>
              </w:rPr>
              <w:t>(I.R.S. Employer Identification No.)</w:t>
            </w:r>
          </w:p>
        </w:tc>
      </w:tr>
      <w:tr>
        <w:trPr>
          <w:trHeight w:val="156"/>
        </w:trPr>
        <w:tc>
          <w:tcPr>
            <w:tcW w:w="3380" w:type="dxa"/>
            <w:vAlign w:val="bottom"/>
          </w:tcPr>
          <w:p>
            <w:pPr>
              <w:spacing w:after="0"/>
              <w:rPr>
                <w:sz w:val="13"/>
                <w:szCs w:val="13"/>
                <w:color w:val="auto"/>
              </w:rPr>
            </w:pPr>
          </w:p>
        </w:tc>
        <w:tc>
          <w:tcPr>
            <w:tcW w:w="7880" w:type="dxa"/>
            <w:vAlign w:val="bottom"/>
            <w:gridSpan w:val="6"/>
          </w:tcPr>
          <w:p>
            <w:pPr>
              <w:jc w:val="center"/>
              <w:ind w:right="3331"/>
              <w:spacing w:after="0" w:line="155" w:lineRule="exact"/>
              <w:rPr>
                <w:sz w:val="20"/>
                <w:szCs w:val="20"/>
                <w:color w:val="auto"/>
              </w:rPr>
            </w:pPr>
            <w:r>
              <w:rPr>
                <w:rFonts w:ascii="Times New Roman" w:cs="Times New Roman" w:eastAsia="Times New Roman" w:hAnsi="Times New Roman"/>
                <w:sz w:val="14"/>
                <w:szCs w:val="14"/>
                <w:b w:val="1"/>
                <w:bCs w:val="1"/>
                <w:color w:val="auto"/>
              </w:rPr>
              <w:t>101 Glen Lennox Drive, Suite 300, Chapel Hill, North Carolina 27517</w:t>
            </w:r>
          </w:p>
        </w:tc>
      </w:tr>
      <w:tr>
        <w:trPr>
          <w:trHeight w:val="140"/>
        </w:trPr>
        <w:tc>
          <w:tcPr>
            <w:tcW w:w="3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300" w:type="dxa"/>
            <w:vAlign w:val="bottom"/>
            <w:gridSpan w:val="4"/>
          </w:tcPr>
          <w:p>
            <w:pPr>
              <w:jc w:val="center"/>
              <w:ind w:right="320"/>
              <w:spacing w:after="0" w:line="140" w:lineRule="exact"/>
              <w:rPr>
                <w:sz w:val="20"/>
                <w:szCs w:val="20"/>
                <w:color w:val="auto"/>
              </w:rPr>
            </w:pPr>
            <w:r>
              <w:rPr>
                <w:rFonts w:ascii="Times New Roman" w:cs="Times New Roman" w:eastAsia="Times New Roman" w:hAnsi="Times New Roman"/>
                <w:sz w:val="13"/>
                <w:szCs w:val="13"/>
                <w:b w:val="1"/>
                <w:bCs w:val="1"/>
                <w:color w:val="auto"/>
              </w:rPr>
              <w:t>(Address of Principal Executive Offices) (Zip Code)</w:t>
            </w:r>
          </w:p>
        </w:tc>
        <w:tc>
          <w:tcPr>
            <w:tcW w:w="3840" w:type="dxa"/>
            <w:vAlign w:val="bottom"/>
          </w:tcPr>
          <w:p>
            <w:pPr>
              <w:spacing w:after="0"/>
              <w:rPr>
                <w:sz w:val="12"/>
                <w:szCs w:val="12"/>
                <w:color w:val="auto"/>
              </w:rPr>
            </w:pPr>
          </w:p>
        </w:tc>
      </w:tr>
      <w:tr>
        <w:trPr>
          <w:trHeight w:val="174"/>
        </w:trPr>
        <w:tc>
          <w:tcPr>
            <w:tcW w:w="3380" w:type="dxa"/>
            <w:vAlign w:val="bottom"/>
          </w:tcPr>
          <w:p>
            <w:pPr>
              <w:spacing w:after="0"/>
              <w:rPr>
                <w:sz w:val="15"/>
                <w:szCs w:val="15"/>
                <w:color w:val="auto"/>
              </w:rPr>
            </w:pPr>
          </w:p>
        </w:tc>
        <w:tc>
          <w:tcPr>
            <w:tcW w:w="7880" w:type="dxa"/>
            <w:vAlign w:val="bottom"/>
            <w:gridSpan w:val="6"/>
          </w:tcPr>
          <w:p>
            <w:pPr>
              <w:jc w:val="center"/>
              <w:ind w:right="3331"/>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(919) 855-2100</w:t>
            </w:r>
          </w:p>
        </w:tc>
      </w:tr>
      <w:tr>
        <w:trPr>
          <w:trHeight w:val="187"/>
        </w:trPr>
        <w:tc>
          <w:tcPr>
            <w:tcW w:w="3380" w:type="dxa"/>
            <w:vAlign w:val="bottom"/>
          </w:tcPr>
          <w:p>
            <w:pPr>
              <w:spacing w:after="0"/>
              <w:rPr>
                <w:sz w:val="16"/>
                <w:szCs w:val="16"/>
                <w:color w:val="auto"/>
              </w:rPr>
            </w:pPr>
          </w:p>
        </w:tc>
        <w:tc>
          <w:tcPr>
            <w:tcW w:w="4040" w:type="dxa"/>
            <w:vAlign w:val="bottom"/>
            <w:gridSpan w:val="5"/>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840" w:type="dxa"/>
            <w:vAlign w:val="bottom"/>
          </w:tcPr>
          <w:p>
            <w:pPr>
              <w:spacing w:after="0"/>
              <w:rPr>
                <w:sz w:val="16"/>
                <w:szCs w:val="16"/>
                <w:color w:val="auto"/>
              </w:rPr>
            </w:pPr>
          </w:p>
        </w:tc>
      </w:tr>
      <w:tr>
        <w:trPr>
          <w:trHeight w:val="25"/>
        </w:trPr>
        <w:tc>
          <w:tcPr>
            <w:tcW w:w="3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r>
      <w:tr>
        <w:trPr>
          <w:trHeight w:val="158"/>
        </w:trPr>
        <w:tc>
          <w:tcPr>
            <w:tcW w:w="3380" w:type="dxa"/>
            <w:vAlign w:val="bottom"/>
            <w:tcBorders>
              <w:left w:val="single" w:sz="8" w:color="auto"/>
              <w:bottom w:val="single" w:sz="8" w:color="auto"/>
            </w:tcBorders>
          </w:tcPr>
          <w:p>
            <w:pPr>
              <w:jc w:val="center"/>
              <w:ind w:left="671"/>
              <w:spacing w:after="0" w:line="138" w:lineRule="exact"/>
              <w:rPr>
                <w:sz w:val="20"/>
                <w:szCs w:val="20"/>
                <w:color w:val="auto"/>
              </w:rPr>
            </w:pPr>
            <w:r>
              <w:rPr>
                <w:rFonts w:ascii="Times New Roman" w:cs="Times New Roman" w:eastAsia="Times New Roman" w:hAnsi="Times New Roman"/>
                <w:sz w:val="14"/>
                <w:szCs w:val="14"/>
                <w:b w:val="1"/>
                <w:bCs w:val="1"/>
                <w:color w:val="auto"/>
              </w:rPr>
              <w:t>Title of Each Class</w:t>
            </w:r>
          </w:p>
        </w:tc>
        <w:tc>
          <w:tcPr>
            <w:tcW w:w="740" w:type="dxa"/>
            <w:vAlign w:val="bottom"/>
            <w:tcBorders>
              <w:bottom w:val="single" w:sz="8" w:color="auto"/>
              <w:right w:val="single" w:sz="8" w:color="auto"/>
            </w:tcBorders>
          </w:tcPr>
          <w:p>
            <w:pPr>
              <w:spacing w:after="0"/>
              <w:rPr>
                <w:sz w:val="13"/>
                <w:szCs w:val="13"/>
                <w:color w:val="auto"/>
              </w:rPr>
            </w:pPr>
          </w:p>
        </w:tc>
        <w:tc>
          <w:tcPr>
            <w:tcW w:w="2700" w:type="dxa"/>
            <w:vAlign w:val="bottom"/>
            <w:tcBorders>
              <w:bottom w:val="single" w:sz="8" w:color="auto"/>
              <w:right w:val="single" w:sz="8" w:color="auto"/>
            </w:tcBorders>
            <w:gridSpan w:val="3"/>
          </w:tcPr>
          <w:p>
            <w:pPr>
              <w:ind w:left="760"/>
              <w:spacing w:after="0" w:line="138" w:lineRule="exact"/>
              <w:rPr>
                <w:sz w:val="20"/>
                <w:szCs w:val="20"/>
                <w:color w:val="auto"/>
              </w:rPr>
            </w:pPr>
            <w:r>
              <w:rPr>
                <w:rFonts w:ascii="Times New Roman" w:cs="Times New Roman" w:eastAsia="Times New Roman" w:hAnsi="Times New Roman"/>
                <w:sz w:val="14"/>
                <w:szCs w:val="14"/>
                <w:b w:val="1"/>
                <w:bCs w:val="1"/>
                <w:color w:val="auto"/>
              </w:rPr>
              <w:t>Trading Symbol(s)</w:t>
            </w:r>
          </w:p>
        </w:tc>
        <w:tc>
          <w:tcPr>
            <w:tcW w:w="600" w:type="dxa"/>
            <w:vAlign w:val="bottom"/>
            <w:tcBorders>
              <w:bottom w:val="single" w:sz="8" w:color="auto"/>
            </w:tcBorders>
          </w:tcPr>
          <w:p>
            <w:pPr>
              <w:spacing w:after="0"/>
              <w:rPr>
                <w:sz w:val="13"/>
                <w:szCs w:val="13"/>
                <w:color w:val="auto"/>
              </w:rPr>
            </w:pPr>
          </w:p>
        </w:tc>
        <w:tc>
          <w:tcPr>
            <w:tcW w:w="3840" w:type="dxa"/>
            <w:vAlign w:val="bottom"/>
            <w:tcBorders>
              <w:bottom w:val="single" w:sz="8" w:color="auto"/>
              <w:right w:val="single" w:sz="8" w:color="auto"/>
            </w:tcBorders>
          </w:tcPr>
          <w:p>
            <w:pPr>
              <w:jc w:val="center"/>
              <w:ind w:right="571"/>
              <w:spacing w:after="0" w:line="138" w:lineRule="exact"/>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21"/>
        </w:trPr>
        <w:tc>
          <w:tcPr>
            <w:tcW w:w="3380" w:type="dxa"/>
            <w:vAlign w:val="bottom"/>
            <w:tcBorders>
              <w:left w:val="single" w:sz="8" w:color="auto"/>
              <w:bottom w:val="single" w:sz="8" w:color="auto"/>
            </w:tcBorders>
          </w:tcPr>
          <w:p>
            <w:pPr>
              <w:jc w:val="center"/>
              <w:ind w:left="671"/>
              <w:spacing w:after="0" w:line="121" w:lineRule="exact"/>
              <w:rPr>
                <w:sz w:val="20"/>
                <w:szCs w:val="20"/>
                <w:color w:val="auto"/>
              </w:rPr>
            </w:pPr>
            <w:r>
              <w:rPr>
                <w:rFonts w:ascii="Times New Roman" w:cs="Times New Roman" w:eastAsia="Times New Roman" w:hAnsi="Times New Roman"/>
                <w:sz w:val="13"/>
                <w:szCs w:val="13"/>
                <w:color w:val="auto"/>
              </w:rPr>
              <w:t>Common Stock, $0.0001 par value per share</w:t>
            </w:r>
          </w:p>
        </w:tc>
        <w:tc>
          <w:tcPr>
            <w:tcW w:w="740" w:type="dxa"/>
            <w:vAlign w:val="bottom"/>
            <w:tcBorders>
              <w:bottom w:val="single" w:sz="8" w:color="auto"/>
              <w:right w:val="single" w:sz="8" w:color="auto"/>
            </w:tcBorders>
          </w:tcPr>
          <w:p>
            <w:pPr>
              <w:spacing w:after="0"/>
              <w:rPr>
                <w:sz w:val="10"/>
                <w:szCs w:val="10"/>
                <w:color w:val="auto"/>
              </w:rPr>
            </w:pPr>
          </w:p>
        </w:tc>
        <w:tc>
          <w:tcPr>
            <w:tcW w:w="2700" w:type="dxa"/>
            <w:vAlign w:val="bottom"/>
            <w:tcBorders>
              <w:bottom w:val="single" w:sz="8" w:color="auto"/>
              <w:right w:val="single" w:sz="8" w:color="auto"/>
            </w:tcBorders>
            <w:gridSpan w:val="3"/>
          </w:tcPr>
          <w:p>
            <w:pPr>
              <w:ind w:left="1200"/>
              <w:spacing w:after="0" w:line="121" w:lineRule="exact"/>
              <w:rPr>
                <w:sz w:val="20"/>
                <w:szCs w:val="20"/>
                <w:color w:val="auto"/>
              </w:rPr>
            </w:pPr>
            <w:r>
              <w:rPr>
                <w:rFonts w:ascii="Times New Roman" w:cs="Times New Roman" w:eastAsia="Times New Roman" w:hAnsi="Times New Roman"/>
                <w:sz w:val="13"/>
                <w:szCs w:val="13"/>
                <w:color w:val="auto"/>
              </w:rPr>
              <w:t>TENX</w:t>
            </w:r>
          </w:p>
        </w:tc>
        <w:tc>
          <w:tcPr>
            <w:tcW w:w="600" w:type="dxa"/>
            <w:vAlign w:val="bottom"/>
            <w:tcBorders>
              <w:bottom w:val="single" w:sz="8" w:color="auto"/>
            </w:tcBorders>
          </w:tcPr>
          <w:p>
            <w:pPr>
              <w:spacing w:after="0"/>
              <w:rPr>
                <w:sz w:val="10"/>
                <w:szCs w:val="10"/>
                <w:color w:val="auto"/>
              </w:rPr>
            </w:pPr>
          </w:p>
        </w:tc>
        <w:tc>
          <w:tcPr>
            <w:tcW w:w="3840" w:type="dxa"/>
            <w:vAlign w:val="bottom"/>
            <w:tcBorders>
              <w:bottom w:val="single" w:sz="8" w:color="auto"/>
              <w:right w:val="single" w:sz="8" w:color="auto"/>
            </w:tcBorders>
          </w:tcPr>
          <w:p>
            <w:pPr>
              <w:jc w:val="center"/>
              <w:ind w:right="591"/>
              <w:spacing w:after="0" w:line="121" w:lineRule="exact"/>
              <w:rPr>
                <w:sz w:val="20"/>
                <w:szCs w:val="20"/>
                <w:color w:val="auto"/>
              </w:rPr>
            </w:pPr>
            <w:r>
              <w:rPr>
                <w:rFonts w:ascii="Times New Roman" w:cs="Times New Roman" w:eastAsia="Times New Roman" w:hAnsi="Times New Roman"/>
                <w:sz w:val="13"/>
                <w:szCs w:val="13"/>
                <w:color w:val="auto"/>
              </w:rPr>
              <w:t>The Nasdaq Stock Market LLC</w:t>
            </w:r>
          </w:p>
        </w:tc>
      </w:tr>
    </w:tbl>
    <w:p>
      <w:pPr>
        <w:spacing w:after="0" w:line="12"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p>
      <w:pPr>
        <w:spacing w:after="0" w:line="26" w:lineRule="exact"/>
        <w:rPr>
          <w:sz w:val="24"/>
          <w:szCs w:val="24"/>
          <w:color w:val="auto"/>
        </w:rPr>
      </w:pPr>
    </w:p>
    <w:p>
      <w:pPr>
        <w:ind w:right="4560"/>
        <w:spacing w:after="0" w:line="192" w:lineRule="exact"/>
        <w:rPr>
          <w:sz w:val="20"/>
          <w:szCs w:val="20"/>
          <w:color w:val="auto"/>
        </w:rPr>
      </w:pPr>
      <w:r>
        <w:rPr>
          <w:rFonts w:ascii="Times New Roman" w:cs="Times New Roman" w:eastAsia="Times New Roman" w:hAnsi="Times New Roman"/>
          <w:sz w:val="11"/>
          <w:szCs w:val="11"/>
          <w:color w:val="auto"/>
        </w:rPr>
        <w:t xml:space="preserve">Indicate by check mark if the registrant is a well-known seasoned issuer, as defined in Rule 405 of the Securities Act.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Indicate by check mark if the registrant is not required to file reports pursuant to Section 13 or Section 15(d) of the Act.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1" w:lineRule="exact"/>
        <w:rPr>
          <w:sz w:val="24"/>
          <w:szCs w:val="24"/>
          <w:color w:val="auto"/>
        </w:rPr>
      </w:pPr>
    </w:p>
    <w:p>
      <w:pPr>
        <w:jc w:val="both"/>
        <w:spacing w:after="0" w:line="158"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jc w:val="both"/>
        <w:spacing w:after="0" w:line="161"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jc w:val="both"/>
        <w:ind w:right="20"/>
        <w:spacing w:after="0" w:line="233"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50"/>
        </w:trPr>
        <w:tc>
          <w:tcPr>
            <w:tcW w:w="226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300" w:type="dxa"/>
            <w:vAlign w:val="bottom"/>
          </w:tcPr>
          <w:p>
            <w:pPr>
              <w:ind w:left="1120"/>
              <w:spacing w:after="0" w:line="131" w:lineRule="exact"/>
              <w:rPr>
                <w:sz w:val="20"/>
                <w:szCs w:val="20"/>
                <w:color w:val="auto"/>
              </w:rPr>
            </w:pPr>
            <w:r>
              <w:rPr>
                <w:rFonts w:ascii="MS PGothic" w:cs="MS PGothic" w:eastAsia="MS PGothic" w:hAnsi="MS PGothic"/>
                <w:sz w:val="13"/>
                <w:szCs w:val="13"/>
                <w:color w:val="auto"/>
              </w:rPr>
              <w:t>☐</w:t>
            </w:r>
          </w:p>
        </w:tc>
        <w:tc>
          <w:tcPr>
            <w:tcW w:w="3440" w:type="dxa"/>
            <w:vAlign w:val="bottom"/>
          </w:tcPr>
          <w:p>
            <w:pPr>
              <w:ind w:left="1060"/>
              <w:spacing w:after="0"/>
              <w:rPr>
                <w:sz w:val="20"/>
                <w:szCs w:val="20"/>
                <w:color w:val="auto"/>
              </w:rPr>
            </w:pPr>
            <w:r>
              <w:rPr>
                <w:rFonts w:ascii="Times New Roman" w:cs="Times New Roman" w:eastAsia="Times New Roman" w:hAnsi="Times New Roman"/>
                <w:sz w:val="13"/>
                <w:szCs w:val="13"/>
                <w:color w:val="auto"/>
              </w:rPr>
              <w:t>Accelerated filer</w:t>
            </w:r>
          </w:p>
        </w:tc>
        <w:tc>
          <w:tcPr>
            <w:tcW w:w="1100" w:type="dxa"/>
            <w:vAlign w:val="bottom"/>
          </w:tcPr>
          <w:p>
            <w:pPr>
              <w:ind w:left="10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48"/>
        </w:trPr>
        <w:tc>
          <w:tcPr>
            <w:tcW w:w="2260" w:type="dxa"/>
            <w:vAlign w:val="bottom"/>
          </w:tcPr>
          <w:p>
            <w:pPr>
              <w:spacing w:after="0" w:line="148" w:lineRule="exact"/>
              <w:rPr>
                <w:sz w:val="20"/>
                <w:szCs w:val="20"/>
                <w:color w:val="auto"/>
              </w:rPr>
            </w:pPr>
            <w:r>
              <w:rPr>
                <w:rFonts w:ascii="Times New Roman" w:cs="Times New Roman" w:eastAsia="Times New Roman" w:hAnsi="Times New Roman"/>
                <w:sz w:val="13"/>
                <w:szCs w:val="13"/>
                <w:color w:val="auto"/>
              </w:rPr>
              <w:t>Non-accelerated filer</w:t>
            </w:r>
          </w:p>
        </w:tc>
        <w:tc>
          <w:tcPr>
            <w:tcW w:w="2300" w:type="dxa"/>
            <w:vAlign w:val="bottom"/>
          </w:tcPr>
          <w:p>
            <w:pPr>
              <w:ind w:left="1120"/>
              <w:spacing w:after="0" w:line="131" w:lineRule="exact"/>
              <w:rPr>
                <w:sz w:val="20"/>
                <w:szCs w:val="20"/>
                <w:color w:val="auto"/>
              </w:rPr>
            </w:pPr>
            <w:r>
              <w:rPr>
                <w:rFonts w:ascii="MS PGothic" w:cs="MS PGothic" w:eastAsia="MS PGothic" w:hAnsi="MS PGothic"/>
                <w:sz w:val="13"/>
                <w:szCs w:val="13"/>
                <w:color w:val="auto"/>
              </w:rPr>
              <w:t>☒</w:t>
            </w:r>
          </w:p>
        </w:tc>
        <w:tc>
          <w:tcPr>
            <w:tcW w:w="3440" w:type="dxa"/>
            <w:vAlign w:val="bottom"/>
          </w:tcPr>
          <w:p>
            <w:pPr>
              <w:ind w:left="1060"/>
              <w:spacing w:after="0" w:line="148" w:lineRule="exact"/>
              <w:rPr>
                <w:sz w:val="20"/>
                <w:szCs w:val="20"/>
                <w:color w:val="auto"/>
              </w:rPr>
            </w:pPr>
            <w:r>
              <w:rPr>
                <w:rFonts w:ascii="Times New Roman" w:cs="Times New Roman" w:eastAsia="Times New Roman" w:hAnsi="Times New Roman"/>
                <w:sz w:val="13"/>
                <w:szCs w:val="13"/>
                <w:color w:val="auto"/>
              </w:rPr>
              <w:t>Smaller reporting company</w:t>
            </w:r>
          </w:p>
        </w:tc>
        <w:tc>
          <w:tcPr>
            <w:tcW w:w="1100" w:type="dxa"/>
            <w:vAlign w:val="bottom"/>
          </w:tcPr>
          <w:p>
            <w:pPr>
              <w:ind w:left="10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10"/>
        </w:trPr>
        <w:tc>
          <w:tcPr>
            <w:tcW w:w="22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440" w:type="dxa"/>
            <w:vAlign w:val="bottom"/>
          </w:tcPr>
          <w:p>
            <w:pPr>
              <w:ind w:left="1060"/>
              <w:spacing w:after="0"/>
              <w:rPr>
                <w:sz w:val="20"/>
                <w:szCs w:val="20"/>
                <w:color w:val="auto"/>
              </w:rPr>
            </w:pPr>
            <w:r>
              <w:rPr>
                <w:rFonts w:ascii="Times New Roman" w:cs="Times New Roman" w:eastAsia="Times New Roman" w:hAnsi="Times New Roman"/>
                <w:sz w:val="13"/>
                <w:szCs w:val="13"/>
                <w:color w:val="auto"/>
              </w:rPr>
              <w:t>Emerging growth company</w:t>
            </w:r>
          </w:p>
        </w:tc>
        <w:tc>
          <w:tcPr>
            <w:tcW w:w="1100" w:type="dxa"/>
            <w:vAlign w:val="bottom"/>
          </w:tcPr>
          <w:p>
            <w:pPr>
              <w:ind w:left="1000"/>
              <w:spacing w:after="0" w:line="111" w:lineRule="exact"/>
              <w:rPr>
                <w:sz w:val="20"/>
                <w:szCs w:val="20"/>
                <w:color w:val="auto"/>
              </w:rPr>
            </w:pPr>
            <w:r>
              <w:rPr>
                <w:rFonts w:ascii="MS PGothic" w:cs="MS PGothic" w:eastAsia="MS PGothic" w:hAnsi="MS PGothic"/>
                <w:sz w:val="11"/>
                <w:szCs w:val="11"/>
                <w:color w:val="auto"/>
                <w:w w:val="72"/>
              </w:rPr>
              <w:t>☐</w:t>
            </w:r>
          </w:p>
        </w:tc>
      </w:tr>
    </w:tbl>
    <w:p>
      <w:pPr>
        <w:jc w:val="both"/>
        <w:spacing w:after="0" w:line="155"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jc w:val="both"/>
        <w:spacing w:after="0" w:line="158"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jc w:val="both"/>
        <w:spacing w:after="0" w:line="161"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 w:lineRule="exact"/>
        <w:rPr>
          <w:sz w:val="24"/>
          <w:szCs w:val="24"/>
          <w:color w:val="auto"/>
        </w:rPr>
      </w:pPr>
    </w:p>
    <w:p>
      <w:pPr>
        <w:jc w:val="both"/>
        <w:spacing w:after="0" w:line="161" w:lineRule="exact"/>
        <w:rPr>
          <w:sz w:val="20"/>
          <w:szCs w:val="20"/>
          <w:color w:val="auto"/>
        </w:rPr>
      </w:pPr>
      <w:r>
        <w:rPr>
          <w:rFonts w:ascii="Times New Roman" w:cs="Times New Roman" w:eastAsia="Times New Roman" w:hAnsi="Times New Roman"/>
          <w:sz w:val="13"/>
          <w:szCs w:val="13"/>
          <w:color w:val="auto"/>
        </w:rPr>
        <w:t xml:space="preserve">Indicate by checkmark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5" w:lineRule="exact"/>
        <w:rPr>
          <w:sz w:val="24"/>
          <w:szCs w:val="24"/>
          <w:color w:val="auto"/>
        </w:rPr>
      </w:pPr>
    </w:p>
    <w:p>
      <w:pPr>
        <w:jc w:val="both"/>
        <w:spacing w:after="0" w:line="233" w:lineRule="auto"/>
        <w:rPr>
          <w:sz w:val="20"/>
          <w:szCs w:val="20"/>
          <w:color w:val="auto"/>
        </w:rPr>
      </w:pPr>
      <w:r>
        <w:rPr>
          <w:rFonts w:ascii="Times New Roman" w:cs="Times New Roman" w:eastAsia="Times New Roman" w:hAnsi="Times New Roman"/>
          <w:sz w:val="13"/>
          <w:szCs w:val="13"/>
          <w:color w:val="auto"/>
        </w:rPr>
        <w:t>The aggregate market value of the common equity held by non-affiliates computed by reference to the price at which the common equity was last sold as of June 30, 2024, the last business day of the registrant’s most recently completed second fiscal quarter, was $5,887,711.</w:t>
      </w:r>
    </w:p>
    <w:p>
      <w:pPr>
        <w:spacing w:after="0"/>
        <w:rPr>
          <w:sz w:val="20"/>
          <w:szCs w:val="20"/>
          <w:color w:val="auto"/>
        </w:rPr>
      </w:pPr>
      <w:r>
        <w:rPr>
          <w:rFonts w:ascii="Times New Roman" w:cs="Times New Roman" w:eastAsia="Times New Roman" w:hAnsi="Times New Roman"/>
          <w:sz w:val="13"/>
          <w:szCs w:val="13"/>
          <w:color w:val="auto"/>
        </w:rPr>
        <w:t>The number of shares outstanding of the registrant’s class of $0.0001 par value common stock as of March 21, 2025 was 3,970,385.</w:t>
      </w:r>
    </w:p>
    <w:p>
      <w:pPr>
        <w:spacing w:after="0" w:line="19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DOCUMENTS INCORPORATED BY REFERENCE:</w:t>
      </w:r>
    </w:p>
    <w:p>
      <w:pPr>
        <w:spacing w:after="0" w:line="14" w:lineRule="exact"/>
        <w:rPr>
          <w:sz w:val="24"/>
          <w:szCs w:val="24"/>
          <w:color w:val="auto"/>
        </w:rPr>
      </w:pPr>
    </w:p>
    <w:p>
      <w:pPr>
        <w:jc w:val="both"/>
        <w:spacing w:after="0" w:line="229" w:lineRule="auto"/>
        <w:rPr>
          <w:sz w:val="20"/>
          <w:szCs w:val="20"/>
          <w:color w:val="auto"/>
        </w:rPr>
      </w:pPr>
      <w:r>
        <w:rPr>
          <w:rFonts w:ascii="Times New Roman" w:cs="Times New Roman" w:eastAsia="Times New Roman" w:hAnsi="Times New Roman"/>
          <w:sz w:val="13"/>
          <w:szCs w:val="13"/>
          <w:color w:val="auto"/>
        </w:rPr>
        <w:t>Portions of the registrant’s proxy statement to be filed with the Securities and Exchange Commission pursuant to Regulation 14A in connection with the registrant’s 2025 Annual Meeting of Stockholders, which will be filed subsequent to the date hereof, are incorporated by reference into Part III of this Form 10-K. Such proxy statement will be filed with the Securities and Exchange Commission not later than 120 days following the end of the registrant’s fiscal year ended December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164465</wp:posOffset>
            </wp:positionV>
            <wp:extent cx="7132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1046480</wp:posOffset>
            </wp:positionV>
            <wp:extent cx="71583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720" w:type="dxa"/>
            <w:vAlign w:val="bottom"/>
            <w:gridSpan w:val="11"/>
          </w:tcPr>
          <w:p>
            <w:pPr>
              <w:jc w:val="center"/>
              <w:ind w:right="33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00" w:type="dxa"/>
            <w:vAlign w:val="bottom"/>
          </w:tcPr>
          <w:p>
            <w:pPr>
              <w:spacing w:after="0"/>
              <w:rPr>
                <w:sz w:val="20"/>
                <w:szCs w:val="20"/>
                <w:color w:val="auto"/>
              </w:rPr>
            </w:pPr>
          </w:p>
        </w:tc>
      </w:tr>
      <w:tr>
        <w:trPr>
          <w:trHeight w:val="214"/>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174"/>
        </w:trPr>
        <w:tc>
          <w:tcPr>
            <w:tcW w:w="20" w:type="dxa"/>
            <w:vAlign w:val="bottom"/>
            <w:shd w:val="clear" w:color="auto" w:fill="CFF0FC"/>
          </w:tcPr>
          <w:p>
            <w:pPr>
              <w:spacing w:after="0"/>
              <w:rPr>
                <w:sz w:val="15"/>
                <w:szCs w:val="15"/>
                <w:color w:val="auto"/>
              </w:rPr>
            </w:pPr>
          </w:p>
        </w:tc>
        <w:tc>
          <w:tcPr>
            <w:tcW w:w="10620" w:type="dxa"/>
            <w:vAlign w:val="bottom"/>
            <w:gridSpan w:val="30"/>
            <w:shd w:val="clear" w:color="auto" w:fill="CFF0FC"/>
          </w:tcPr>
          <w:p>
            <w:pPr>
              <w:spacing w:after="0" w:line="175" w:lineRule="exact"/>
              <w:rPr>
                <w:sz w:val="20"/>
                <w:szCs w:val="20"/>
                <w:color w:val="auto"/>
              </w:rPr>
            </w:pPr>
            <w:r>
              <w:rPr>
                <w:rFonts w:ascii="Times New Roman" w:cs="Times New Roman" w:eastAsia="Times New Roman" w:hAnsi="Times New Roman"/>
                <w:sz w:val="18"/>
                <w:szCs w:val="18"/>
                <w:color w:val="0000FF"/>
              </w:rPr>
              <w:t>PART I</w:t>
            </w:r>
          </w:p>
        </w:tc>
        <w:tc>
          <w:tcPr>
            <w:tcW w:w="600" w:type="dxa"/>
            <w:vAlign w:val="bottom"/>
            <w:shd w:val="clear" w:color="auto" w:fill="CFF0FC"/>
          </w:tcPr>
          <w:p>
            <w:pPr>
              <w:jc w:val="right"/>
              <w:spacing w:after="0" w:line="175"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36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CFF0FC"/>
            </w:tcBorders>
            <w:shd w:val="clear" w:color="auto" w:fill="CFF0FC"/>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20" w:type="dxa"/>
            <w:vAlign w:val="bottom"/>
            <w:gridSpan w:val="29"/>
          </w:tcPr>
          <w:p>
            <w:pPr>
              <w:spacing w:after="0" w:line="175" w:lineRule="exact"/>
              <w:rPr>
                <w:sz w:val="20"/>
                <w:szCs w:val="20"/>
                <w:color w:val="auto"/>
              </w:rPr>
            </w:pPr>
            <w:r>
              <w:rPr>
                <w:rFonts w:ascii="Times New Roman" w:cs="Times New Roman" w:eastAsia="Times New Roman" w:hAnsi="Times New Roman"/>
                <w:sz w:val="18"/>
                <w:szCs w:val="18"/>
                <w:color w:val="0000FF"/>
              </w:rPr>
              <w:t>ITEM 1—BUSINESS</w:t>
            </w:r>
          </w:p>
        </w:tc>
        <w:tc>
          <w:tcPr>
            <w:tcW w:w="600" w:type="dxa"/>
            <w:vAlign w:val="bottom"/>
          </w:tcPr>
          <w:p>
            <w:pPr>
              <w:jc w:val="right"/>
              <w:spacing w:after="0" w:line="175"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5"/>
        </w:trPr>
        <w:tc>
          <w:tcPr>
            <w:tcW w:w="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2140" w:type="dxa"/>
            <w:vAlign w:val="bottom"/>
            <w:tcBorders>
              <w:bottom w:val="single" w:sz="8" w:color="0000FF"/>
            </w:tcBorders>
            <w:gridSpan w:val="10"/>
            <w:shd w:val="clear" w:color="auto" w:fill="CFF0FC"/>
          </w:tcPr>
          <w:p>
            <w:pPr>
              <w:spacing w:after="0" w:line="175" w:lineRule="exact"/>
              <w:rPr>
                <w:sz w:val="20"/>
                <w:szCs w:val="20"/>
                <w:color w:val="auto"/>
              </w:rPr>
            </w:pPr>
            <w:r>
              <w:rPr>
                <w:rFonts w:ascii="Times New Roman" w:cs="Times New Roman" w:eastAsia="Times New Roman" w:hAnsi="Times New Roman"/>
                <w:sz w:val="18"/>
                <w:szCs w:val="18"/>
                <w:color w:val="0000FF"/>
                <w:w w:val="98"/>
              </w:rPr>
              <w:t>ITEM 1A—RISK FACTORS</w:t>
            </w:r>
          </w:p>
        </w:tc>
        <w:tc>
          <w:tcPr>
            <w:tcW w:w="8280" w:type="dxa"/>
            <w:vAlign w:val="bottom"/>
            <w:tcBorders>
              <w:bottom w:val="single" w:sz="8" w:color="CFF0FC"/>
            </w:tcBorders>
            <w:gridSpan w:val="19"/>
            <w:shd w:val="clear" w:color="auto" w:fill="CFF0FC"/>
          </w:tcPr>
          <w:p>
            <w:pPr>
              <w:spacing w:after="0"/>
              <w:rPr>
                <w:sz w:val="16"/>
                <w:szCs w:val="16"/>
                <w:color w:val="auto"/>
              </w:rPr>
            </w:pPr>
          </w:p>
        </w:tc>
        <w:tc>
          <w:tcPr>
            <w:tcW w:w="600" w:type="dxa"/>
            <w:vAlign w:val="bottom"/>
            <w:tcBorders>
              <w:bottom w:val="single" w:sz="8" w:color="CFF0FC"/>
            </w:tcBorders>
            <w:shd w:val="clear" w:color="auto" w:fill="CFF0FC"/>
          </w:tcPr>
          <w:p>
            <w:pPr>
              <w:jc w:val="right"/>
              <w:spacing w:after="0" w:line="175" w:lineRule="exact"/>
              <w:rPr>
                <w:sz w:val="20"/>
                <w:szCs w:val="20"/>
                <w:color w:val="auto"/>
              </w:rPr>
            </w:pPr>
            <w:r>
              <w:rPr>
                <w:rFonts w:ascii="Times New Roman" w:cs="Times New Roman" w:eastAsia="Times New Roman" w:hAnsi="Times New Roman"/>
                <w:sz w:val="18"/>
                <w:szCs w:val="18"/>
                <w:color w:val="auto"/>
              </w:rPr>
              <w:t>14</w:t>
            </w:r>
          </w:p>
        </w:tc>
      </w:tr>
      <w:tr>
        <w:trPr>
          <w:trHeight w:val="174"/>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20" w:type="dxa"/>
            <w:vAlign w:val="bottom"/>
            <w:gridSpan w:val="29"/>
          </w:tcPr>
          <w:p>
            <w:pPr>
              <w:spacing w:after="0" w:line="175" w:lineRule="exact"/>
              <w:rPr>
                <w:sz w:val="20"/>
                <w:szCs w:val="20"/>
                <w:color w:val="auto"/>
              </w:rPr>
            </w:pPr>
            <w:r>
              <w:rPr>
                <w:rFonts w:ascii="Times New Roman" w:cs="Times New Roman" w:eastAsia="Times New Roman" w:hAnsi="Times New Roman"/>
                <w:sz w:val="18"/>
                <w:szCs w:val="18"/>
                <w:color w:val="0000FF"/>
              </w:rPr>
              <w:t>ITEM 1B—UNRESOLVED STAFF COMMENTS</w:t>
            </w:r>
          </w:p>
        </w:tc>
        <w:tc>
          <w:tcPr>
            <w:tcW w:w="600" w:type="dxa"/>
            <w:vAlign w:val="bottom"/>
          </w:tcPr>
          <w:p>
            <w:pPr>
              <w:jc w:val="right"/>
              <w:spacing w:after="0" w:line="175" w:lineRule="exact"/>
              <w:rPr>
                <w:sz w:val="20"/>
                <w:szCs w:val="20"/>
                <w:color w:val="auto"/>
              </w:rPr>
            </w:pPr>
            <w:r>
              <w:rPr>
                <w:rFonts w:ascii="Times New Roman" w:cs="Times New Roman" w:eastAsia="Times New Roman" w:hAnsi="Times New Roman"/>
                <w:sz w:val="18"/>
                <w:szCs w:val="18"/>
                <w:color w:val="auto"/>
              </w:rPr>
              <w:t>32</w:t>
            </w: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5"/>
        </w:trPr>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20" w:type="dxa"/>
            <w:vAlign w:val="bottom"/>
            <w:gridSpan w:val="29"/>
            <w:shd w:val="clear" w:color="auto" w:fill="CFF0FC"/>
          </w:tcPr>
          <w:p>
            <w:pPr>
              <w:spacing w:after="0" w:line="175" w:lineRule="exact"/>
              <w:rPr>
                <w:sz w:val="20"/>
                <w:szCs w:val="20"/>
                <w:color w:val="auto"/>
              </w:rPr>
            </w:pPr>
            <w:r>
              <w:rPr>
                <w:rFonts w:ascii="Times New Roman" w:cs="Times New Roman" w:eastAsia="Times New Roman" w:hAnsi="Times New Roman"/>
                <w:sz w:val="18"/>
                <w:szCs w:val="18"/>
                <w:color w:val="0000FF"/>
              </w:rPr>
              <w:t>ITEM 1C—CYBERSECURITY</w:t>
            </w:r>
          </w:p>
        </w:tc>
        <w:tc>
          <w:tcPr>
            <w:tcW w:w="600" w:type="dxa"/>
            <w:vAlign w:val="bottom"/>
            <w:shd w:val="clear" w:color="auto" w:fill="CFF0FC"/>
          </w:tcPr>
          <w:p>
            <w:pPr>
              <w:jc w:val="right"/>
              <w:spacing w:after="0" w:line="175" w:lineRule="exact"/>
              <w:rPr>
                <w:sz w:val="20"/>
                <w:szCs w:val="20"/>
                <w:color w:val="auto"/>
              </w:rPr>
            </w:pPr>
            <w:r>
              <w:rPr>
                <w:rFonts w:ascii="Times New Roman" w:cs="Times New Roman" w:eastAsia="Times New Roman" w:hAnsi="Times New Roman"/>
                <w:sz w:val="18"/>
                <w:szCs w:val="18"/>
                <w:color w:val="auto"/>
              </w:rPr>
              <w:t>32</w:t>
            </w:r>
          </w:p>
        </w:tc>
      </w:tr>
      <w:tr>
        <w:trPr>
          <w:trHeight w:val="174"/>
        </w:trPr>
        <w:tc>
          <w:tcPr>
            <w:tcW w:w="2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2340" w:type="dxa"/>
            <w:vAlign w:val="bottom"/>
            <w:tcBorders>
              <w:top w:val="single" w:sz="8" w:color="0000FF"/>
            </w:tcBorders>
            <w:gridSpan w:val="11"/>
          </w:tcPr>
          <w:p>
            <w:pPr>
              <w:spacing w:after="0" w:line="175" w:lineRule="exact"/>
              <w:rPr>
                <w:sz w:val="20"/>
                <w:szCs w:val="20"/>
                <w:color w:val="auto"/>
              </w:rPr>
            </w:pPr>
            <w:r>
              <w:rPr>
                <w:rFonts w:ascii="Times New Roman" w:cs="Times New Roman" w:eastAsia="Times New Roman" w:hAnsi="Times New Roman"/>
                <w:sz w:val="18"/>
                <w:szCs w:val="18"/>
                <w:color w:val="0000FF"/>
              </w:rPr>
              <w:t>ITEM 2—PROPERTIES</w:t>
            </w:r>
          </w:p>
        </w:tc>
        <w:tc>
          <w:tcPr>
            <w:tcW w:w="8080" w:type="dxa"/>
            <w:vAlign w:val="bottom"/>
            <w:tcBorders>
              <w:top w:val="single" w:sz="8" w:color="CFF0FC"/>
            </w:tcBorders>
            <w:gridSpan w:val="18"/>
          </w:tcPr>
          <w:p>
            <w:pPr>
              <w:spacing w:after="0"/>
              <w:rPr>
                <w:sz w:val="15"/>
                <w:szCs w:val="15"/>
                <w:color w:val="auto"/>
              </w:rPr>
            </w:pPr>
          </w:p>
        </w:tc>
        <w:tc>
          <w:tcPr>
            <w:tcW w:w="600" w:type="dxa"/>
            <w:vAlign w:val="bottom"/>
            <w:tcBorders>
              <w:top w:val="single" w:sz="8" w:color="CFF0FC"/>
            </w:tcBorders>
          </w:tcPr>
          <w:p>
            <w:pPr>
              <w:jc w:val="right"/>
              <w:spacing w:after="0" w:line="175" w:lineRule="exact"/>
              <w:rPr>
                <w:sz w:val="20"/>
                <w:szCs w:val="20"/>
                <w:color w:val="auto"/>
              </w:rPr>
            </w:pPr>
            <w:r>
              <w:rPr>
                <w:rFonts w:ascii="Times New Roman" w:cs="Times New Roman" w:eastAsia="Times New Roman" w:hAnsi="Times New Roman"/>
                <w:sz w:val="18"/>
                <w:szCs w:val="18"/>
                <w:color w:val="auto"/>
              </w:rPr>
              <w:t>32</w:t>
            </w: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5"/>
        </w:trPr>
        <w:tc>
          <w:tcPr>
            <w:tcW w:w="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2620" w:type="dxa"/>
            <w:vAlign w:val="bottom"/>
            <w:tcBorders>
              <w:bottom w:val="single" w:sz="8" w:color="0000FF"/>
            </w:tcBorders>
            <w:gridSpan w:val="12"/>
            <w:shd w:val="clear" w:color="auto" w:fill="CFF0FC"/>
          </w:tcPr>
          <w:p>
            <w:pPr>
              <w:spacing w:after="0" w:line="175" w:lineRule="exact"/>
              <w:rPr>
                <w:sz w:val="20"/>
                <w:szCs w:val="20"/>
                <w:color w:val="auto"/>
              </w:rPr>
            </w:pPr>
            <w:r>
              <w:rPr>
                <w:rFonts w:ascii="Times New Roman" w:cs="Times New Roman" w:eastAsia="Times New Roman" w:hAnsi="Times New Roman"/>
                <w:sz w:val="18"/>
                <w:szCs w:val="18"/>
                <w:color w:val="0000FF"/>
                <w:w w:val="98"/>
              </w:rPr>
              <w:t>ITEM 3—LEGAL PROCEEDINGS</w:t>
            </w:r>
          </w:p>
        </w:tc>
        <w:tc>
          <w:tcPr>
            <w:tcW w:w="7800" w:type="dxa"/>
            <w:vAlign w:val="bottom"/>
            <w:tcBorders>
              <w:bottom w:val="single" w:sz="8" w:color="CFF0FC"/>
            </w:tcBorders>
            <w:gridSpan w:val="17"/>
            <w:shd w:val="clear" w:color="auto" w:fill="CFF0FC"/>
          </w:tcPr>
          <w:p>
            <w:pPr>
              <w:spacing w:after="0"/>
              <w:rPr>
                <w:sz w:val="16"/>
                <w:szCs w:val="16"/>
                <w:color w:val="auto"/>
              </w:rPr>
            </w:pPr>
          </w:p>
        </w:tc>
        <w:tc>
          <w:tcPr>
            <w:tcW w:w="600" w:type="dxa"/>
            <w:vAlign w:val="bottom"/>
            <w:tcBorders>
              <w:bottom w:val="single" w:sz="8" w:color="CFF0FC"/>
            </w:tcBorders>
            <w:shd w:val="clear" w:color="auto" w:fill="CFF0FC"/>
          </w:tcPr>
          <w:p>
            <w:pPr>
              <w:jc w:val="right"/>
              <w:spacing w:after="0" w:line="175" w:lineRule="exact"/>
              <w:rPr>
                <w:sz w:val="20"/>
                <w:szCs w:val="20"/>
                <w:color w:val="auto"/>
              </w:rPr>
            </w:pPr>
            <w:r>
              <w:rPr>
                <w:rFonts w:ascii="Times New Roman" w:cs="Times New Roman" w:eastAsia="Times New Roman" w:hAnsi="Times New Roman"/>
                <w:sz w:val="18"/>
                <w:szCs w:val="18"/>
                <w:color w:val="auto"/>
              </w:rPr>
              <w:t>33</w:t>
            </w:r>
          </w:p>
        </w:tc>
      </w:tr>
      <w:tr>
        <w:trPr>
          <w:trHeight w:val="174"/>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20" w:type="dxa"/>
            <w:vAlign w:val="bottom"/>
            <w:gridSpan w:val="29"/>
          </w:tcPr>
          <w:p>
            <w:pPr>
              <w:spacing w:after="0" w:line="175" w:lineRule="exact"/>
              <w:rPr>
                <w:sz w:val="20"/>
                <w:szCs w:val="20"/>
                <w:color w:val="auto"/>
              </w:rPr>
            </w:pPr>
            <w:r>
              <w:rPr>
                <w:rFonts w:ascii="Times New Roman" w:cs="Times New Roman" w:eastAsia="Times New Roman" w:hAnsi="Times New Roman"/>
                <w:sz w:val="18"/>
                <w:szCs w:val="18"/>
                <w:color w:val="0000FF"/>
              </w:rPr>
              <w:t>ITEM 4— MINE SAFETY DISCLOSURES</w:t>
            </w:r>
          </w:p>
        </w:tc>
        <w:tc>
          <w:tcPr>
            <w:tcW w:w="600" w:type="dxa"/>
            <w:vAlign w:val="bottom"/>
          </w:tcPr>
          <w:p>
            <w:pPr>
              <w:jc w:val="right"/>
              <w:spacing w:after="0" w:line="175" w:lineRule="exact"/>
              <w:rPr>
                <w:sz w:val="20"/>
                <w:szCs w:val="20"/>
                <w:color w:val="auto"/>
              </w:rPr>
            </w:pPr>
            <w:r>
              <w:rPr>
                <w:rFonts w:ascii="Times New Roman" w:cs="Times New Roman" w:eastAsia="Times New Roman" w:hAnsi="Times New Roman"/>
                <w:sz w:val="18"/>
                <w:szCs w:val="18"/>
                <w:color w:val="auto"/>
              </w:rPr>
              <w:t>33</w:t>
            </w: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74"/>
        </w:trPr>
        <w:tc>
          <w:tcPr>
            <w:tcW w:w="20" w:type="dxa"/>
            <w:vAlign w:val="bottom"/>
            <w:shd w:val="clear" w:color="auto" w:fill="CFF0FC"/>
          </w:tcPr>
          <w:p>
            <w:pPr>
              <w:spacing w:after="0"/>
              <w:rPr>
                <w:sz w:val="15"/>
                <w:szCs w:val="15"/>
                <w:color w:val="auto"/>
              </w:rPr>
            </w:pPr>
          </w:p>
        </w:tc>
        <w:tc>
          <w:tcPr>
            <w:tcW w:w="10620" w:type="dxa"/>
            <w:vAlign w:val="bottom"/>
            <w:gridSpan w:val="30"/>
            <w:shd w:val="clear" w:color="auto" w:fill="CFF0FC"/>
          </w:tcPr>
          <w:p>
            <w:pPr>
              <w:spacing w:after="0" w:line="175" w:lineRule="exact"/>
              <w:rPr>
                <w:sz w:val="20"/>
                <w:szCs w:val="20"/>
                <w:color w:val="auto"/>
              </w:rPr>
            </w:pPr>
            <w:r>
              <w:rPr>
                <w:rFonts w:ascii="Times New Roman" w:cs="Times New Roman" w:eastAsia="Times New Roman" w:hAnsi="Times New Roman"/>
                <w:sz w:val="18"/>
                <w:szCs w:val="18"/>
                <w:color w:val="0000FF"/>
              </w:rPr>
              <w:t>PART II</w:t>
            </w:r>
          </w:p>
        </w:tc>
        <w:tc>
          <w:tcPr>
            <w:tcW w:w="600" w:type="dxa"/>
            <w:vAlign w:val="bottom"/>
            <w:shd w:val="clear" w:color="auto" w:fill="CFF0FC"/>
          </w:tcPr>
          <w:p>
            <w:pPr>
              <w:jc w:val="right"/>
              <w:spacing w:after="0" w:line="175" w:lineRule="exact"/>
              <w:rPr>
                <w:sz w:val="20"/>
                <w:szCs w:val="20"/>
                <w:color w:val="auto"/>
              </w:rPr>
            </w:pPr>
            <w:r>
              <w:rPr>
                <w:rFonts w:ascii="Times New Roman" w:cs="Times New Roman" w:eastAsia="Times New Roman" w:hAnsi="Times New Roman"/>
                <w:sz w:val="18"/>
                <w:szCs w:val="18"/>
                <w:color w:val="auto"/>
              </w:rPr>
              <w:t>35</w:t>
            </w: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36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CFF0FC"/>
            </w:tcBorders>
            <w:shd w:val="clear" w:color="auto" w:fill="CFF0FC"/>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20" w:type="dxa"/>
            <w:vAlign w:val="bottom"/>
            <w:tcBorders>
              <w:bottom w:val="single" w:sz="8" w:color="0000FF"/>
            </w:tcBorders>
            <w:gridSpan w:val="29"/>
          </w:tcPr>
          <w:p>
            <w:pPr>
              <w:spacing w:after="0" w:line="175" w:lineRule="exact"/>
              <w:rPr>
                <w:sz w:val="20"/>
                <w:szCs w:val="20"/>
                <w:color w:val="auto"/>
              </w:rPr>
            </w:pPr>
            <w:r>
              <w:rPr>
                <w:rFonts w:ascii="Times New Roman" w:cs="Times New Roman" w:eastAsia="Times New Roman" w:hAnsi="Times New Roman"/>
                <w:sz w:val="18"/>
                <w:szCs w:val="18"/>
                <w:color w:val="0000FF"/>
                <w:w w:val="99"/>
              </w:rPr>
              <w:t>ITEM 5—MARKET FOR REGISTRANT’S COMMON EQUITY, RELATED STOCKHOLDER MATTERS AND ISSUER PURCHASES OF</w:t>
            </w:r>
          </w:p>
        </w:tc>
        <w:tc>
          <w:tcPr>
            <w:tcW w:w="600" w:type="dxa"/>
            <w:vAlign w:val="bottom"/>
          </w:tcPr>
          <w:p>
            <w:pPr>
              <w:spacing w:after="0"/>
              <w:rPr>
                <w:sz w:val="15"/>
                <w:szCs w:val="15"/>
                <w:color w:val="auto"/>
              </w:rPr>
            </w:pPr>
          </w:p>
        </w:tc>
      </w:tr>
      <w:tr>
        <w:trPr>
          <w:trHeight w:val="195"/>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20" w:type="dxa"/>
            <w:vAlign w:val="bottom"/>
            <w:gridSpan w:val="29"/>
          </w:tcPr>
          <w:p>
            <w:pPr>
              <w:spacing w:after="0" w:line="195" w:lineRule="exact"/>
              <w:rPr>
                <w:sz w:val="20"/>
                <w:szCs w:val="20"/>
                <w:color w:val="auto"/>
              </w:rPr>
            </w:pPr>
            <w:r>
              <w:rPr>
                <w:rFonts w:ascii="Times New Roman" w:cs="Times New Roman" w:eastAsia="Times New Roman" w:hAnsi="Times New Roman"/>
                <w:sz w:val="18"/>
                <w:szCs w:val="18"/>
                <w:color w:val="0000FF"/>
              </w:rPr>
              <w:t>EQUITY SECURITIES</w:t>
            </w:r>
          </w:p>
        </w:tc>
        <w:tc>
          <w:tcPr>
            <w:tcW w:w="6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35</w:t>
            </w: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5"/>
        </w:trPr>
        <w:tc>
          <w:tcPr>
            <w:tcW w:w="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1680" w:type="dxa"/>
            <w:vAlign w:val="bottom"/>
            <w:tcBorders>
              <w:bottom w:val="single" w:sz="8" w:color="0000FF"/>
            </w:tcBorders>
            <w:gridSpan w:val="7"/>
            <w:shd w:val="clear" w:color="auto" w:fill="CFF0FC"/>
          </w:tcPr>
          <w:p>
            <w:pPr>
              <w:spacing w:after="0" w:line="175" w:lineRule="exact"/>
              <w:rPr>
                <w:sz w:val="20"/>
                <w:szCs w:val="20"/>
                <w:color w:val="auto"/>
              </w:rPr>
            </w:pPr>
            <w:r>
              <w:rPr>
                <w:rFonts w:ascii="Times New Roman" w:cs="Times New Roman" w:eastAsia="Times New Roman" w:hAnsi="Times New Roman"/>
                <w:sz w:val="18"/>
                <w:szCs w:val="18"/>
                <w:color w:val="0000FF"/>
                <w:w w:val="98"/>
              </w:rPr>
              <w:t>ITEM 6—RESERVED</w:t>
            </w:r>
          </w:p>
        </w:tc>
        <w:tc>
          <w:tcPr>
            <w:tcW w:w="8740" w:type="dxa"/>
            <w:vAlign w:val="bottom"/>
            <w:tcBorders>
              <w:bottom w:val="single" w:sz="8" w:color="CFF0FC"/>
            </w:tcBorders>
            <w:gridSpan w:val="22"/>
            <w:shd w:val="clear" w:color="auto" w:fill="CFF0FC"/>
          </w:tcPr>
          <w:p>
            <w:pPr>
              <w:spacing w:after="0"/>
              <w:rPr>
                <w:sz w:val="16"/>
                <w:szCs w:val="16"/>
                <w:color w:val="auto"/>
              </w:rPr>
            </w:pPr>
          </w:p>
        </w:tc>
        <w:tc>
          <w:tcPr>
            <w:tcW w:w="600" w:type="dxa"/>
            <w:vAlign w:val="bottom"/>
            <w:tcBorders>
              <w:bottom w:val="single" w:sz="8" w:color="CFF0FC"/>
            </w:tcBorders>
            <w:shd w:val="clear" w:color="auto" w:fill="CFF0FC"/>
          </w:tcPr>
          <w:p>
            <w:pPr>
              <w:jc w:val="right"/>
              <w:spacing w:after="0" w:line="175" w:lineRule="exact"/>
              <w:rPr>
                <w:sz w:val="20"/>
                <w:szCs w:val="20"/>
                <w:color w:val="auto"/>
              </w:rPr>
            </w:pPr>
            <w:r>
              <w:rPr>
                <w:rFonts w:ascii="Times New Roman" w:cs="Times New Roman" w:eastAsia="Times New Roman" w:hAnsi="Times New Roman"/>
                <w:sz w:val="18"/>
                <w:szCs w:val="18"/>
                <w:color w:val="auto"/>
              </w:rPr>
              <w:t>35</w:t>
            </w:r>
          </w:p>
        </w:tc>
      </w:tr>
      <w:tr>
        <w:trPr>
          <w:trHeight w:val="174"/>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20" w:type="dxa"/>
            <w:vAlign w:val="bottom"/>
            <w:gridSpan w:val="29"/>
          </w:tcPr>
          <w:p>
            <w:pPr>
              <w:spacing w:after="0" w:line="175" w:lineRule="exact"/>
              <w:rPr>
                <w:sz w:val="20"/>
                <w:szCs w:val="20"/>
                <w:color w:val="auto"/>
              </w:rPr>
            </w:pPr>
            <w:r>
              <w:rPr>
                <w:rFonts w:ascii="Times New Roman" w:cs="Times New Roman" w:eastAsia="Times New Roman" w:hAnsi="Times New Roman"/>
                <w:sz w:val="18"/>
                <w:szCs w:val="18"/>
                <w:color w:val="0000FF"/>
              </w:rPr>
              <w:t>ITEM 7—MANAGEMENT’S DISCUSSION AND ANALYSIS OF FINANCIAL CONDITION AND RESULTS OF OPERATIONS</w:t>
            </w:r>
          </w:p>
        </w:tc>
        <w:tc>
          <w:tcPr>
            <w:tcW w:w="600" w:type="dxa"/>
            <w:vAlign w:val="bottom"/>
          </w:tcPr>
          <w:p>
            <w:pPr>
              <w:jc w:val="right"/>
              <w:spacing w:after="0" w:line="175" w:lineRule="exact"/>
              <w:rPr>
                <w:sz w:val="20"/>
                <w:szCs w:val="20"/>
                <w:color w:val="auto"/>
              </w:rPr>
            </w:pPr>
            <w:r>
              <w:rPr>
                <w:rFonts w:ascii="Times New Roman" w:cs="Times New Roman" w:eastAsia="Times New Roman" w:hAnsi="Times New Roman"/>
                <w:sz w:val="18"/>
                <w:szCs w:val="18"/>
                <w:color w:val="auto"/>
              </w:rPr>
              <w:t>35</w:t>
            </w: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5"/>
        </w:trPr>
        <w:tc>
          <w:tcPr>
            <w:tcW w:w="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7060" w:type="dxa"/>
            <w:vAlign w:val="bottom"/>
            <w:tcBorders>
              <w:bottom w:val="single" w:sz="8" w:color="0000FF"/>
            </w:tcBorders>
            <w:gridSpan w:val="23"/>
            <w:shd w:val="clear" w:color="auto" w:fill="CFF0FC"/>
          </w:tcPr>
          <w:p>
            <w:pPr>
              <w:spacing w:after="0" w:line="175" w:lineRule="exact"/>
              <w:rPr>
                <w:sz w:val="20"/>
                <w:szCs w:val="20"/>
                <w:color w:val="auto"/>
              </w:rPr>
            </w:pPr>
            <w:r>
              <w:rPr>
                <w:rFonts w:ascii="Times New Roman" w:cs="Times New Roman" w:eastAsia="Times New Roman" w:hAnsi="Times New Roman"/>
                <w:sz w:val="18"/>
                <w:szCs w:val="18"/>
                <w:color w:val="0000FF"/>
                <w:w w:val="99"/>
              </w:rPr>
              <w:t>ITEM 7A—QUANTITATIVE AND QUALITATIVE DISCLOSURES ABOUT MARKET RISK</w:t>
            </w:r>
          </w:p>
        </w:tc>
        <w:tc>
          <w:tcPr>
            <w:tcW w:w="3360" w:type="dxa"/>
            <w:vAlign w:val="bottom"/>
            <w:tcBorders>
              <w:bottom w:val="single" w:sz="8" w:color="CFF0FC"/>
            </w:tcBorders>
            <w:gridSpan w:val="6"/>
            <w:shd w:val="clear" w:color="auto" w:fill="CFF0FC"/>
          </w:tcPr>
          <w:p>
            <w:pPr>
              <w:spacing w:after="0"/>
              <w:rPr>
                <w:sz w:val="16"/>
                <w:szCs w:val="16"/>
                <w:color w:val="auto"/>
              </w:rPr>
            </w:pPr>
          </w:p>
        </w:tc>
        <w:tc>
          <w:tcPr>
            <w:tcW w:w="600" w:type="dxa"/>
            <w:vAlign w:val="bottom"/>
            <w:tcBorders>
              <w:bottom w:val="single" w:sz="8" w:color="CFF0FC"/>
            </w:tcBorders>
            <w:shd w:val="clear" w:color="auto" w:fill="CFF0FC"/>
          </w:tcPr>
          <w:p>
            <w:pPr>
              <w:jc w:val="right"/>
              <w:spacing w:after="0" w:line="175" w:lineRule="exact"/>
              <w:rPr>
                <w:sz w:val="20"/>
                <w:szCs w:val="20"/>
                <w:color w:val="auto"/>
              </w:rPr>
            </w:pPr>
            <w:r>
              <w:rPr>
                <w:rFonts w:ascii="Times New Roman" w:cs="Times New Roman" w:eastAsia="Times New Roman" w:hAnsi="Times New Roman"/>
                <w:sz w:val="18"/>
                <w:szCs w:val="18"/>
                <w:color w:val="auto"/>
              </w:rPr>
              <w:t>40</w:t>
            </w:r>
          </w:p>
        </w:tc>
      </w:tr>
      <w:tr>
        <w:trPr>
          <w:trHeight w:val="174"/>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20" w:type="dxa"/>
            <w:vAlign w:val="bottom"/>
            <w:gridSpan w:val="29"/>
          </w:tcPr>
          <w:p>
            <w:pPr>
              <w:spacing w:after="0" w:line="175" w:lineRule="exact"/>
              <w:rPr>
                <w:sz w:val="20"/>
                <w:szCs w:val="20"/>
                <w:color w:val="auto"/>
              </w:rPr>
            </w:pPr>
            <w:r>
              <w:rPr>
                <w:rFonts w:ascii="Times New Roman" w:cs="Times New Roman" w:eastAsia="Times New Roman" w:hAnsi="Times New Roman"/>
                <w:sz w:val="18"/>
                <w:szCs w:val="18"/>
                <w:color w:val="0000FF"/>
              </w:rPr>
              <w:t>ITEM 8—FINANCIAL STATEMENTS AND SUPPLEMENTARY DATA</w:t>
            </w:r>
          </w:p>
        </w:tc>
        <w:tc>
          <w:tcPr>
            <w:tcW w:w="600" w:type="dxa"/>
            <w:vAlign w:val="bottom"/>
          </w:tcPr>
          <w:p>
            <w:pPr>
              <w:jc w:val="right"/>
              <w:spacing w:after="0" w:line="175" w:lineRule="exact"/>
              <w:rPr>
                <w:sz w:val="20"/>
                <w:szCs w:val="20"/>
                <w:color w:val="auto"/>
              </w:rPr>
            </w:pPr>
            <w:r>
              <w:rPr>
                <w:rFonts w:ascii="Times New Roman" w:cs="Times New Roman" w:eastAsia="Times New Roman" w:hAnsi="Times New Roman"/>
                <w:sz w:val="18"/>
                <w:szCs w:val="18"/>
                <w:color w:val="auto"/>
              </w:rPr>
              <w:t>40</w:t>
            </w: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5"/>
        </w:trPr>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20" w:type="dxa"/>
            <w:vAlign w:val="bottom"/>
            <w:gridSpan w:val="29"/>
            <w:shd w:val="clear" w:color="auto" w:fill="CFF0FC"/>
          </w:tcPr>
          <w:p>
            <w:pPr>
              <w:spacing w:after="0" w:line="175" w:lineRule="exact"/>
              <w:rPr>
                <w:sz w:val="20"/>
                <w:szCs w:val="20"/>
                <w:color w:val="auto"/>
              </w:rPr>
            </w:pPr>
            <w:r>
              <w:rPr>
                <w:rFonts w:ascii="Times New Roman" w:cs="Times New Roman" w:eastAsia="Times New Roman" w:hAnsi="Times New Roman"/>
                <w:sz w:val="18"/>
                <w:szCs w:val="18"/>
                <w:color w:val="0000FF"/>
              </w:rPr>
              <w:t>ITEM 9—CHANGES IN AND DISAGREEMENTS WITH ACCOUNTANTS ON ACCOUNTING AND FINANCIAL DISCLOSURE</w:t>
            </w:r>
          </w:p>
        </w:tc>
        <w:tc>
          <w:tcPr>
            <w:tcW w:w="600" w:type="dxa"/>
            <w:vAlign w:val="bottom"/>
            <w:shd w:val="clear" w:color="auto" w:fill="CFF0FC"/>
          </w:tcPr>
          <w:p>
            <w:pPr>
              <w:jc w:val="right"/>
              <w:spacing w:after="0" w:line="175" w:lineRule="exact"/>
              <w:rPr>
                <w:sz w:val="20"/>
                <w:szCs w:val="20"/>
                <w:color w:val="auto"/>
              </w:rPr>
            </w:pPr>
            <w:r>
              <w:rPr>
                <w:rFonts w:ascii="Times New Roman" w:cs="Times New Roman" w:eastAsia="Times New Roman" w:hAnsi="Times New Roman"/>
                <w:sz w:val="18"/>
                <w:szCs w:val="18"/>
                <w:color w:val="auto"/>
              </w:rPr>
              <w:t>40</w:t>
            </w:r>
          </w:p>
        </w:tc>
      </w:tr>
      <w:tr>
        <w:trPr>
          <w:trHeight w:val="174"/>
        </w:trPr>
        <w:tc>
          <w:tcPr>
            <w:tcW w:w="2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9800" w:type="dxa"/>
            <w:vAlign w:val="bottom"/>
            <w:tcBorders>
              <w:top w:val="single" w:sz="8" w:color="0000FF"/>
            </w:tcBorders>
            <w:gridSpan w:val="27"/>
          </w:tcPr>
          <w:p>
            <w:pPr>
              <w:spacing w:after="0" w:line="175" w:lineRule="exact"/>
              <w:rPr>
                <w:sz w:val="20"/>
                <w:szCs w:val="20"/>
                <w:color w:val="auto"/>
              </w:rPr>
            </w:pPr>
            <w:r>
              <w:rPr>
                <w:rFonts w:ascii="Times New Roman" w:cs="Times New Roman" w:eastAsia="Times New Roman" w:hAnsi="Times New Roman"/>
                <w:sz w:val="18"/>
                <w:szCs w:val="18"/>
                <w:color w:val="0000FF"/>
              </w:rPr>
              <w:t>ITEM 9A—CONTROLS AND PROCEDURES</w:t>
            </w:r>
          </w:p>
        </w:tc>
        <w:tc>
          <w:tcPr>
            <w:tcW w:w="620" w:type="dxa"/>
            <w:vAlign w:val="bottom"/>
            <w:tcBorders>
              <w:top w:val="single" w:sz="8" w:color="CFF0FC"/>
            </w:tcBorders>
            <w:gridSpan w:val="2"/>
          </w:tcPr>
          <w:p>
            <w:pPr>
              <w:spacing w:after="0"/>
              <w:rPr>
                <w:sz w:val="15"/>
                <w:szCs w:val="15"/>
                <w:color w:val="auto"/>
              </w:rPr>
            </w:pPr>
          </w:p>
        </w:tc>
        <w:tc>
          <w:tcPr>
            <w:tcW w:w="600" w:type="dxa"/>
            <w:vAlign w:val="bottom"/>
            <w:tcBorders>
              <w:top w:val="single" w:sz="8" w:color="CFF0FC"/>
            </w:tcBorders>
          </w:tcPr>
          <w:p>
            <w:pPr>
              <w:jc w:val="right"/>
              <w:spacing w:after="0" w:line="175" w:lineRule="exact"/>
              <w:rPr>
                <w:sz w:val="20"/>
                <w:szCs w:val="20"/>
                <w:color w:val="auto"/>
              </w:rPr>
            </w:pPr>
            <w:r>
              <w:rPr>
                <w:rFonts w:ascii="Times New Roman" w:cs="Times New Roman" w:eastAsia="Times New Roman" w:hAnsi="Times New Roman"/>
                <w:sz w:val="18"/>
                <w:szCs w:val="18"/>
                <w:color w:val="auto"/>
              </w:rPr>
              <w:t>40</w:t>
            </w: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74"/>
        </w:trPr>
        <w:tc>
          <w:tcPr>
            <w:tcW w:w="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20" w:type="dxa"/>
            <w:vAlign w:val="bottom"/>
            <w:gridSpan w:val="29"/>
            <w:shd w:val="clear" w:color="auto" w:fill="CFF0FC"/>
          </w:tcPr>
          <w:p>
            <w:pPr>
              <w:spacing w:after="0" w:line="175" w:lineRule="exact"/>
              <w:rPr>
                <w:sz w:val="20"/>
                <w:szCs w:val="20"/>
                <w:color w:val="auto"/>
              </w:rPr>
            </w:pPr>
            <w:r>
              <w:rPr>
                <w:rFonts w:ascii="Times New Roman" w:cs="Times New Roman" w:eastAsia="Times New Roman" w:hAnsi="Times New Roman"/>
                <w:sz w:val="18"/>
                <w:szCs w:val="18"/>
                <w:color w:val="0000FF"/>
              </w:rPr>
              <w:t>ITEM 9B—OTHER INFORMATION</w:t>
            </w:r>
          </w:p>
        </w:tc>
        <w:tc>
          <w:tcPr>
            <w:tcW w:w="600" w:type="dxa"/>
            <w:vAlign w:val="bottom"/>
            <w:shd w:val="clear" w:color="auto" w:fill="CFF0FC"/>
          </w:tcPr>
          <w:p>
            <w:pPr>
              <w:jc w:val="right"/>
              <w:spacing w:after="0" w:line="175" w:lineRule="exact"/>
              <w:rPr>
                <w:sz w:val="20"/>
                <w:szCs w:val="20"/>
                <w:color w:val="auto"/>
              </w:rPr>
            </w:pPr>
            <w:r>
              <w:rPr>
                <w:rFonts w:ascii="Times New Roman" w:cs="Times New Roman" w:eastAsia="Times New Roman" w:hAnsi="Times New Roman"/>
                <w:sz w:val="18"/>
                <w:szCs w:val="18"/>
                <w:color w:val="auto"/>
              </w:rPr>
              <w:t>42</w:t>
            </w: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340" w:type="dxa"/>
            <w:vAlign w:val="bottom"/>
            <w:tcBorders>
              <w:top w:val="single" w:sz="8" w:color="0000FF"/>
            </w:tcBorders>
            <w:shd w:val="clear" w:color="auto" w:fill="CFF0FC"/>
          </w:tcPr>
          <w:p>
            <w:pPr>
              <w:spacing w:after="0" w:line="20" w:lineRule="exact"/>
              <w:rPr>
                <w:sz w:val="1"/>
                <w:szCs w:val="1"/>
                <w:color w:val="auto"/>
              </w:rPr>
            </w:pPr>
          </w:p>
        </w:tc>
        <w:tc>
          <w:tcPr>
            <w:tcW w:w="76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34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28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CFF0FC"/>
            </w:tcBorders>
            <w:shd w:val="clear" w:color="auto" w:fill="CFF0FC"/>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20" w:type="dxa"/>
            <w:vAlign w:val="bottom"/>
            <w:gridSpan w:val="29"/>
          </w:tcPr>
          <w:p>
            <w:pPr>
              <w:spacing w:after="0" w:line="175" w:lineRule="exact"/>
              <w:rPr>
                <w:sz w:val="20"/>
                <w:szCs w:val="20"/>
                <w:color w:val="auto"/>
              </w:rPr>
            </w:pPr>
            <w:r>
              <w:rPr>
                <w:rFonts w:ascii="Times New Roman" w:cs="Times New Roman" w:eastAsia="Times New Roman" w:hAnsi="Times New Roman"/>
                <w:sz w:val="18"/>
                <w:szCs w:val="18"/>
                <w:color w:val="0000FF"/>
              </w:rPr>
              <w:t>ITEM 9C— DISCLOSURE REGARDING FOREIGN JURISDICTIONS THAT PREVENT INSPECTIONS.</w:t>
            </w:r>
          </w:p>
        </w:tc>
        <w:tc>
          <w:tcPr>
            <w:tcW w:w="600" w:type="dxa"/>
            <w:vAlign w:val="bottom"/>
          </w:tcPr>
          <w:p>
            <w:pPr>
              <w:jc w:val="right"/>
              <w:spacing w:after="0" w:line="175" w:lineRule="exact"/>
              <w:rPr>
                <w:sz w:val="20"/>
                <w:szCs w:val="20"/>
                <w:color w:val="auto"/>
              </w:rPr>
            </w:pPr>
            <w:r>
              <w:rPr>
                <w:rFonts w:ascii="Times New Roman" w:cs="Times New Roman" w:eastAsia="Times New Roman" w:hAnsi="Times New Roman"/>
                <w:sz w:val="18"/>
                <w:szCs w:val="18"/>
                <w:color w:val="auto"/>
              </w:rPr>
              <w:t>42</w:t>
            </w: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74"/>
        </w:trPr>
        <w:tc>
          <w:tcPr>
            <w:tcW w:w="20" w:type="dxa"/>
            <w:vAlign w:val="bottom"/>
            <w:shd w:val="clear" w:color="auto" w:fill="CFF0FC"/>
          </w:tcPr>
          <w:p>
            <w:pPr>
              <w:spacing w:after="0"/>
              <w:rPr>
                <w:sz w:val="15"/>
                <w:szCs w:val="15"/>
                <w:color w:val="auto"/>
              </w:rPr>
            </w:pPr>
          </w:p>
        </w:tc>
        <w:tc>
          <w:tcPr>
            <w:tcW w:w="10620" w:type="dxa"/>
            <w:vAlign w:val="bottom"/>
            <w:gridSpan w:val="30"/>
            <w:shd w:val="clear" w:color="auto" w:fill="CFF0FC"/>
          </w:tcPr>
          <w:p>
            <w:pPr>
              <w:spacing w:after="0" w:line="175" w:lineRule="exact"/>
              <w:rPr>
                <w:sz w:val="20"/>
                <w:szCs w:val="20"/>
                <w:color w:val="auto"/>
              </w:rPr>
            </w:pPr>
            <w:r>
              <w:rPr>
                <w:rFonts w:ascii="Times New Roman" w:cs="Times New Roman" w:eastAsia="Times New Roman" w:hAnsi="Times New Roman"/>
                <w:sz w:val="18"/>
                <w:szCs w:val="18"/>
                <w:color w:val="0000FF"/>
              </w:rPr>
              <w:t>PART III</w:t>
            </w:r>
          </w:p>
        </w:tc>
        <w:tc>
          <w:tcPr>
            <w:tcW w:w="600" w:type="dxa"/>
            <w:vAlign w:val="bottom"/>
            <w:shd w:val="clear" w:color="auto" w:fill="CFF0FC"/>
          </w:tcPr>
          <w:p>
            <w:pPr>
              <w:jc w:val="right"/>
              <w:spacing w:after="0" w:line="175" w:lineRule="exact"/>
              <w:rPr>
                <w:sz w:val="20"/>
                <w:szCs w:val="20"/>
                <w:color w:val="auto"/>
              </w:rPr>
            </w:pPr>
            <w:r>
              <w:rPr>
                <w:rFonts w:ascii="Times New Roman" w:cs="Times New Roman" w:eastAsia="Times New Roman" w:hAnsi="Times New Roman"/>
                <w:sz w:val="18"/>
                <w:szCs w:val="18"/>
                <w:color w:val="auto"/>
              </w:rPr>
              <w:t>43</w:t>
            </w: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36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CFF0FC"/>
            </w:tcBorders>
            <w:shd w:val="clear" w:color="auto" w:fill="CFF0FC"/>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20" w:type="dxa"/>
            <w:vAlign w:val="bottom"/>
            <w:gridSpan w:val="29"/>
          </w:tcPr>
          <w:p>
            <w:pPr>
              <w:spacing w:after="0" w:line="175" w:lineRule="exact"/>
              <w:rPr>
                <w:sz w:val="20"/>
                <w:szCs w:val="20"/>
                <w:color w:val="auto"/>
              </w:rPr>
            </w:pPr>
            <w:r>
              <w:rPr>
                <w:rFonts w:ascii="Times New Roman" w:cs="Times New Roman" w:eastAsia="Times New Roman" w:hAnsi="Times New Roman"/>
                <w:sz w:val="18"/>
                <w:szCs w:val="18"/>
                <w:color w:val="0000FF"/>
              </w:rPr>
              <w:t>ITEM 10—DIRECTORS, EXECUTIVE OFFICERS AND CORPORATE GOVERNANCE</w:t>
            </w:r>
          </w:p>
        </w:tc>
        <w:tc>
          <w:tcPr>
            <w:tcW w:w="600" w:type="dxa"/>
            <w:vAlign w:val="bottom"/>
          </w:tcPr>
          <w:p>
            <w:pPr>
              <w:jc w:val="right"/>
              <w:spacing w:after="0" w:line="175" w:lineRule="exact"/>
              <w:rPr>
                <w:sz w:val="20"/>
                <w:szCs w:val="20"/>
                <w:color w:val="auto"/>
              </w:rPr>
            </w:pPr>
            <w:r>
              <w:rPr>
                <w:rFonts w:ascii="Times New Roman" w:cs="Times New Roman" w:eastAsia="Times New Roman" w:hAnsi="Times New Roman"/>
                <w:sz w:val="18"/>
                <w:szCs w:val="18"/>
                <w:color w:val="auto"/>
              </w:rPr>
              <w:t>43</w:t>
            </w: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5"/>
        </w:trPr>
        <w:tc>
          <w:tcPr>
            <w:tcW w:w="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3300" w:type="dxa"/>
            <w:vAlign w:val="bottom"/>
            <w:tcBorders>
              <w:bottom w:val="single" w:sz="8" w:color="0000FF"/>
            </w:tcBorders>
            <w:gridSpan w:val="16"/>
            <w:shd w:val="clear" w:color="auto" w:fill="CFF0FC"/>
          </w:tcPr>
          <w:p>
            <w:pPr>
              <w:spacing w:after="0" w:line="175" w:lineRule="exact"/>
              <w:rPr>
                <w:sz w:val="20"/>
                <w:szCs w:val="20"/>
                <w:color w:val="auto"/>
              </w:rPr>
            </w:pPr>
            <w:r>
              <w:rPr>
                <w:rFonts w:ascii="Times New Roman" w:cs="Times New Roman" w:eastAsia="Times New Roman" w:hAnsi="Times New Roman"/>
                <w:sz w:val="18"/>
                <w:szCs w:val="18"/>
                <w:color w:val="0000FF"/>
                <w:w w:val="99"/>
              </w:rPr>
              <w:t>ITEM 11—EXECUTIVE COMPENSATION</w:t>
            </w:r>
          </w:p>
        </w:tc>
        <w:tc>
          <w:tcPr>
            <w:tcW w:w="7120" w:type="dxa"/>
            <w:vAlign w:val="bottom"/>
            <w:tcBorders>
              <w:bottom w:val="single" w:sz="8" w:color="CFF0FC"/>
            </w:tcBorders>
            <w:gridSpan w:val="13"/>
            <w:shd w:val="clear" w:color="auto" w:fill="CFF0FC"/>
          </w:tcPr>
          <w:p>
            <w:pPr>
              <w:spacing w:after="0"/>
              <w:rPr>
                <w:sz w:val="16"/>
                <w:szCs w:val="16"/>
                <w:color w:val="auto"/>
              </w:rPr>
            </w:pPr>
          </w:p>
        </w:tc>
        <w:tc>
          <w:tcPr>
            <w:tcW w:w="600" w:type="dxa"/>
            <w:vAlign w:val="bottom"/>
            <w:tcBorders>
              <w:bottom w:val="single" w:sz="8" w:color="CFF0FC"/>
            </w:tcBorders>
            <w:shd w:val="clear" w:color="auto" w:fill="CFF0FC"/>
          </w:tcPr>
          <w:p>
            <w:pPr>
              <w:jc w:val="right"/>
              <w:spacing w:after="0" w:line="175" w:lineRule="exact"/>
              <w:rPr>
                <w:sz w:val="20"/>
                <w:szCs w:val="20"/>
                <w:color w:val="auto"/>
              </w:rPr>
            </w:pPr>
            <w:r>
              <w:rPr>
                <w:rFonts w:ascii="Times New Roman" w:cs="Times New Roman" w:eastAsia="Times New Roman" w:hAnsi="Times New Roman"/>
                <w:sz w:val="18"/>
                <w:szCs w:val="18"/>
                <w:color w:val="auto"/>
              </w:rPr>
              <w:t>43</w:t>
            </w:r>
          </w:p>
        </w:tc>
      </w:tr>
      <w:tr>
        <w:trPr>
          <w:trHeight w:val="174"/>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40" w:type="dxa"/>
            <w:vAlign w:val="bottom"/>
            <w:tcBorders>
              <w:bottom w:val="single" w:sz="8" w:color="0000FF"/>
            </w:tcBorders>
            <w:gridSpan w:val="28"/>
          </w:tcPr>
          <w:p>
            <w:pPr>
              <w:spacing w:after="0" w:line="175" w:lineRule="exact"/>
              <w:rPr>
                <w:sz w:val="20"/>
                <w:szCs w:val="20"/>
                <w:color w:val="auto"/>
              </w:rPr>
            </w:pPr>
            <w:r>
              <w:rPr>
                <w:rFonts w:ascii="Times New Roman" w:cs="Times New Roman" w:eastAsia="Times New Roman" w:hAnsi="Times New Roman"/>
                <w:sz w:val="18"/>
                <w:szCs w:val="18"/>
                <w:color w:val="0000FF"/>
                <w:w w:val="99"/>
              </w:rPr>
              <w:t>ITEM 12—SECURITY OWNERSHIP OF CERTAIN BENEFICIAL OWNERS AND MANAGEMENT AND RELATED STOCKHOLDER</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95"/>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20" w:type="dxa"/>
            <w:vAlign w:val="bottom"/>
            <w:gridSpan w:val="29"/>
          </w:tcPr>
          <w:p>
            <w:pPr>
              <w:spacing w:after="0" w:line="195" w:lineRule="exact"/>
              <w:rPr>
                <w:sz w:val="20"/>
                <w:szCs w:val="20"/>
                <w:color w:val="auto"/>
              </w:rPr>
            </w:pPr>
            <w:r>
              <w:rPr>
                <w:rFonts w:ascii="Times New Roman" w:cs="Times New Roman" w:eastAsia="Times New Roman" w:hAnsi="Times New Roman"/>
                <w:sz w:val="18"/>
                <w:szCs w:val="18"/>
                <w:color w:val="0000FF"/>
              </w:rPr>
              <w:t>MATTERS</w:t>
            </w:r>
          </w:p>
        </w:tc>
        <w:tc>
          <w:tcPr>
            <w:tcW w:w="6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44</w:t>
            </w: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5"/>
        </w:trPr>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20" w:type="dxa"/>
            <w:vAlign w:val="bottom"/>
            <w:gridSpan w:val="29"/>
            <w:shd w:val="clear" w:color="auto" w:fill="CFF0FC"/>
          </w:tcPr>
          <w:p>
            <w:pPr>
              <w:spacing w:after="0" w:line="175" w:lineRule="exact"/>
              <w:rPr>
                <w:sz w:val="20"/>
                <w:szCs w:val="20"/>
                <w:color w:val="auto"/>
              </w:rPr>
            </w:pPr>
            <w:r>
              <w:rPr>
                <w:rFonts w:ascii="Times New Roman" w:cs="Times New Roman" w:eastAsia="Times New Roman" w:hAnsi="Times New Roman"/>
                <w:sz w:val="18"/>
                <w:szCs w:val="18"/>
                <w:color w:val="0000FF"/>
              </w:rPr>
              <w:t>ITEM 13—CERTAIN RELATIONSHIPS AND RELATED TRANSACTIONS, AND DIRECTOR INDEPENDENCE</w:t>
            </w:r>
          </w:p>
        </w:tc>
        <w:tc>
          <w:tcPr>
            <w:tcW w:w="600" w:type="dxa"/>
            <w:vAlign w:val="bottom"/>
            <w:shd w:val="clear" w:color="auto" w:fill="CFF0FC"/>
          </w:tcPr>
          <w:p>
            <w:pPr>
              <w:jc w:val="right"/>
              <w:spacing w:after="0" w:line="175" w:lineRule="exact"/>
              <w:rPr>
                <w:sz w:val="20"/>
                <w:szCs w:val="20"/>
                <w:color w:val="auto"/>
              </w:rPr>
            </w:pPr>
            <w:r>
              <w:rPr>
                <w:rFonts w:ascii="Times New Roman" w:cs="Times New Roman" w:eastAsia="Times New Roman" w:hAnsi="Times New Roman"/>
                <w:sz w:val="18"/>
                <w:szCs w:val="18"/>
                <w:color w:val="auto"/>
              </w:rPr>
              <w:t>44</w:t>
            </w:r>
          </w:p>
        </w:tc>
      </w:tr>
      <w:tr>
        <w:trPr>
          <w:trHeight w:val="174"/>
        </w:trPr>
        <w:tc>
          <w:tcPr>
            <w:tcW w:w="2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8560" w:type="dxa"/>
            <w:vAlign w:val="bottom"/>
            <w:tcBorders>
              <w:top w:val="single" w:sz="8" w:color="0000FF"/>
            </w:tcBorders>
            <w:gridSpan w:val="25"/>
          </w:tcPr>
          <w:p>
            <w:pPr>
              <w:spacing w:after="0" w:line="175" w:lineRule="exact"/>
              <w:rPr>
                <w:sz w:val="20"/>
                <w:szCs w:val="20"/>
                <w:color w:val="auto"/>
              </w:rPr>
            </w:pPr>
            <w:r>
              <w:rPr>
                <w:rFonts w:ascii="Times New Roman" w:cs="Times New Roman" w:eastAsia="Times New Roman" w:hAnsi="Times New Roman"/>
                <w:sz w:val="18"/>
                <w:szCs w:val="18"/>
                <w:color w:val="0000FF"/>
              </w:rPr>
              <w:t>ITEM 14—PRINCIPAL ACCOUNTANT FEES AND SERVICES</w:t>
            </w:r>
          </w:p>
        </w:tc>
        <w:tc>
          <w:tcPr>
            <w:tcW w:w="1860" w:type="dxa"/>
            <w:vAlign w:val="bottom"/>
            <w:tcBorders>
              <w:top w:val="single" w:sz="8" w:color="CFF0FC"/>
            </w:tcBorders>
            <w:gridSpan w:val="4"/>
          </w:tcPr>
          <w:p>
            <w:pPr>
              <w:spacing w:after="0"/>
              <w:rPr>
                <w:sz w:val="15"/>
                <w:szCs w:val="15"/>
                <w:color w:val="auto"/>
              </w:rPr>
            </w:pPr>
          </w:p>
        </w:tc>
        <w:tc>
          <w:tcPr>
            <w:tcW w:w="600" w:type="dxa"/>
            <w:vAlign w:val="bottom"/>
            <w:tcBorders>
              <w:top w:val="single" w:sz="8" w:color="CFF0FC"/>
            </w:tcBorders>
          </w:tcPr>
          <w:p>
            <w:pPr>
              <w:jc w:val="right"/>
              <w:spacing w:after="0" w:line="175" w:lineRule="exact"/>
              <w:rPr>
                <w:sz w:val="20"/>
                <w:szCs w:val="20"/>
                <w:color w:val="auto"/>
              </w:rPr>
            </w:pPr>
            <w:r>
              <w:rPr>
                <w:rFonts w:ascii="Times New Roman" w:cs="Times New Roman" w:eastAsia="Times New Roman" w:hAnsi="Times New Roman"/>
                <w:sz w:val="18"/>
                <w:szCs w:val="18"/>
                <w:color w:val="auto"/>
              </w:rPr>
              <w:t>44</w:t>
            </w: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5"/>
        </w:trPr>
        <w:tc>
          <w:tcPr>
            <w:tcW w:w="20" w:type="dxa"/>
            <w:vAlign w:val="bottom"/>
            <w:tcBorders>
              <w:bottom w:val="single" w:sz="8" w:color="CFF0FC"/>
            </w:tcBorders>
            <w:shd w:val="clear" w:color="auto" w:fill="CFF0FC"/>
          </w:tcPr>
          <w:p>
            <w:pPr>
              <w:spacing w:after="0"/>
              <w:rPr>
                <w:sz w:val="16"/>
                <w:szCs w:val="16"/>
                <w:color w:val="auto"/>
              </w:rPr>
            </w:pPr>
          </w:p>
        </w:tc>
        <w:tc>
          <w:tcPr>
            <w:tcW w:w="700" w:type="dxa"/>
            <w:vAlign w:val="bottom"/>
            <w:tcBorders>
              <w:bottom w:val="single" w:sz="8" w:color="0000FF"/>
            </w:tcBorders>
            <w:gridSpan w:val="5"/>
            <w:shd w:val="clear" w:color="auto" w:fill="CFF0FC"/>
          </w:tcPr>
          <w:p>
            <w:pPr>
              <w:spacing w:after="0" w:line="175" w:lineRule="exact"/>
              <w:rPr>
                <w:sz w:val="20"/>
                <w:szCs w:val="20"/>
                <w:color w:val="auto"/>
              </w:rPr>
            </w:pPr>
            <w:r>
              <w:rPr>
                <w:rFonts w:ascii="Times New Roman" w:cs="Times New Roman" w:eastAsia="Times New Roman" w:hAnsi="Times New Roman"/>
                <w:sz w:val="18"/>
                <w:szCs w:val="18"/>
                <w:color w:val="0000FF"/>
                <w:w w:val="97"/>
              </w:rPr>
              <w:t>PART IV</w:t>
            </w:r>
          </w:p>
        </w:tc>
        <w:tc>
          <w:tcPr>
            <w:tcW w:w="9920" w:type="dxa"/>
            <w:vAlign w:val="bottom"/>
            <w:tcBorders>
              <w:bottom w:val="single" w:sz="8" w:color="CFF0FC"/>
            </w:tcBorders>
            <w:gridSpan w:val="25"/>
            <w:shd w:val="clear" w:color="auto" w:fill="CFF0FC"/>
          </w:tcPr>
          <w:p>
            <w:pPr>
              <w:spacing w:after="0"/>
              <w:rPr>
                <w:sz w:val="16"/>
                <w:szCs w:val="16"/>
                <w:color w:val="auto"/>
              </w:rPr>
            </w:pPr>
          </w:p>
        </w:tc>
        <w:tc>
          <w:tcPr>
            <w:tcW w:w="600" w:type="dxa"/>
            <w:vAlign w:val="bottom"/>
            <w:tcBorders>
              <w:bottom w:val="single" w:sz="8" w:color="CFF0FC"/>
            </w:tcBorders>
            <w:shd w:val="clear" w:color="auto" w:fill="CFF0FC"/>
          </w:tcPr>
          <w:p>
            <w:pPr>
              <w:jc w:val="right"/>
              <w:spacing w:after="0" w:line="175" w:lineRule="exact"/>
              <w:rPr>
                <w:sz w:val="20"/>
                <w:szCs w:val="20"/>
                <w:color w:val="auto"/>
              </w:rPr>
            </w:pPr>
            <w:r>
              <w:rPr>
                <w:rFonts w:ascii="Times New Roman" w:cs="Times New Roman" w:eastAsia="Times New Roman" w:hAnsi="Times New Roman"/>
                <w:sz w:val="18"/>
                <w:szCs w:val="18"/>
                <w:color w:val="auto"/>
              </w:rPr>
              <w:t>45</w:t>
            </w:r>
          </w:p>
        </w:tc>
      </w:tr>
      <w:tr>
        <w:trPr>
          <w:trHeight w:val="174"/>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20" w:type="dxa"/>
            <w:vAlign w:val="bottom"/>
            <w:gridSpan w:val="29"/>
          </w:tcPr>
          <w:p>
            <w:pPr>
              <w:spacing w:after="0" w:line="175" w:lineRule="exact"/>
              <w:rPr>
                <w:sz w:val="20"/>
                <w:szCs w:val="20"/>
                <w:color w:val="auto"/>
              </w:rPr>
            </w:pPr>
            <w:r>
              <w:rPr>
                <w:rFonts w:ascii="Times New Roman" w:cs="Times New Roman" w:eastAsia="Times New Roman" w:hAnsi="Times New Roman"/>
                <w:sz w:val="18"/>
                <w:szCs w:val="18"/>
                <w:color w:val="0000FF"/>
              </w:rPr>
              <w:t>ITEM 15—EXHIBIT AND FINANCIAL STATEMENT SCHEDULES</w:t>
            </w:r>
          </w:p>
        </w:tc>
        <w:tc>
          <w:tcPr>
            <w:tcW w:w="600" w:type="dxa"/>
            <w:vAlign w:val="bottom"/>
          </w:tcPr>
          <w:p>
            <w:pPr>
              <w:jc w:val="right"/>
              <w:spacing w:after="0" w:line="175" w:lineRule="exact"/>
              <w:rPr>
                <w:sz w:val="20"/>
                <w:szCs w:val="20"/>
                <w:color w:val="auto"/>
              </w:rPr>
            </w:pPr>
            <w:r>
              <w:rPr>
                <w:rFonts w:ascii="Times New Roman" w:cs="Times New Roman" w:eastAsia="Times New Roman" w:hAnsi="Times New Roman"/>
                <w:sz w:val="18"/>
                <w:szCs w:val="18"/>
                <w:color w:val="auto"/>
              </w:rPr>
              <w:t>45</w:t>
            </w: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5"/>
        </w:trPr>
        <w:tc>
          <w:tcPr>
            <w:tcW w:w="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2740" w:type="dxa"/>
            <w:vAlign w:val="bottom"/>
            <w:tcBorders>
              <w:bottom w:val="single" w:sz="8" w:color="0000FF"/>
            </w:tcBorders>
            <w:gridSpan w:val="13"/>
            <w:shd w:val="clear" w:color="auto" w:fill="CFF0FC"/>
          </w:tcPr>
          <w:p>
            <w:pPr>
              <w:spacing w:after="0" w:line="175" w:lineRule="exact"/>
              <w:rPr>
                <w:sz w:val="20"/>
                <w:szCs w:val="20"/>
                <w:color w:val="auto"/>
              </w:rPr>
            </w:pPr>
            <w:r>
              <w:rPr>
                <w:rFonts w:ascii="Times New Roman" w:cs="Times New Roman" w:eastAsia="Times New Roman" w:hAnsi="Times New Roman"/>
                <w:sz w:val="18"/>
                <w:szCs w:val="18"/>
                <w:color w:val="0000FF"/>
                <w:w w:val="99"/>
              </w:rPr>
              <w:t>ITEM 16—FORM 10-K SUMMARY</w:t>
            </w:r>
          </w:p>
        </w:tc>
        <w:tc>
          <w:tcPr>
            <w:tcW w:w="7680" w:type="dxa"/>
            <w:vAlign w:val="bottom"/>
            <w:tcBorders>
              <w:bottom w:val="single" w:sz="8" w:color="CFF0FC"/>
            </w:tcBorders>
            <w:gridSpan w:val="16"/>
            <w:shd w:val="clear" w:color="auto" w:fill="CFF0FC"/>
          </w:tcPr>
          <w:p>
            <w:pPr>
              <w:spacing w:after="0"/>
              <w:rPr>
                <w:sz w:val="16"/>
                <w:szCs w:val="16"/>
                <w:color w:val="auto"/>
              </w:rPr>
            </w:pPr>
          </w:p>
        </w:tc>
        <w:tc>
          <w:tcPr>
            <w:tcW w:w="600" w:type="dxa"/>
            <w:vAlign w:val="bottom"/>
            <w:tcBorders>
              <w:bottom w:val="single" w:sz="8" w:color="CFF0FC"/>
            </w:tcBorders>
            <w:shd w:val="clear" w:color="auto" w:fill="CFF0FC"/>
          </w:tcPr>
          <w:p>
            <w:pPr>
              <w:jc w:val="right"/>
              <w:spacing w:after="0" w:line="175" w:lineRule="exact"/>
              <w:rPr>
                <w:sz w:val="20"/>
                <w:szCs w:val="20"/>
                <w:color w:val="auto"/>
              </w:rPr>
            </w:pPr>
            <w:r>
              <w:rPr>
                <w:rFonts w:ascii="Times New Roman" w:cs="Times New Roman" w:eastAsia="Times New Roman" w:hAnsi="Times New Roman"/>
                <w:sz w:val="18"/>
                <w:szCs w:val="18"/>
                <w:color w:val="auto"/>
              </w:rPr>
              <w:t>51</w:t>
            </w:r>
          </w:p>
        </w:tc>
      </w:tr>
      <w:tr>
        <w:trPr>
          <w:trHeight w:val="859"/>
        </w:trPr>
        <w:tc>
          <w:tcPr>
            <w:tcW w:w="5700" w:type="dxa"/>
            <w:vAlign w:val="bottom"/>
            <w:gridSpan w:val="23"/>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758"/>
        </w:trPr>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Annual Report on Form 10-K contains various forward-looking statements within the meaning of Section 27A of the Securities Act of 1933, as amended (the “Securities Act”) and Section 21E of the Securities Exchange Act of 1934, as amended (the “Exchange Act”), which represent our expectations or beliefs concerning future events. Forward-looking statements include statements that are predictive in nature, which depend upon or refer to future events or conditions, and/or which include words such as “believes,” “plans,” “intends,” “anticipates,” “estimates,” “expects,” “may,” “will” or similar expressions. In addition, any statements concerning future financial performance, ongoing strategies or prospects, and possible future actions, including any potential strategic transaction involving us, which may be provided by our management, are also forward-looking statements. These statements are not guarantees of future performance, and we undertake no obligation to publicly update any forward-looking statements, whether as a result of new information, future events, or otherwise, except as required by law.</w:t>
      </w:r>
    </w:p>
    <w:p>
      <w:pPr>
        <w:spacing w:after="0" w:line="1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Forward-looking statements are based on current expectations and projections about future events, actual events and results may differ materially from those expressed or forecasted in forward-looking statements due to a number of factors. You should understand that the following important factors, in addition to those discussed in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included in Item 1A of Part I of this Annual Report on Form 10-K and in any of our filings with the U.S. Securities and Exchange Commission (the “SEC”) pursuant to Sections 13(a), 13(c), 14 or 15(d) of the Exchange Act, could affect our stock price or future results and could cause those results to differ materially from those expressed in such forward-looking statements:</w:t>
      </w:r>
    </w:p>
    <w:p>
      <w:pPr>
        <w:spacing w:after="0" w:line="144"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our current product candidates, and any product candidate which we may develop or in-license in the future;</w:t>
      </w:r>
    </w:p>
    <w:p>
      <w:pPr>
        <w:spacing w:after="0" w:line="26" w:lineRule="exact"/>
        <w:rPr>
          <w:rFonts w:ascii="Times New Roman" w:cs="Times New Roman" w:eastAsia="Times New Roman" w:hAnsi="Times New Roman"/>
          <w:sz w:val="18"/>
          <w:szCs w:val="18"/>
          <w:color w:val="auto"/>
        </w:rPr>
      </w:pPr>
    </w:p>
    <w:p>
      <w:pPr>
        <w:ind w:left="760" w:hanging="378"/>
        <w:spacing w:after="0" w:line="248"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commencement, enrollment and completion of clinical testing, as well as the analysis and reporting of results from such clinical testing;</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our partners’ abilities, and third parties’ abilities to protect and assert intellectual property rights;</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nonclinical and clinical studies of our product candidates;</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obtain regulatory approval of our product candidates;</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risks related to any collaborations we may enter into for our product candidates;</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delays in regulatory review and approval of product candidates in development;</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 effective sales and marketing infrastructure;</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the potential market opportunity for our product candidates;</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products or new products that may emerge;</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receive regulatory approval or commercialize our products;</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side effects of our product candidates that could delay or prevent commercialization;</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 and adverse events;</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liabilities associated with hazardous materials;</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adequate insurance policies;</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third-party manufacturers and clinical research organizations (“CROs”);</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or maintain collaborations, licensing or other arrangements;</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and outcomes of potential litigation;</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obligations under intellectual property licenses with third parties;</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support future growth;</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personnel, including our executive team, advisors and members of our Board of Directors; and</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uncertainties, including in the Middle East and the Russian invasion of and war against the country of Ukraine.</w:t>
      </w:r>
    </w:p>
    <w:p>
      <w:pPr>
        <w:spacing w:after="0" w:line="177"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8"/>
          <w:szCs w:val="18"/>
          <w:color w:val="auto"/>
        </w:rPr>
        <w:t>The forward-looking statements in this Annual Report on Form 10-K represent our views as of the date such statements are made. These forward-looking statements should not be relied upon as representing our views as of any date subsequent to the date such statements are made.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references in this Annual Report on Form 10-K to the “Company,” “Tenax”, “we”, “our” and “us” means Tenax Therapeutics, Inc.</w:t>
      </w:r>
    </w:p>
    <w:p>
      <w:pPr>
        <w:spacing w:after="0" w:line="1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Annual Report on Form 10-K contains references to our trademarks and to trademarks belonging to other entities. Solely for convenience, trademarks and trade names referred to in this Annual Report on Form 10-K, including logos, artwork and other visual displays, may appear without the ® or TM symbols, but such references are not intended to indicate, in any way, that we will not assert, to the fullest extent under applicable law, our rights or the rights of the applicable licensor to these trademarks and trade names. We do not intend our use or display of other companies’ trade names or trademarks to imply a relationship with, or endorsement or sponsorship of us by, any other company.</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is subject to significant risks and uncertainties that make an investment in us speculative and risky. Below we summarize what we believe are the principal risk factors, but these are not the only risks we face, and you should carefully review and consider the full discussion of our risk factors in the section titled “Risk Factors”, together with the other information in this Annual Report on Form 10-K. If any of the following risks materializes (or if any of those listed elsewhere in this Annual Report on Form 10-K materialize), our business, reputation, financial condition, results of operations, revenue, and future prospects could be seriously harmed. Additional risks and uncertainties that we are unaware of, or that we currently believe are not material, may also become important factors that adversely affect our business.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Business and Operations</w:t>
      </w:r>
    </w:p>
    <w:p>
      <w:pPr>
        <w:spacing w:after="0" w:line="184" w:lineRule="exact"/>
        <w:rPr>
          <w:sz w:val="20"/>
          <w:szCs w:val="20"/>
          <w:color w:val="auto"/>
        </w:rPr>
      </w:pPr>
    </w:p>
    <w:p>
      <w:pPr>
        <w:ind w:left="760" w:hanging="378"/>
        <w:spacing w:after="0" w:line="259"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limited in the number of products we can simultaneously pursue and therefore our survival depends on our success with a small number of product opportunities, and in particular, oral levosimendan as our prioritized product candidate.</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have no approved drug products for sale, and we cannot guarantee that we will ever have marketable drug products.</w:t>
      </w:r>
    </w:p>
    <w:p>
      <w:pPr>
        <w:spacing w:after="0" w:line="7" w:lineRule="exact"/>
        <w:rPr>
          <w:rFonts w:ascii="Times New Roman" w:cs="Times New Roman" w:eastAsia="Times New Roman" w:hAnsi="Times New Roman"/>
          <w:sz w:val="18"/>
          <w:szCs w:val="18"/>
          <w:color w:val="auto"/>
        </w:rPr>
      </w:pPr>
    </w:p>
    <w:p>
      <w:pPr>
        <w:ind w:left="760" w:hanging="378"/>
        <w:spacing w:after="0" w:line="248"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to conduct additional clinical trials, including the LEVEL and LEVEL-2 trials for oral levosimendan, which are expensive and time consuming, and the outcomes of the clinical trials are uncertain.</w:t>
      </w:r>
    </w:p>
    <w:p>
      <w:pPr>
        <w:spacing w:after="0" w:line="1" w:lineRule="exact"/>
        <w:rPr>
          <w:rFonts w:ascii="Times New Roman" w:cs="Times New Roman" w:eastAsia="Times New Roman" w:hAnsi="Times New Roman"/>
          <w:sz w:val="18"/>
          <w:szCs w:val="18"/>
          <w:color w:val="auto"/>
        </w:rPr>
      </w:pPr>
    </w:p>
    <w:p>
      <w:pPr>
        <w:ind w:left="760" w:hanging="378"/>
        <w:spacing w:after="0" w:line="248"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enrollment and completion of clinical testing could result in increased costs to us and delay or limit our ability to obtain regulatory approval of our product candidates.</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may not accept our products.</w:t>
      </w:r>
    </w:p>
    <w:p>
      <w:pPr>
        <w:spacing w:after="0" w:line="7" w:lineRule="exact"/>
        <w:rPr>
          <w:rFonts w:ascii="Times New Roman" w:cs="Times New Roman" w:eastAsia="Times New Roman" w:hAnsi="Times New Roman"/>
          <w:sz w:val="18"/>
          <w:szCs w:val="18"/>
          <w:color w:val="auto"/>
        </w:rPr>
      </w:pPr>
    </w:p>
    <w:p>
      <w:pPr>
        <w:jc w:val="both"/>
        <w:ind w:left="760" w:hanging="378"/>
        <w:spacing w:after="0" w:line="248"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Nonfinal results from our clinical trials announced or published from time to time on an interim, preliminary, or “top-line” basis, and conclusions that may be drawn from such results, may change as more patient data become available, and these results are subject to audit and verification procedures that could result in material changes in the final data.</w:t>
      </w:r>
    </w:p>
    <w:p>
      <w:pPr>
        <w:spacing w:after="0" w:line="2" w:lineRule="exact"/>
        <w:rPr>
          <w:rFonts w:ascii="Times New Roman" w:cs="Times New Roman" w:eastAsia="Times New Roman" w:hAnsi="Times New Roman"/>
          <w:sz w:val="18"/>
          <w:szCs w:val="18"/>
          <w:color w:val="auto"/>
        </w:rPr>
      </w:pPr>
    </w:p>
    <w:p>
      <w:pPr>
        <w:ind w:left="760" w:hanging="378"/>
        <w:spacing w:after="0" w:line="257"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collaboration we enter with third parties to develop and commercialize any future product candidates may place the development of our product candidates outside our control, may require us to relinquish important rights or may otherwise be on terms unfavorable to us.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Financial Position and Need for Additional Capital</w:t>
      </w:r>
    </w:p>
    <w:p>
      <w:pPr>
        <w:spacing w:after="0" w:line="224" w:lineRule="exact"/>
        <w:rPr>
          <w:sz w:val="20"/>
          <w:szCs w:val="20"/>
          <w:color w:val="auto"/>
        </w:rPr>
      </w:pPr>
    </w:p>
    <w:p>
      <w:pPr>
        <w:jc w:val="both"/>
        <w:ind w:left="760" w:hanging="378"/>
        <w:spacing w:after="0" w:line="269" w:lineRule="auto"/>
        <w:tabs>
          <w:tab w:leader="none" w:pos="7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require substantial additional funding to further develop our product candidates, including to complete the open label extension stage of our ongoing Phase 3 LEVEL trial of levosimendan and to complete a second planned global Phase 3 study, LEVEL-2, as well as to initiate or complete an imatinib Phase 3 trial. Failure to obtain this necessary capital when needed on acceptable terms, or at all, or execute on an alternative strategic path, could force us to delay, limit, reduce or terminate our clinical trials, product development efforts and business operations.</w:t>
      </w:r>
    </w:p>
    <w:p>
      <w:pPr>
        <w:spacing w:after="0" w:line="1" w:lineRule="exact"/>
        <w:rPr>
          <w:rFonts w:ascii="Times New Roman" w:cs="Times New Roman" w:eastAsia="Times New Roman" w:hAnsi="Times New Roman"/>
          <w:sz w:val="17"/>
          <w:szCs w:val="17"/>
          <w:color w:val="auto"/>
        </w:rPr>
      </w:pPr>
    </w:p>
    <w:p>
      <w:pPr>
        <w:ind w:left="760" w:hanging="378"/>
        <w:spacing w:after="0" w:line="248"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make milestone and royalty payments to the licensor of the levosimendan intellectual property in connection with the development and commercialization of levosimendan, which could adversely affect the profitability of levosimendan, if approved.</w:t>
      </w:r>
    </w:p>
    <w:p>
      <w:pPr>
        <w:spacing w:after="0" w:line="1" w:lineRule="exact"/>
        <w:rPr>
          <w:rFonts w:ascii="Times New Roman" w:cs="Times New Roman" w:eastAsia="Times New Roman" w:hAnsi="Times New Roman"/>
          <w:sz w:val="18"/>
          <w:szCs w:val="18"/>
          <w:color w:val="auto"/>
        </w:rPr>
      </w:pPr>
    </w:p>
    <w:p>
      <w:pPr>
        <w:ind w:left="760" w:hanging="378"/>
        <w:spacing w:after="0" w:line="248"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a number of factors to cause our operating results to fluctuate on a quarterly and annual basis, which may make it difficult to predict our future performance.</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losses since our inception, expect to continue to incur losses in the foreseeable future, and may never become profitable.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Relating to Our Industry</w:t>
      </w:r>
    </w:p>
    <w:p>
      <w:pPr>
        <w:spacing w:after="0" w:line="198" w:lineRule="exact"/>
        <w:rPr>
          <w:sz w:val="20"/>
          <w:szCs w:val="20"/>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Intense competition might render our product candidates noncompetitive or obsolete.</w:t>
      </w:r>
    </w:p>
    <w:p>
      <w:pPr>
        <w:spacing w:after="0" w:line="26" w:lineRule="exact"/>
        <w:rPr>
          <w:rFonts w:ascii="Times New Roman" w:cs="Times New Roman" w:eastAsia="Times New Roman" w:hAnsi="Times New Roman"/>
          <w:sz w:val="18"/>
          <w:szCs w:val="18"/>
          <w:color w:val="auto"/>
        </w:rPr>
      </w:pPr>
    </w:p>
    <w:p>
      <w:pPr>
        <w:ind w:left="760" w:hanging="378"/>
        <w:spacing w:after="0" w:line="248"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activities are, and will continue to be, subject to extensive government regulation, which is expensive and time consuming, and we will not be able to sell our products without regulatory approval.</w:t>
      </w:r>
    </w:p>
    <w:p>
      <w:pPr>
        <w:spacing w:after="0" w:line="1" w:lineRule="exact"/>
        <w:rPr>
          <w:rFonts w:ascii="Times New Roman" w:cs="Times New Roman" w:eastAsia="Times New Roman" w:hAnsi="Times New Roman"/>
          <w:sz w:val="18"/>
          <w:szCs w:val="18"/>
          <w:color w:val="auto"/>
        </w:rPr>
      </w:pPr>
    </w:p>
    <w:p>
      <w:pPr>
        <w:ind w:left="760" w:hanging="378"/>
        <w:spacing w:after="0" w:line="248"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receive all of the anticipated market exclusivity benefits of imatinib’s orphan drug designation, if we prioritize imatinib’s development in the future.</w:t>
      </w:r>
    </w:p>
    <w:p>
      <w:pPr>
        <w:spacing w:after="0" w:line="1" w:lineRule="exact"/>
        <w:rPr>
          <w:rFonts w:ascii="Times New Roman" w:cs="Times New Roman" w:eastAsia="Times New Roman" w:hAnsi="Times New Roman"/>
          <w:sz w:val="18"/>
          <w:szCs w:val="18"/>
          <w:color w:val="auto"/>
        </w:rPr>
      </w:pPr>
    </w:p>
    <w:p>
      <w:pPr>
        <w:ind w:left="760" w:hanging="378"/>
        <w:spacing w:after="0" w:line="248"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after products are commercialized, we would expect to spend considerable time and money complying with federal and state laws and regulations governing their sale, and, if we are unable to fully comply with such laws and regulations, we could face substantial penalties.</w:t>
      </w:r>
    </w:p>
    <w:p>
      <w:pPr>
        <w:spacing w:after="0" w:line="1" w:lineRule="exact"/>
        <w:rPr>
          <w:rFonts w:ascii="Times New Roman" w:cs="Times New Roman" w:eastAsia="Times New Roman" w:hAnsi="Times New Roman"/>
          <w:sz w:val="18"/>
          <w:szCs w:val="18"/>
          <w:color w:val="auto"/>
        </w:rPr>
      </w:pPr>
    </w:p>
    <w:p>
      <w:pPr>
        <w:ind w:left="760" w:hanging="378"/>
        <w:spacing w:after="0" w:line="248"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uncertainty relating to healthcare reform measures and reimbursement policies that, if not favorable to our products, could hinder or prevent our products’ commercial success, if any of our product candidates are approved.</w:t>
      </w:r>
    </w:p>
    <w:p>
      <w:pPr>
        <w:spacing w:after="0" w:line="1" w:lineRule="exact"/>
        <w:rPr>
          <w:rFonts w:ascii="Times New Roman" w:cs="Times New Roman" w:eastAsia="Times New Roman" w:hAnsi="Times New Roman"/>
          <w:sz w:val="18"/>
          <w:szCs w:val="18"/>
          <w:color w:val="auto"/>
        </w:rPr>
      </w:pPr>
    </w:p>
    <w:p>
      <w:pPr>
        <w:ind w:left="760" w:right="20" w:hanging="378"/>
        <w:spacing w:after="0" w:line="248"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outside the United States tend to impose strict price controls and reimbursement approval policies, which may adversely affect our prospects for generating revenue outside the United States.</w:t>
      </w:r>
    </w:p>
    <w:p>
      <w:pPr>
        <w:spacing w:after="0" w:line="1" w:lineRule="exact"/>
        <w:rPr>
          <w:rFonts w:ascii="Times New Roman" w:cs="Times New Roman" w:eastAsia="Times New Roman" w:hAnsi="Times New Roman"/>
          <w:sz w:val="18"/>
          <w:szCs w:val="18"/>
          <w:color w:val="auto"/>
        </w:rPr>
      </w:pPr>
    </w:p>
    <w:p>
      <w:pPr>
        <w:ind w:left="760" w:hanging="378"/>
        <w:spacing w:after="0" w:line="248"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lawsuits against us could cause us to incur substantial liabilities and limit commercialization of any products that we may develop.</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operations would suffer in the event of computer system failures, cyber-attacks or deficiencies in our cybersecurity.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Dependence on Third Parties</w:t>
      </w:r>
    </w:p>
    <w:p>
      <w:pPr>
        <w:spacing w:after="0" w:line="184" w:lineRule="exact"/>
        <w:rPr>
          <w:sz w:val="20"/>
          <w:szCs w:val="20"/>
          <w:color w:val="auto"/>
        </w:rPr>
      </w:pPr>
    </w:p>
    <w:p>
      <w:pPr>
        <w:jc w:val="both"/>
        <w:ind w:left="760" w:hanging="378"/>
        <w:spacing w:after="0" w:line="256"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historically relied on and we will continue to rely on third parties substantially to conduct our nonclinical testing and clinical studies and other aspects of our development programs. If those third parties do not satisfactorily perform their contractual obligations or meet anticipated deadlines, the development of our product candidates could be adversely affected.</w:t>
      </w: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 parties to formulate and manufacture our products.</w:t>
      </w:r>
    </w:p>
    <w:p>
      <w:pPr>
        <w:spacing w:after="0" w:line="7" w:lineRule="exact"/>
        <w:rPr>
          <w:rFonts w:ascii="Times New Roman" w:cs="Times New Roman" w:eastAsia="Times New Roman" w:hAnsi="Times New Roman"/>
          <w:sz w:val="18"/>
          <w:szCs w:val="18"/>
          <w:color w:val="auto"/>
        </w:rPr>
      </w:pPr>
    </w:p>
    <w:p>
      <w:pPr>
        <w:ind w:left="760" w:hanging="378"/>
        <w:spacing w:after="0" w:line="248"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attract and retain senior management and key scientific personnel, we may be unable to successfully develop and commercialize our product candidates.</w:t>
      </w:r>
    </w:p>
    <w:p>
      <w:pPr>
        <w:spacing w:after="0" w:line="1" w:lineRule="exact"/>
        <w:rPr>
          <w:rFonts w:ascii="Times New Roman" w:cs="Times New Roman" w:eastAsia="Times New Roman" w:hAnsi="Times New Roman"/>
          <w:sz w:val="18"/>
          <w:szCs w:val="18"/>
          <w:color w:val="auto"/>
        </w:rPr>
      </w:pPr>
    </w:p>
    <w:p>
      <w:pPr>
        <w:ind w:left="760" w:hanging="378"/>
        <w:spacing w:after="0" w:line="248"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need to increase the size of our organization to further develop our product candidates, and we may experience difficulties in managing growth.</w:t>
      </w:r>
    </w:p>
    <w:p>
      <w:pPr>
        <w:spacing w:after="0" w:line="1" w:lineRule="exact"/>
        <w:rPr>
          <w:rFonts w:ascii="Times New Roman" w:cs="Times New Roman" w:eastAsia="Times New Roman" w:hAnsi="Times New Roman"/>
          <w:sz w:val="18"/>
          <w:szCs w:val="18"/>
          <w:color w:val="auto"/>
        </w:rPr>
      </w:pPr>
    </w:p>
    <w:p>
      <w:pPr>
        <w:ind w:left="760" w:hanging="378"/>
        <w:spacing w:after="0" w:line="257"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have very little marketing capabilities and no sales organization. If we are unable to establish sales and marketing capabilities on our own or through third parties, we will be unable to successfully commercialize our products, if approved, or generate product revenue.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Intellectual Property</w:t>
      </w:r>
    </w:p>
    <w:p>
      <w:pPr>
        <w:spacing w:after="0" w:line="184" w:lineRule="exact"/>
        <w:rPr>
          <w:sz w:val="20"/>
          <w:szCs w:val="20"/>
          <w:color w:val="auto"/>
        </w:rPr>
      </w:pPr>
    </w:p>
    <w:p>
      <w:pPr>
        <w:ind w:left="760" w:hanging="378"/>
        <w:spacing w:after="0" w:line="259"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will depend in part on obtaining and maintaining effective patent and other intellectual property protection for our product candidates and proprietary technology.</w:t>
      </w:r>
    </w:p>
    <w:p>
      <w:pPr>
        <w:spacing w:after="0" w:line="1" w:lineRule="exact"/>
        <w:rPr>
          <w:rFonts w:ascii="Times New Roman" w:cs="Times New Roman" w:eastAsia="Times New Roman" w:hAnsi="Times New Roman"/>
          <w:sz w:val="18"/>
          <w:szCs w:val="18"/>
          <w:color w:val="auto"/>
        </w:rPr>
      </w:pPr>
    </w:p>
    <w:p>
      <w:pPr>
        <w:ind w:left="760" w:right="20" w:hanging="378"/>
        <w:spacing w:after="0" w:line="248"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confidentiality agreements that, if breached, may be difficult to enforce and could have a material adverse effect on our business and competitive position.</w:t>
      </w:r>
    </w:p>
    <w:p>
      <w:pPr>
        <w:spacing w:after="0" w:line="1" w:lineRule="exact"/>
        <w:rPr>
          <w:rFonts w:ascii="Times New Roman" w:cs="Times New Roman" w:eastAsia="Times New Roman" w:hAnsi="Times New Roman"/>
          <w:sz w:val="18"/>
          <w:szCs w:val="18"/>
          <w:color w:val="auto"/>
        </w:rPr>
      </w:pPr>
    </w:p>
    <w:p>
      <w:pPr>
        <w:ind w:left="760" w:hanging="378"/>
        <w:spacing w:after="0" w:line="248"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substantial costs as a result of litigation or other proceedings relating to patent and other intellectual property rights and we may be unable to protect our rights to, or use, our technology.</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current law, we may not be able to enforce all employees’ covenants not to compete.</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infringe or be alleged to infringe intellectual property rights of third parties.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Owning Our Common Stock</w:t>
      </w:r>
    </w:p>
    <w:p>
      <w:pPr>
        <w:spacing w:after="0" w:line="198" w:lineRule="exact"/>
        <w:rPr>
          <w:sz w:val="20"/>
          <w:szCs w:val="20"/>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 price has been volatile, and may continue to be volatile, which may subject us to securities class action litigation in the future.</w:t>
      </w:r>
    </w:p>
    <w:p>
      <w:pPr>
        <w:spacing w:after="0" w:line="26" w:lineRule="exact"/>
        <w:rPr>
          <w:rFonts w:ascii="Times New Roman" w:cs="Times New Roman" w:eastAsia="Times New Roman" w:hAnsi="Times New Roman"/>
          <w:sz w:val="18"/>
          <w:szCs w:val="18"/>
          <w:color w:val="auto"/>
        </w:rPr>
      </w:pPr>
    </w:p>
    <w:p>
      <w:pPr>
        <w:ind w:left="760" w:hanging="378"/>
        <w:spacing w:after="0" w:line="248"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may experience dilution of their ownership interests because of the future issuance of additional shares of our common stock or securities convertible into common stock.</w:t>
      </w:r>
    </w:p>
    <w:p>
      <w:pPr>
        <w:spacing w:after="0" w:line="1" w:lineRule="exact"/>
        <w:rPr>
          <w:rFonts w:ascii="Times New Roman" w:cs="Times New Roman" w:eastAsia="Times New Roman" w:hAnsi="Times New Roman"/>
          <w:sz w:val="18"/>
          <w:szCs w:val="18"/>
          <w:color w:val="auto"/>
        </w:rPr>
      </w:pPr>
    </w:p>
    <w:p>
      <w:pPr>
        <w:ind w:left="760" w:hanging="378"/>
        <w:spacing w:after="0" w:line="257"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Anti-takeover provisions in our corporate charter documents and under Delaware law could make an acquisition of us more difficult, which could discourage takeover attempts and lead to management entrenchment, and the market price of our common stock may be lower as a result.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760" w:hanging="378"/>
        <w:spacing w:after="0" w:line="259"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Bylaws contain an exclusive forum provision for certain disputes, which could limit our stockholders’ ability to obtain a favorable judicial forum for disputes with us or our directors, officers, employees, or agents.</w:t>
      </w:r>
    </w:p>
    <w:p>
      <w:pPr>
        <w:spacing w:after="0" w:line="1" w:lineRule="exact"/>
        <w:rPr>
          <w:rFonts w:ascii="Times New Roman" w:cs="Times New Roman" w:eastAsia="Times New Roman" w:hAnsi="Times New Roman"/>
          <w:sz w:val="18"/>
          <w:szCs w:val="18"/>
          <w:color w:val="auto"/>
        </w:rPr>
      </w:pPr>
    </w:p>
    <w:p>
      <w:pPr>
        <w:ind w:left="760" w:right="20" w:hanging="378"/>
        <w:spacing w:after="0" w:line="248"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paid cash dividends in the past and do not expect to pay dividends in the future. Any return on investment may be limited to the value of our common stock.</w:t>
      </w:r>
    </w:p>
    <w:p>
      <w:pPr>
        <w:spacing w:after="0" w:line="1" w:lineRule="exact"/>
        <w:rPr>
          <w:rFonts w:ascii="Times New Roman" w:cs="Times New Roman" w:eastAsia="Times New Roman" w:hAnsi="Times New Roman"/>
          <w:sz w:val="18"/>
          <w:szCs w:val="18"/>
          <w:color w:val="auto"/>
        </w:rPr>
      </w:pPr>
    </w:p>
    <w:p>
      <w:pPr>
        <w:ind w:left="760" w:right="20" w:hanging="378"/>
        <w:spacing w:after="0" w:line="257"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our net operating loss carryforwards and certain other tax attributes to offset future taxable income may be subject to certain limitations.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1—BUSINESS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Tenax Therapeutics is a clinical-stage pharmaceutical company using clinical insights to develop novel cardiopulmonary therapies. We employ a clinician-focused drug development approach, led by key opinion leaders and heart failure experts and informed by their clinical insights to precisely target disease pathophysiology. We are currently actively conducting the LEVEL clinical trial to evaluate levosimendan as our prioritized product candidate and have deprioritized a Phase 3 clinical trial of imatinib, two drugs supported by promising evidence that they may significantly improve the lives of patients with pulmonary hypertension. Importantly, both levosimendan and imatinib have already been approved in other indications and prescribed around the world for more than 20 years, and we believe their mechanisms of action are uniquely suitable to target and treat pulmonary hypertension. We believe this derisked approach of using already-approved drugs that provide well-established safety profiles from millions of patients, combined with a development path led by preeminent cardiology and pulmonary hypertension experts, puts us in a strong position to deliver breakthrough cardiopulmonary therapies designed to improve patients’ function and quality of life.</w:t>
      </w:r>
    </w:p>
    <w:p>
      <w:pPr>
        <w:spacing w:after="0" w:line="1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August 2024, we closed a private placement financing (the “August 2024 Offering”) raising gross proceeds of approximately $100.0 million and in March 2025 we closed a private placement financing (the "March 2025 Offering”) raising gross proceeds of $25.0 million. We intend to use the net proceeds from the August 2024 and March 2025 Offerings to advance our Phase 3 oral levosimendan program, by completing our ongoing Phase 3 LEVEL study and initiating a second planned global Phase 3 study, LEVEL-2. We intend to submit marketing authorization applications following completion of the two Phase 3 trials of levosimendan and, when appropriate, a single Phase 3 trial of imatinib.</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key elements of our business strategy are outlined below.</w:t>
      </w:r>
    </w:p>
    <w:p>
      <w:pPr>
        <w:spacing w:after="0" w:line="18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i w:val="1"/>
          <w:iCs w:val="1"/>
          <w:u w:val="single" w:color="auto"/>
          <w:color w:val="auto"/>
        </w:rPr>
        <w:t>Efficiently conduct clinical development to establish clinical proof of principle in new indications, refine dosage levels and dosing strategies, conduct other required clinical and nonclinical testing as FDA and other regulators may require, and continue Phase 3 testing of oral levosimendan, as our prioritized product candidate.</w:t>
      </w:r>
    </w:p>
    <w:p>
      <w:pPr>
        <w:spacing w:after="0" w:line="14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Levosimendan and imatinib have already been approved and prescribed in other indications in many countries around the world. We are conducting clinical development with the intent to establish proof of beneficial activity in cardiopulmonary diseases in which these therapeutics would be expected to have benefit for patients with diseases for which either no pharmaceutical therapies are approved at all, or in the case of pulmonary arterial hypertension, where numerous, expensive therapies generally offer a modest reduction of symptoms. Our focus is primarily on designing and executing formulation improvements, protecting these innovations with patents and other forms of exclusivity, and employing innovative clinical trial science to establish a robust foundation for subsequent development, product approval, and commercialization. We intend to submit marketing authorization applications following two Phase 3 trials of levosimendan, as our prioritized drug candidate. Our trials are designed to incorporate and reflect advanced clinical trial design science and the regulatory and advisory experience of our team. We intend to continue partnering with innovative companies, renowned biostatisticians and trialists, medical leaders, formulation and regulatory experts, and premier preclinical and clinical testing organizations to help expedite development, and continue expanding into complementary areas when opportunities arise through our development, research, and discoveries. We also intend to continue outsourcing to clinical research organizations, and seeking and acting upon the advice of preeminent scientists focused on cardiovascular and pulmonary drug development, when designing and executing our research.</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i w:val="1"/>
          <w:iCs w:val="1"/>
          <w:u w:val="single" w:color="auto"/>
          <w:color w:val="auto"/>
        </w:rPr>
        <w:t>Efficiently explore new high-potential therapeutic applications, in particular where expedited regulatory pathways are available, leveraging third-party research collaborations and our results from related areas.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Levosimendan has shown promise in multiple disease areas during its development and in the more than two decades following its approval. Our own Phase 2 study and open-label extension has demonstrated that levosimendan’s property of relaxing the venous circulation, a formerly under-appreciated mechanism of action of levosimendan, brings durable improvements in exercise capacity and quality of life, as well as other clinical assessments, in patients with PH-HFpEF. The FDA has not approved a therapy for this disease. We are committed to exploring potential clinical indications where our therapies may achieve best-in-class profile, and where we can address significant unmet medical needs.</w:t>
      </w:r>
    </w:p>
    <w:p>
      <w:pPr>
        <w:spacing w:after="0" w:line="1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these factors will support approval by the FDA of this product candidate based on positive Phase 3 data. Through our agreement with our licensor, Orion Corporation, we have access to a library of ongoing and completed trials and research projects, including certain documentation, which we believe, in combination with positive Phase 3 data we hope to generate in at least one indication, will support FDA approval of levosimendan. In order to achieve our objective of developing this medicine for new groups of patients, we have established collaborative research relationships with investigators from leading research and clinical institutions, and our strategic partners. These collaborative relationships have enabled us to explore where our product candidate may have therapeutic relevance, gain the advice and support of key opinion leaders in medicine and clinical trial science, and invest in development efforts to exploit opportunities to advance beyond current clinical care.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Continue to expand our intellectual property portfolio.</w:t>
      </w:r>
    </w:p>
    <w:p>
      <w:pPr>
        <w:spacing w:after="0" w:line="19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intellectual property, as more fully described below, and the confidentiality of all our Company information is important to our business and we take significant steps to help protect its value. Our research and development efforts, both through internal activities and through collaborative research activities with others, aim to develop new intellectual property and enable us to file patent applications that cover new uses of our existing technologies, alone or in combination with existing therapies, as well as other product candidates.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Enter into licensing or product co-development arrangements.</w:t>
      </w:r>
    </w:p>
    <w:p>
      <w:pPr>
        <w:spacing w:after="0" w:line="18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addition to our internal development efforts, an important part of our product development strategy is to work with collaborators and partners to accelerate product development, maintain our low development and business operations costs, and broaden our commercialization capabilities globally. We believe this strategy will help us develop a portfolio of high-quality product development opportunities, enhance our clinical development and commercialization capabilities, and increase our ability to generate value from our proprietary technologies.</w:t>
      </w:r>
    </w:p>
    <w:p>
      <w:pPr>
        <w:spacing w:after="0" w:line="15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We also continue to position ourselves to execute upon licensing and other partnering opportunities. To do so, we need to continue to maintain our strategic direction, manage and deploy our available cash efficiently, and strengthen our collaborative research development and partner relationships.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Pipeline and Drug Candidates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PH-HFpEF</w:t>
      </w:r>
    </w:p>
    <w:p>
      <w:pPr>
        <w:spacing w:after="0" w:line="19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Pulmonary hypertension in heart failure with preserved ejection fraction (“PH-HFpEF”) is the most common form of pulmonary hypertension in the world, according to the World Health Organization. Prevalence in the United States is currently estimated to be 1.5 million, although PH-HFpEF may be significantly underdiagnosed because diagnosis typically requires catheterization. Currently, there are no therapies approved for treatment of PH-HFpEF. Even though many therapies have been studied in this indication in the past, none have proven to be effective in treating patients with the disease.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Levosimendan</w:t>
      </w:r>
    </w:p>
    <w:p>
      <w:pPr>
        <w:spacing w:after="0" w:line="184"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Levosimendan is a novel, first-in-class K-ATP activator and calcium sensitizer developed for intravenous use in hospitalized patients with acutely decompensated heart failure. It has been granted market authorization in 60 countries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for use in this indication, although it is not available in the United States or Canada. It is estimated that over 2.2 million patients have been treated worldwide with levosimendan to date.</w:t>
      </w:r>
    </w:p>
    <w:p>
      <w:pPr>
        <w:spacing w:after="0" w:line="13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the countries where it is marketed, intravenous levosimendan is indicated for the short-term treatment of acutely decompensated heart failure in situations where conventional therapy is not sufficient, and in cases where inotropic support is considered appropriate. In acute decompensated heart failure patients, levosimendan has been shown to significantly improve patient symptoms as well as acute hemodynamic measurements such as increased cardiac output, reduced preload and reduced afterload.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therapeutic effects of levosimendan are mediated through:</w:t>
      </w:r>
    </w:p>
    <w:p>
      <w:pPr>
        <w:spacing w:after="0" w:line="182" w:lineRule="exact"/>
        <w:rPr>
          <w:sz w:val="20"/>
          <w:szCs w:val="20"/>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Opening of potassium channels in the vasculature smooth muscle, resulting in a vasodilatory effect on all vascular beds;</w:t>
      </w:r>
    </w:p>
    <w:p>
      <w:pPr>
        <w:spacing w:after="0" w:line="195" w:lineRule="exact"/>
        <w:rPr>
          <w:rFonts w:ascii="Times New Roman" w:cs="Times New Roman" w:eastAsia="Times New Roman" w:hAnsi="Times New Roman"/>
          <w:sz w:val="18"/>
          <w:szCs w:val="18"/>
          <w:color w:val="auto"/>
        </w:rPr>
      </w:pPr>
    </w:p>
    <w:p>
      <w:pPr>
        <w:ind w:left="1020" w:hanging="504"/>
        <w:spacing w:after="0" w:line="279"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cardiac contractility by calcium sensitization of troponin C, resulting in a positive inotropic effect which is not associated with substantial increases in oxygen demand; and</w:t>
      </w:r>
    </w:p>
    <w:p>
      <w:pPr>
        <w:spacing w:after="0" w:line="122"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Opening of mitochondrial potassium channels in cardiomyocytes, resulting in a cardioprotective effect.</w:t>
      </w:r>
    </w:p>
    <w:p>
      <w:pPr>
        <w:spacing w:after="0" w:line="18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Several studies have demonstrated that levosimendan protects the heart and improves tissue perfusion while minimizing tissue damage during cardiac surgery.</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Importantly, several published studies provide evidence that levosimendan may improve right ventricular dysfunction, a common comorbidity in patients with pulmonary hypertension. While none of these studies focused specifically on PH-HFpEF patients, the general hemodynamic improvements in these published studies of various types of pulmonary hypertension provide a basis for further evaluation of potential clinical benefit in PH-HFpEF.</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Phase 2 HELP Study</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Insights from published studies led us to initiate the HELP Study ("Hemodynamic Evaluation of Levosimendan in PH-HFpEF), a Phase 2, double-blind, randomized, placebo-controlled clinical study to evaluate the efficacy and safety of intravenous levosimendan (“TNX-101”) in patients with PH-HFpEF. The primary endpoint of the HELP Study was change from baseline in pulmonary capillary wedge pressure (“PCWP”) during exercise, along with various other secondary endpoints. The first patient was enrolled in the study in March 2019, and the enrollment and dosing of 44 patients was completed in March 2020.</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HELP Study design was novel in several respects. To date, no other multi-center study has evaluated levosimendan in PH-HFpEF patients. Instead, all previous levosimendan heart failure studies have enrolled patients with heart failure with reduced ejection fraction (“HFrEF”), thereby excluding HFpEF patients from the study. Also, the HELP Study utilized a unique 24-hour weekly infusion regimen of 0.075- 0.1µm/kg/min. Finally, the HELP Study employed a unique home-based intravenous infusion administration via an ambulatory infusion pump. This home-based weekly intravenous administration is unlike all other chronic dosing studies of levosimendan that have typically employed a shorter duration and less frequent infusion regimen administered in a hospital setting.</w:t>
      </w:r>
    </w:p>
    <w:p>
      <w:pPr>
        <w:spacing w:after="0" w:line="1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June 2020, we announced preliminary, top-line data from the HELP study. Hemodynamic measurements were made at rest (supine), after leg raise on a supine bicycle (a test of rapid increase in ventricular filling) and during exercise (25 watts for three minutes or until the patient tired). In the initial open-label phase, 84% of the patients responded to the degree required by the protocol in order to be randomized (including reduction of PCWP of at least 4mm Hg at exercise). In the randomized, placebo-controlled, double-blinded 6-week trial, levosimendan did not demonstrate a statistically significant reduction from baseline in PCWP during exercise, the primary endpoint. However, patients receiving levosimendan had statistically significant reductions from baseline at Week 6 in PCWP and PAP at rest or after leg raise (p&lt;0.05). Furthermore, the study demonstrated a statistically significant reduction in PCWP compared to baseline (p=&lt;0.0017) and placebo (p=&lt;0.0475) when the three patient measurements (i.e., at rest, with legs up, and during exercise) were combined.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Levosimendan also demonstrated a statistically significant improvement in the change in 6-minute walk distance (“6MWD”), a secondary end-point commonly used in many pulmonary hypertension registration trials. Clinical efficacy was confirmed by a statistically significant improvement in 6-minute walk distance of 29 meters (p=0.0329).</w:t>
      </w:r>
    </w:p>
    <w:p>
      <w:pPr>
        <w:spacing w:after="0" w:line="149"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7"/>
          <w:szCs w:val="17"/>
          <w:color w:val="auto"/>
        </w:rPr>
        <w:t>The incidence rate of adverse events or serious adverse events between the treatment and placebo groups was similar. In addition, there were no arrhythmias observed, atrial or ventricular, when comparing baseline electrocardiographic monitoring with 72-hour monitoring after five weeks of treatment.</w:t>
      </w:r>
    </w:p>
    <w:p>
      <w:pPr>
        <w:spacing w:after="0" w:line="9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Detailed results from HELP Study were presented at the Heart Failure Society of America Virtual Annual Scientific Meeting in October 2020, at the American Heart Association Scientific Sessions in November 2020, and more recent scientific congresses.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Open-Label Extension Study of Oral Levosimendan (TNX-103)</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Following completion of the randomized treatment phase of the HELP Study, patients were able to enter an open-label extension study (“OLE”) to evaluate the safety and efficacy of an oral formulation of levosimendan (“TNX-103”). Patients who agreed to participate in the OLE were safely transitioned from intravenous to oral formulation in late 2021, and the study was continued by the Company and our HELP investigators for over two years, concluding in the first half of 2023. Positive signs of efficacy were observed across all measured parameters during the OLE, which provided us with sufficient data to discuss further development of oral levosimendan with the U.S. Federal Drug Administration (the "FDA").</w:t>
      </w:r>
    </w:p>
    <w:p>
      <w:pPr>
        <w:spacing w:after="0" w:line="14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transition of patients in the OLE from intravenous to oral formulation occurred safely. Improvements in all measures of efficacy taken in the transition from intravenous to 3mg daily oral levosimendan were observed.</w:t>
      </w:r>
    </w:p>
    <w:p>
      <w:pPr>
        <w:spacing w:after="0" w:line="1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these findings from the HELP Study and the OLE represent important discoveries related to the use of levosimendan in PH-HFpEF patients. Not only is it the first study to evaluate levosimendan in PH-HFpEF patients, but to our knowledge it is also the first study conducted of any therapy in PH-HFpEF patients to show such positive improvements in hemodynamics and 6MWT. Taken together, the encouraging data to date demonstrate that levosimendan’s property of relaxing the venous circulation, a formerly under-appreciated mechanism of action of levosimendan, brings durable improvements in exercise capacity and quality of life, as well as other clinical assessments, in patients with PH-HFpEF.</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Phase 3 LEVEL Study</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October 2020, we met with the FDA for an End-of-Phase 2 Meeting to discuss the Phase 2 clinical data and further development of levosimendan in PH-HFpEF. Subsequently, a path to registration was agreed upon involving two confirmatory Phase 3 studies, as well as a plan to replace weekly intravenous levosimendan dosing with daily oral levosimendan doses in the upcoming clinical trials. In February 2022, the FDA provided a written response advising that the safety database required for filing a New Drug Application (“NDA”) only needs to meet two of the three minimum International Clinical Harmonization (“ICH”) standards for a chronic medication in treating a non-life-threatening condition: 300 patients treated for 6 months, and 100 patients treated for 12 months. Tenax plans to continue to discuss with the FDA and other global regulators this requirement and other requirements that will determine the size and timing of its completed Phase 3 program, throughout the execution of its Phase 3 program.</w:t>
      </w:r>
    </w:p>
    <w:p>
      <w:pPr>
        <w:spacing w:after="0" w:line="14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On November 13, 2023, the Company announced that the FDA had reviewed and cleared the Company’s Investigational New Drug (“IND”) application for oral levosimendan for the treatment PH-HFpEF, enabling Tenax to proceed with the first of two Phase 3 studies.</w:t>
      </w:r>
    </w:p>
    <w:p>
      <w:pPr>
        <w:spacing w:after="0" w:line="13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the fourth quarter of 2023, we initiated the LEVEL Study (LEVosimendan to Improve Exercise Limitation in PH-HFpEF Patients), a Phase 3, randomized, double-blind, placebo-controlled clinical trial to evaluate TNX-103 in patients with PH-HFpEF. The primary endpoint is change in 6MWT from baseline to Week 12. A second global Phase 3 study, LEVEL-2, is expected to initiate in 2025, with the primary endpoint being change in 6MWT from baseline to Week 26.</w:t>
      </w:r>
    </w:p>
    <w:p>
      <w:pPr>
        <w:spacing w:after="0" w:line="14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With the net proceeds from the August 2024 Offering and the March 2025 Offering, we plan to accelerate the Phase 3 program. Site activation and the enrollment of participants are ongoing in the Phase 3 LEVEL study. We also expect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right="20"/>
        <w:spacing w:after="0" w:line="310" w:lineRule="auto"/>
        <w:rPr>
          <w:sz w:val="20"/>
          <w:szCs w:val="20"/>
          <w:color w:val="auto"/>
        </w:rPr>
      </w:pPr>
      <w:r>
        <w:rPr>
          <w:rFonts w:ascii="Times New Roman" w:cs="Times New Roman" w:eastAsia="Times New Roman" w:hAnsi="Times New Roman"/>
          <w:sz w:val="17"/>
          <w:szCs w:val="17"/>
          <w:color w:val="auto"/>
        </w:rPr>
        <w:t>to initiate a second Phase 3 study, LEVEL-2, in 2025. In addition, we are planning an OLE phase following the completion of the randomized phase to treat patients under protocol on open label levosimendan, allowing for additional weeks of safety observation that will contribute to the safety data on TNX-103.</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PAH</w:t>
      </w:r>
    </w:p>
    <w:p>
      <w:pPr>
        <w:spacing w:after="0" w:line="18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Pulmonary arterial hypertension (PAH) is a type of pulmonary hypertension and a rare, progressive, and serious disease. Although several therapies are now available, none are cures for the disease and patients remain symptomatic with high morbidity and mortality. Importantly, all currently approved PAH therapies are pulmonary vasodilators, and there is no data supporting that these types of treatments halt progression or induce regression of the disease.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Imatinib</w:t>
      </w:r>
    </w:p>
    <w:p>
      <w:pPr>
        <w:spacing w:after="0" w:line="19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Imatinib (marketed in the United States as Gleevec®) is a tyrosine kinase inhibitor. It is the first curative treatment for chronic myeloid leukemia (“CML”) and has significantly impacted patients since receiving FDA approval in 2001.</w:t>
      </w:r>
    </w:p>
    <w:p>
      <w:pPr>
        <w:spacing w:after="0" w:line="1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Separately, imatinib has been shown in animal models of pulmonary hypertension to induce disease reversal by affecting platelet derived growth factor, which may be causal in the disease. Several case reports and small case series of patients with advanced PAH failing combination pulmonary vasodilator therapy that were treated with imatinib were subsequently published, showing dramatic effects on disease stabilization and improvements in symptom and function.</w:t>
      </w:r>
    </w:p>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results led Novartis to develop imatinib as a treatment of PAH. Novartis sponsored a Phase 2 proof-of-concept trial to evaluate the safety, tolerability, and efficacy of imatinib as an adjunct to PAH-specific therapy in patients with PAH. Novartis then sponsored a Phase 3 trial (IMPRES) which met its primary endpoint of significant increase in 6MWT (32 meters, p=0.002), an effect maintained in an extension study in patients remaining on imatinib. However, the data were confounded by a high rate of dropouts in the patients randomized to imatinib, attributed largely to gastric intolerance during the first eight weeks in the study. Consequently, Novartis chose to withdraw the IND application.</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May 30, 2019, PHPrecisionMed Inc. (“PHPM”) met with the FDA to discuss a proposal for a Phase 3 trial of imatinib in PAH using change in 6MWT as the primary endpoint. PHPM received agreement for submission under the 505(b)(2) regulatory pathway, and thereafter received orphan designation. In July 2020, PHPM received agreement from the FDA for the development of a modified release formulation that would require only a small comparative pharmacokinetic and bioavailability study.</w:t>
      </w:r>
    </w:p>
    <w:p>
      <w:pPr>
        <w:spacing w:after="0" w:line="14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In January 2021, Tenax acquired PHPM and renamed the modified release formulation of imatinib TNX-201. Given our prioritization of the LEVEL trials, we have suspended plans to launch an imatinib Phase 3 trial.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rely on a combination of patent applications, patents, trade secrets, proprietary know-how, trademarks, and contractual provisions to protect our proprietary rights. We believe that to have a competitive advantage, we must develop and maintain the proprietary aspects of our technologies. Currently, we require our officers, employees, consultants, contractors, manufacturers, outside scientific collaborators and sponsored researchers, and other advisors to execute confidentiality agreements in connection with their employment, consulting, or advisory relationships with us, where appropriate. We also require employees, consultants, and advisors whom we expect to work on our products to agree to disclose and assign to us all inventions conceived during the workday, developed using our property, or which relate to our business.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of this filing, the Company has been granted four patents, all related to product candidates and proprietary process, method and technology.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issued levosimendan patents expire in 2039 and late 2040.</w:t>
      </w:r>
    </w:p>
    <w:p>
      <w:pPr>
        <w:spacing w:after="0" w:line="1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January 4, 2022, we received a patent for the subcutaneous administration of levosimendan (TNX-102), whether through the prototype formulation we have developed in collaboration with a formulation development partner, or other subcutaneous formulations meeting certain broad characteristics defined in the patent. This patent expires in 2039. On March 21, 2023, we were granted a patent for the use of IV levosimendan in the treatment of PH-HFpEF patients. This patent expires in 2040. On July 19, 2023, the Company announced the USPTO issuance of another</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patent, this one including claims covering the use of oral levosimendan in patients with PH-HFpEF. This issued patent provides exclusivity through December 2040. On February 6, 2024, the Company announced the fourth levosimendan USPTO patent broadening IP protection for oral, I.V., and subcutaneous use of levosimendan and its active metabolites in PH-HFpEF, at all therapeutic doses and in combination with various cardiovascular drugs. The Company also has multiple patent applications pending in Europe and other countries the for the treatment of PH-HFpEF, for oral and combination products.</w:t>
      </w:r>
    </w:p>
    <w:p>
      <w:pPr>
        <w:spacing w:after="0" w:line="158"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The U.S. trademark registration for Simdax® is owned by Orion Corporation ("Orion") and is licensed to us for sales and marketing purposes for any intravenous pharmaceutical products containing levosimendan that are commercialized in the United States and Canada.</w:t>
      </w:r>
    </w:p>
    <w:p>
      <w:pPr>
        <w:spacing w:after="0" w:line="1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success will in part depend on the ability to obtain and maintain patent and other proprietary rights in commercially important technology, inventions and know-how related to our business, the validity and enforceability of our patents, the continued confidentiality of our trade secrets and our ability to operate without infringing the valid and enforceable patents and proprietary rights of third parties. We also rely on continuing technological innovation and in-licensing opportunities to develop and maintain our proprietary position.</w:t>
      </w:r>
    </w:p>
    <w:p>
      <w:pPr>
        <w:spacing w:after="0" w:line="1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cannot be sure that patents will be granted with respect to any of our pending patent applications or with respect to any patent applications we may own or license in the future, nor can we be sure that any of our existing patents or any patents we may own or license in the future will be useful in protecting our technology and products. Comprehensive risks related to our intellectual property are described under the heading “Risk Factors - Risks Related to Our Intellectual Property” included elsewhere in this Annual Report on Form 10-K.</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Simdax License Agreement</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November 13, 2013, we acquired, through our wholly-owned subsidiary Life NewCo, Inc., a license agreement between Phyxius and Orion, which was later amended on October 9, 2020, January 25, 2022, and February 19, 2024 (as amended, the “License”). The License grants us an exclusive, sublicensable right to develop and commercialize pharmaceutical products containing levosimendan worldwide (the “Territory”) and, pursuant to the October 9, 2020 and January 25, 2022 amendments to the License, also includes two product dose forms containing levosimendan, in capsule and solid dosage form, and a subcutaneously administered product containing levosimendan, subject to specified limitations (together, the “Product”). Pursuant to the License, Tenax and Orion will agree to a new trademark when commercializing the Product in either of these forms.</w:t>
      </w:r>
    </w:p>
    <w:p>
      <w:pPr>
        <w:spacing w:after="0" w:line="1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Pursuant to the License, we have a right of first refusal to commercialize new developments of the Product, including developments as to the formulation, presentation, means of delivery, route of administration, dosage or indication but pursuant to the February 2024 amendment, excluding new applications of levosimendan developed by Orion for neurological diseases and disorders.</w:t>
      </w:r>
    </w:p>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Orion’s ongoing role under the License includes sublicense approval, serving as the sole source of manufacture of oral formulations of levosimendan, holding a first right to enforce Orion's intellectual property rights outside the United States and Canada, and certain regulatory participation rights. Orion can notify the Company if it chooses not to exercise its right to supply oral formulations of levosimendan to the Company for commercialization in the Territory. Additionally, the Company must grant back to Orion a broad non-exclusive license to any patents or clinical trial data related to levosimendan developed by the Company under the License.</w:t>
      </w:r>
    </w:p>
    <w:p>
      <w:pPr>
        <w:spacing w:after="0" w:line="1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consideration for the License, we agreed to pay Orion (i) a one-time up-front payment in the amount of $1.0 million, (ii) development milestones consisting of (a) $10.0 million upon the grant of FDA approval of a levosimendan-based product and (b) $1.0 million upon the grant of regulatory approval for the Product in Canada, (c) $5.0 million due upon the grant of regulatory approval for a levosimendan-based product in Japan, (iii) non-refundable commercialization milestones aggregating to up to $45.0 million, upon achievement of certain cumulative worldwide sales of the Product by the Company, and (iv) tiered royalties based on worldwide net sales of the Product. After the end of the License term, the Company must pay Orion a royalty based on net sales of the Product in the Territory for as long as the Company sells the Product in the Territory.</w:t>
      </w:r>
    </w:p>
    <w:p>
      <w:pPr>
        <w:spacing w:after="0" w:line="143"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The term of the License extends until 10 years after the launch of the Product in the Territory, provided that the License will continue after the end of the term in each country in the Territory until the expiration of Orion’s patent rights in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Product in such country. In the event that no regulatory approval for the Product has been granted in the United States on or before September 20, 2030, however, either party will have the right to terminate the License with immediate effect.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Supply</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contract with third parties for the manufacturing of all of our product candidates and for pre-clinical and clinical studies and intend to continue to do so in the future. We do not own or operate any manufacturing facilities and we have no plans to build any owned clinical or commercial scale manufacturing capabilities. We believe that the use of third-party manufacturers and contract drug manufacturing organizations (“CMOs”) eliminates the need to directly invest in manufacturing facilities, equipment and additional employees.</w:t>
      </w:r>
    </w:p>
    <w:p>
      <w:pPr>
        <w:spacing w:after="0" w:line="14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Pursuant to the terms of the License, Orion is contractually our sole manufacturing source for TNX-103. We may engage other third-party suppliers and CMOs for the supply and manufacture of TNX-102, or other formulations we may develop.</w:t>
      </w:r>
    </w:p>
    <w:p>
      <w:pPr>
        <w:spacing w:after="0" w:line="13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We have engaged various third-party suppliers and CMOs for the supply and manufacture of imatinib for potential future clinical trials and relied on such contractors for material contributing to TNX-201, for testing in our two completed Phase 1 trials.</w:t>
      </w:r>
    </w:p>
    <w:p>
      <w:pPr>
        <w:spacing w:after="0" w:line="1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we further develop our product pipeline, we expect to consider secondary or back-up manufacturers for both active pharmaceutical ingredient and drug product manufacturing. To date, our third-party manufacturers have met the manufacturing requirements for our product candidates. We expect third-party manufacturers to be capable of providing sufficient quantities of our product candidates to meet anticipated full-scale commercial demands, but we have not assessed these capabilities beyond the supply of clinical materials to date.</w:t>
      </w:r>
    </w:p>
    <w:p>
      <w:pPr>
        <w:spacing w:after="0" w:line="1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believe alternate sources of manufacturing will be available to satisfy our clinical and future commercial requirements however, we cannot guarantee that identifying and establishing alternative relationships with such sources will be successful, cost effective, or completed on a timely basis without significant delay in the development or commercialization of our product candidates. All of the vendors we use are required to conduct their operations under current Good Manufacturing Practices, a regulatory standard for the manufacture of pharmaceuticals.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pharmaceutical and biotechnology industries are intensely competitive. Many companies, including biotechnology, chemical, and pharmaceutical companies, are actively engaged in activities similar to ours, including research and development of drugs for the treatment of cardiovascular, pulmonary, and related medical conditions, both rare and common. Many of these companies have substantially greater financial and other resources, larger research and development staff and more extensive marketing and manufacturing organizations than we do. In addition, some of them have considerable experience in preclinical testing, clinical trials and other regulatory approval procedures. There are also academic institutions, governmental agencies and other research organizations that are conducting research in areas in which we are working. Our success will be based in part on our ability to identify, develop and manage a portfolio of product candidates that are safer and more effective than any competing products.</w:t>
      </w:r>
    </w:p>
    <w:p>
      <w:pPr>
        <w:spacing w:after="0" w:line="14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believe the concept of using TNX-101/102/103 (levosimendan) to treat patients with PH-HFpEF is novel, and the patent granted for this use in March 2023 demonstrates the USPTO’s concurrence. Because no therapies are approved to treat PH-HFpEF, we believe our ability to succeed in the market is primarily dependent on our ability to change the established practice paradigm, which could be difficult. Key factors on which we will compete with regards to the development and marketing of levosimendan for the treatment of pulmonary hypertension in these patients include, among others, the ability to obtain adequate efficacy data, safety data, cost effectiveness data and hospital formulary approval, marketing exclusivity, as well as sufficient distribution and handling. Furthermore, while we believe the mechanism of action of levosimendan is novel, other low-priced, generically available products possess some similar qualities, which could present competition in the form of therapeutic substitution. Other companies, including for example Astra Zeneca, Tectonic, and Merck, are currently conducting Phase 1 and Phase 2 clinical trials of potential new therapies to great PH-HFpEF. Merck’s sotatercept is approved for PAH and is being tested in a subset of PH patients with HFpEF, with a data readout predicted in 2025. These companies may be successful in their efforts to gain market approval for a product in the same patients we aim to treat with levosimendan, whether before or after we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could do so. Some classes of medical therapy such as SGLT-2 inhibitors and GLP-1 agonists are or may be approved for use in patients with heart failure, and may or may not be developed specifically for PH-HFpEF, creating competition in the future. Some approved products to treat common conditions such as diabetes and obesity are theorized, or proven, to provide benefit in patients with heart failure, and are sometimes used in these patients, including off-label. Products approved for PAH, including endothelin receptor agonists (ERAs) and phosphodiesterase type 5 (PDE5) inhibitors, even though trials have not shown benefit and have sometimes demonstrated harm, and manufacturers of which have not sought approval in patients with PH-HFpEF by filing an NDA or BLA, are nevertheless prescribed off-label by some physician who care for patients with PH associated with HFpEF, and who state in our own market research that they wish to provide something for patients with this disease.</w:t>
      </w:r>
    </w:p>
    <w:p>
      <w:pPr>
        <w:spacing w:after="0" w:line="15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TNX-201 (imatinib) has the potential to be the first disease-modifying treatment of PAH, a fatal orphan disease. Pulmonary vasodilators, the only approved medications for PAH, do not have disease modifying properties. We do not expect these products, other than one which is not widely used today, to be contraindicated in patients taking TNX-201, and our intended protocol design tests TNX-201 as an additional therapy to one or more of these vasodilators.</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order to compete successfully, we must develop proprietary positions in patented drugs for therapeutic markets that have not been satisfactorily addressed by conventional research strategies. Our product candidates, even if successfully tested and developed, may not be adopted by physicians over other products and may not offer economically feasible alternatives to other therapies.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manufacture and distribution of levosimendan will require the approval of U.S. government authorities as well as those of foreign countries. In the United States, the FDA regulates medical products. The Federal Food, Drug and Cosmetic Act and the Public Health Service Act govern the testing, manufacture, safety, effectiveness, labeling, storage, record keeping, approval, advertising and promotion of our medical products. In addition to FDA regulations, we are also subject to other federal and state regulations, such as the Occupational Safety and Health Act and the Environmental Protection Act. Product development and approval within this regulatory framework requires a number of years and involves the expenditure of substantial funds.</w:t>
      </w:r>
    </w:p>
    <w:p>
      <w:pPr>
        <w:spacing w:after="0" w:line="14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Preclinical tests include evaluation of product chemistry and studies to assess the safety and effectiveness of the product and its formulation. The results of the preclinical tests are submitted to the FDA as part of the application. The goal of clinical testing is the demonstration in adequate and well-controlled studies of substantial evidence of the safety and effectiveness of the product in the setting of its intended use. The results of preclinical and clinical testing are submitted to the FDA from time to time throughout the trial process. In addition, before approval for the commercial sale of a product can be obtained, results of the preclinical and clinical studies must be submitted to the FDA. The testing and approval process requires substantial time and effort and there can be no assurance that any approval will be granted on a timely basis, if at all. The approval process is affected by a number of factors, including the severity of the condition being treated, the availability of alternative treatments and the risks and benefits demonstrated in clinical trials. Additional preclinical studies or clinical trials may be requested during the FDA review process and may delay product approval. After FDA approval for its initial indications, further clinical trials may be necessary to gain approval for the use of a product for additional indications. The FDA may also require post-marketing testing to monitor for adverse effects, which can involve significant expense.</w:t>
      </w:r>
    </w:p>
    <w:p>
      <w:pPr>
        <w:spacing w:after="0" w:line="14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effects of government regulations on our business are discussed under the heading “Risk Factors - Risks Relating to Our Industry” included elsewhere in this Annual Report on Form 10-K.</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w:t>
      </w:r>
    </w:p>
    <w:p>
      <w:pPr>
        <w:spacing w:after="0" w:line="18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We have assembled a high-quality team of clinical development managers and executives with significant experience in the biotechnology and pharmaceutical industries.</w:t>
      </w:r>
    </w:p>
    <w:p>
      <w:pPr>
        <w:spacing w:after="0" w:line="12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As of December 31, 2024, we had four full-time employees and two part-time employees. As of the date of this Annual Report on Form 10-K, we had five full-time employees and two part-time employees. In addition to our employees, we also rely on the service and support of outside consultants and advisors. None of our employees is represented by a union, and we believe relationships with our employees are good.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i w:val="1"/>
          <w:iCs w:val="1"/>
          <w:color w:val="auto"/>
        </w:rPr>
        <w:t>www.tenaxthera.com</w:t>
      </w:r>
      <w:r>
        <w:rPr>
          <w:rFonts w:ascii="Times New Roman" w:cs="Times New Roman" w:eastAsia="Times New Roman" w:hAnsi="Times New Roman"/>
          <w:sz w:val="18"/>
          <w:szCs w:val="18"/>
          <w:color w:val="auto"/>
        </w:rPr>
        <w:t xml:space="preserve">, and our investor relations website is located at </w:t>
      </w:r>
      <w:r>
        <w:rPr>
          <w:rFonts w:ascii="Times New Roman" w:cs="Times New Roman" w:eastAsia="Times New Roman" w:hAnsi="Times New Roman"/>
          <w:sz w:val="18"/>
          <w:szCs w:val="18"/>
          <w:i w:val="1"/>
          <w:iCs w:val="1"/>
          <w:color w:val="auto"/>
        </w:rPr>
        <w:t>http://investors.tenaxthera.com</w:t>
      </w:r>
      <w:r>
        <w:rPr>
          <w:rFonts w:ascii="Times New Roman" w:cs="Times New Roman" w:eastAsia="Times New Roman" w:hAnsi="Times New Roman"/>
          <w:sz w:val="18"/>
          <w:szCs w:val="18"/>
          <w:color w:val="auto"/>
        </w:rPr>
        <w:t xml:space="preserve">. Information on our website is not incorporated by reference herein. Copies of our annual reports on Form 10-K, quarterly reports on Form 10-Q, current reports on Form 8-K and our proxy statements for our meetings of stockholders, and any amendments to those reports, as well as Section 13 and 16 reports filed by our insiders, are available free of charge on our website as soon as reasonably practicable after we file the reports with, or furnish the reports to, the SEC. Our SEC filings are also publicly available on the SEC’s website located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which contains reports, proxy and information statements, and other information regarding issuers that file electronically with the SEC.</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1A—RISK FACTORS</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Our business, financial condition and operating results may be affected by a number of factors, including but not limited to those described below. Any one or more of such factors could directly or indirectly cause our actual results of operations and financial condition to vary materially from our past or anticipated future results of operations and financial condition. Any of these factors, in whole or in part, could materially and adversely affect our business, financial condition, results of operations and stock price. The following information should be read in conjunction with Part II, Item 7, “Management’s Discussion and Analysis of Financial Condition and Results of Operations” and the accompanying financial statements and related notes in Part II, Item 8, “Financial Statements and Supplementary Data” of this Annual Report on Form 10-K.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Our Operations</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are limited in the number of products we can simultaneously pursue and therefore our survival depends on our success with a small number of product opportunities.</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present we are focusing our resources on developing levosimendan for the treatment of PH-HFpEF, while imatinib for the treatment of PAH remains part of our portfolio. We intend to commit most of our resources to advancing levosimendan to the point it receives regulatory approval for the treatment of pulmonary hypertension in patients with HFpEF. Depending on whether we raise additional funds in the future, as well as on decisions made by the USPTO, clinical trial results and other information revealed by competitors, and other factors, we will prioritize our funding and other resources. If as a consequence of the results of our planned Phase 3 trials for levosimendan, or the results of prior clinical trials performed using levosimendan or imatinib, we are unable to receive regulatory approval of one or both of our existing product candidates, then we may not have resources to pursue development of any other products and our business could terminate.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currently have no approved drug products for sale, and we cannot guarantee that we will ever have marketable drug products.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currently have no approved drug products for sale and our business depends on the successful development and commercialization of our product candidates. The research, testing, manufacturing, labeling, approval, selling, marketing, and distribution of drug products are extensively regulated by the FDA and other regulatory authorities in the United States and other countries, with regulations differing from country to country. We are not permitted to market our product candidates in the United States until we receive approval of a New Drug Application (“NDA”) from the FDA for each product candidate. We have not submitted an NDA or received marketing approval for any of our product candidates. In addition, markets outside of the United States also have requirements for approval of drug candidates which we must comply with prior to marketing. Accordingly, we cannot guarantee that we will ever have marketable drug products.</w:t>
      </w:r>
    </w:p>
    <w:p>
      <w:pPr>
        <w:spacing w:after="0" w:line="1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process of developing new drugs and/or therapeutic products is inherently complex, unpredictable, time-consuming, expensive and uncertain. We must make long-term investments and commit significant resources before knowing whether our development programs will result in products that will receive regulatory approval and achieve market acceptance. Product candidates that appear to be promising at some or all stages of development may not receive approval or reach the market for a number of reasons that may not be predictable based on results and data of the clinical program. Product candidates may be found ineffective or may cause harmful side effects during clinical trials, may take longer to progress through clinical trials than had been anticipated, may not be able to achieve the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pre-defined clinical endpoints due to statistical anomalies even though clinical benefit may have been achieved, may fail to receive necessary regulatory approvals, may prove impracticable to manufacture in commercial quantities at reasonable cost and with acceptable quality, or may fail to achieve market acceptance. Even if we believe the preclinical or clinical data for our product candidates are favorable, such data may not be sufficient to support approval by the FDA and other regulatory authorities. Additionally, the FDA may require us to conduct additional preclinical studies or clinical trials for our product candidates either prior to or post-approval, or it may object to elements of our clinical development program.</w:t>
      </w:r>
    </w:p>
    <w:p>
      <w:pPr>
        <w:spacing w:after="0" w:line="15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conduct additional clinical trials, including the LEVEL and LEVEL-2 trials for oral levosimendan, which are expensive and time consuming, and the outcome of the clinical trials is uncertain.</w:t>
      </w:r>
    </w:p>
    <w:p>
      <w:pPr>
        <w:spacing w:after="0" w:line="11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expect to commit a substantial portion of our financial and business resources in the short-term to completing the LEVEL and LEVEL-2 trials and advancing this product through to regulatory approval for use in PH-HFpEF, and potentially other indications. We may in the future commit resources to clinical trials for our other product candidates, including imatinib. All of these clinical trials and product testing efforts will be expensive and time consuming and the timing of the regulatory review process is uncertain. The applicable regulatory agencies may suspend clinical trials at any time if they believe that the subjects participating in such trials are being exposed to unacceptable health risks. We cannot assure you that we will be able to complete our clinical trials successfully or obtain FDA or other governmental or regulatory approval of our product candidates, or that such approval, if obtained, will not include limitations on the indicated uses for which our product candidates may be marketed. Our business, financial condition and results of operations are critically dependent on obtaining capital to advance our testing program and receiving FDA and other governmental and regulatory approvals of our products. A significant delay in or failure of our planned clinical trials or a failure to achieve these approvals would have a material adverse effect on us and could result in major business and financial setbacks.</w:t>
      </w:r>
    </w:p>
    <w:p>
      <w:pPr>
        <w:spacing w:after="0" w:line="14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Delays in the enrollment and completion of clinical testing could result in increased costs to us and delay or limit our ability to obtain regulatory approval for our product candidates.</w:t>
      </w:r>
    </w:p>
    <w:p>
      <w:pPr>
        <w:spacing w:after="0" w:line="1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Delays in the commencement, enrollment and completion of clinical testing could significantly affect our ability to gain FDA approval of current product candidates, and to gain this approval in the timeline planned, and could significantly increase our future product development costs. The completion of clinical trials requires us to identify and maintain a sufficient number of trial sites, many of which might already be engaged in other clinical trial programs for the same indication as our product candidates, might be required to withdraw from our clinical trial as a result of changing standards of care, might suffer from staff shortages at the institutional or clinic level that impact their ability to enroll and treat patients under our protocols, or might become ineligible to participate in clinical studies. The enrollment and completion of clinical trials can be delayed for a variety of other reasons, including delays related to:</w:t>
      </w:r>
    </w:p>
    <w:p>
      <w:pPr>
        <w:spacing w:after="0" w:line="144" w:lineRule="exact"/>
        <w:rPr>
          <w:sz w:val="20"/>
          <w:szCs w:val="20"/>
          <w:color w:val="auto"/>
        </w:rPr>
      </w:pPr>
    </w:p>
    <w:p>
      <w:pPr>
        <w:ind w:left="760" w:right="20" w:hanging="378"/>
        <w:spacing w:after="0" w:line="259"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agreements on acceptable terms with prospective trial sites, the terms of which can be subject to extensive negotiation and may vary significantly among trial sites;</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institutional review board (“IRB”) approval to conduct a clinical trial at numerous prospective sites;</w:t>
      </w:r>
    </w:p>
    <w:p>
      <w:pPr>
        <w:spacing w:after="0" w:line="7" w:lineRule="exact"/>
        <w:rPr>
          <w:rFonts w:ascii="Times New Roman" w:cs="Times New Roman" w:eastAsia="Times New Roman" w:hAnsi="Times New Roman"/>
          <w:sz w:val="18"/>
          <w:szCs w:val="18"/>
          <w:color w:val="auto"/>
        </w:rPr>
      </w:pPr>
    </w:p>
    <w:p>
      <w:pPr>
        <w:ind w:left="760" w:hanging="378"/>
        <w:spacing w:after="0" w:line="248"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and enrolling patients to participate in clinical trials for a variety of reasons, including meeting the enrollment criteria for our study and competition from other clinical trial programs for the same indication as our product candidates;</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supplying clinical trial material on a timely basis;</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collecting, analyzing and reporting final data from the clinical trials;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a clinical trial may be suspended or terminated by us, the FDA or other regulatory authorities due to a number of factors, including:</w:t>
      </w:r>
    </w:p>
    <w:p>
      <w:pPr>
        <w:spacing w:after="0" w:line="196" w:lineRule="exact"/>
        <w:rPr>
          <w:sz w:val="20"/>
          <w:szCs w:val="20"/>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conduct the clinical trial in accordance with regulatory requirements or our clinical protocols;</w:t>
      </w:r>
    </w:p>
    <w:p>
      <w:pPr>
        <w:spacing w:after="0" w:line="2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inspection of the clinical trial operations or trial sites by the FDA or other regulatory authorities resulting in the imposition of a clinical hold;</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 or any determination that a trial presents unacceptable health risks; and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760" w:hanging="378"/>
        <w:spacing w:after="0" w:line="279"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 including unforeseen costs due to enrollment delays, requirements to conduct additional trials and studies, and increased expenses associated with the services of our CROs and other third parties.</w:t>
      </w:r>
    </w:p>
    <w:p>
      <w:pPr>
        <w:spacing w:after="0" w:line="1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Changes in regulatory requirements and guidance may occur and we may need to amend clinical trial protocols to reflect these changes with appropriate regulatory authorities. Amendments may require us to resubmit our clinical trial protocols to IRBs for re-examination, which may impact the costs, design, timing or successful completion of a clinical trial. If we experience delays in the completion of, or if we terminate, our clinical trials, the commercial prospects for our product candidates will be harmed, and our ability to generate product revenues will be delayed. In addition, many of the factors that cause, or lead to, a delay in the commencement or completion of clinical trials may also ultimately lead to the denial of regulatory approval of a product candidate. Even if we are ultimately able to commercialize our product candidates, other therapies for the same or similar indications may have been introduced to the market and established a competitive advantage.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may not accept our products.</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If any of our product candidates receive marketing approval, they may nonetheless fail to gain sufficient market acceptance by physicians, patients, third-party payors and others in the medical community. If our product candidates do not achieve an adequate level of acceptance, we may not generate significant revenue and we may not become profitable. The degree of market acceptance of our product candidates, if approved for commercial sale, will depend on a number of factors, including:</w:t>
      </w:r>
    </w:p>
    <w:p>
      <w:pPr>
        <w:spacing w:after="0" w:line="140" w:lineRule="exact"/>
        <w:rPr>
          <w:sz w:val="20"/>
          <w:szCs w:val="20"/>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safety and potential advantages of our product candidates;</w:t>
      </w:r>
    </w:p>
    <w:p>
      <w:pPr>
        <w:spacing w:after="0" w:line="2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products for sale at competitive prices;</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 compared to alternative treatments, if any;</w:t>
      </w:r>
    </w:p>
    <w:p>
      <w:pPr>
        <w:spacing w:after="0" w:line="7" w:lineRule="exact"/>
        <w:rPr>
          <w:rFonts w:ascii="Times New Roman" w:cs="Times New Roman" w:eastAsia="Times New Roman" w:hAnsi="Times New Roman"/>
          <w:sz w:val="18"/>
          <w:szCs w:val="18"/>
          <w:color w:val="auto"/>
        </w:rPr>
      </w:pPr>
    </w:p>
    <w:p>
      <w:pPr>
        <w:ind w:left="760" w:hanging="378"/>
        <w:spacing w:after="0" w:line="248"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or foreign regulatory authorities, including any limitations or warnings contained in a product’s approved labeling, including any black box warning;</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treatments and of physicians to prescribe these treatments;</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a sales force in the United States or elsewhere;</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manufacturing, marketing and distribution support;</w:t>
      </w:r>
    </w:p>
    <w:p>
      <w:pPr>
        <w:spacing w:after="0" w:line="7" w:lineRule="exact"/>
        <w:rPr>
          <w:rFonts w:ascii="Times New Roman" w:cs="Times New Roman" w:eastAsia="Times New Roman" w:hAnsi="Times New Roman"/>
          <w:sz w:val="18"/>
          <w:szCs w:val="18"/>
          <w:color w:val="auto"/>
        </w:rPr>
      </w:pPr>
    </w:p>
    <w:p>
      <w:pPr>
        <w:ind w:left="760" w:right="20" w:hanging="378"/>
        <w:spacing w:after="0" w:line="248"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coverage and adequate reimbursement for of levosimendan, imatinib and any other product candidates, once approved;</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and</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together with other medications.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Nonfinal results from our clinical trials announced or published from time to time on an interim, preliminary, or “top-line” basis, and conclusions that may be drawn from such results, may change as more patient data become available, and these results are subject to audit and verification procedures that could result in material changes in the final data.</w:t>
      </w:r>
    </w:p>
    <w:p>
      <w:pPr>
        <w:spacing w:after="0" w:line="1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we may publish or reference interim, top-line, or preliminary results from our clinical trials, including of blinded or unblinded data. Interim or top-line results from clinical trials that we may complete are subject to the risk that one or more of the clinical outcome measurements may materially change as patient enrollment and treatment extends and more patient experience is observed.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and complete data are available. Differences between preliminary or interim data and final data could significantly harm our business prospects and may cause the trading price of our common stock to fluctuate significantly.</w:t>
      </w:r>
    </w:p>
    <w:p>
      <w:pPr>
        <w:spacing w:after="0" w:line="13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Any collaboration we enter with third parties to develop and commercialize any future product candidates may place the development of our product candidates outside our control, may require us to relinquish important rights or may otherwise be on terms unfavorable to us.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We may enter into collaborations with third parties to develop and commercialize future product candidates. Our dependence on future partners for development and commercialization of our product candidates would subject us to a number of risks, including the following:</w:t>
      </w:r>
    </w:p>
    <w:p>
      <w:pPr>
        <w:spacing w:after="0" w:line="136" w:lineRule="exact"/>
        <w:rPr>
          <w:sz w:val="20"/>
          <w:szCs w:val="20"/>
          <w:color w:val="auto"/>
        </w:rPr>
      </w:pPr>
    </w:p>
    <w:p>
      <w:pPr>
        <w:ind w:left="760" w:hanging="378"/>
        <w:spacing w:after="0" w:line="259"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control the amount and timing of resources that our partners may devote to the development or commercialization of our product candidates or to their marketing and distribution;</w:t>
      </w:r>
    </w:p>
    <w:p>
      <w:pPr>
        <w:spacing w:after="0" w:line="1" w:lineRule="exact"/>
        <w:rPr>
          <w:rFonts w:ascii="Times New Roman" w:cs="Times New Roman" w:eastAsia="Times New Roman" w:hAnsi="Times New Roman"/>
          <w:sz w:val="18"/>
          <w:szCs w:val="18"/>
          <w:color w:val="auto"/>
        </w:rPr>
      </w:pPr>
    </w:p>
    <w:p>
      <w:pPr>
        <w:ind w:left="760" w:hanging="378"/>
        <w:spacing w:after="0" w:line="248"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 w:lineRule="exact"/>
        <w:rPr>
          <w:rFonts w:ascii="Times New Roman" w:cs="Times New Roman" w:eastAsia="Times New Roman" w:hAnsi="Times New Roman"/>
          <w:sz w:val="18"/>
          <w:szCs w:val="18"/>
          <w:color w:val="auto"/>
        </w:rPr>
      </w:pPr>
    </w:p>
    <w:p>
      <w:pPr>
        <w:ind w:left="760" w:hanging="378"/>
        <w:spacing w:after="0" w:line="248"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our partners that result in the delay or termination of the research, development or commercialization of our product candidates or that result in costly litigation or arbitration that diverts management’s attention and resources;</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 may experience financial difficulties;</w:t>
      </w:r>
    </w:p>
    <w:p>
      <w:pPr>
        <w:spacing w:after="0" w:line="7" w:lineRule="exact"/>
        <w:rPr>
          <w:rFonts w:ascii="Times New Roman" w:cs="Times New Roman" w:eastAsia="Times New Roman" w:hAnsi="Times New Roman"/>
          <w:sz w:val="18"/>
          <w:szCs w:val="18"/>
          <w:color w:val="auto"/>
        </w:rPr>
      </w:pPr>
    </w:p>
    <w:p>
      <w:pPr>
        <w:ind w:left="760" w:right="20" w:hanging="378"/>
        <w:spacing w:after="0" w:line="248"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 may not properly maintain or defend our intellectual property rights, or may use our proprietary information, in such a way as to invite litigation that could jeopardize or invalidate our intellectual property rights or proprietary information or expose us to potential litigation;</w:t>
      </w:r>
    </w:p>
    <w:p>
      <w:pPr>
        <w:spacing w:after="0" w:line="1" w:lineRule="exact"/>
        <w:rPr>
          <w:rFonts w:ascii="Times New Roman" w:cs="Times New Roman" w:eastAsia="Times New Roman" w:hAnsi="Times New Roman"/>
          <w:sz w:val="18"/>
          <w:szCs w:val="18"/>
          <w:color w:val="auto"/>
        </w:rPr>
      </w:pPr>
    </w:p>
    <w:p>
      <w:pPr>
        <w:ind w:left="760" w:right="20" w:hanging="378"/>
        <w:spacing w:after="0" w:line="248"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 or significant changes in a partner’s business strategy may adversely affect a partner’s willingness or ability to meet its obligations under any arrangement;</w:t>
      </w:r>
    </w:p>
    <w:p>
      <w:pPr>
        <w:spacing w:after="0" w:line="1" w:lineRule="exact"/>
        <w:rPr>
          <w:rFonts w:ascii="Times New Roman" w:cs="Times New Roman" w:eastAsia="Times New Roman" w:hAnsi="Times New Roman"/>
          <w:sz w:val="18"/>
          <w:szCs w:val="18"/>
          <w:color w:val="auto"/>
        </w:rPr>
      </w:pPr>
    </w:p>
    <w:p>
      <w:pPr>
        <w:ind w:left="760" w:hanging="378"/>
        <w:spacing w:after="0" w:line="248"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 could independently move forward with a competing product candidate developed either independently or in collaboration with others, including our competitors; and</w:t>
      </w:r>
    </w:p>
    <w:p>
      <w:pPr>
        <w:spacing w:after="0" w:line="1" w:lineRule="exact"/>
        <w:rPr>
          <w:rFonts w:ascii="Times New Roman" w:cs="Times New Roman" w:eastAsia="Times New Roman" w:hAnsi="Times New Roman"/>
          <w:sz w:val="18"/>
          <w:szCs w:val="18"/>
          <w:color w:val="auto"/>
        </w:rPr>
      </w:pPr>
    </w:p>
    <w:p>
      <w:pPr>
        <w:ind w:left="760" w:hanging="378"/>
        <w:spacing w:after="0" w:line="257"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collaborations with our partners may be terminated or allowed to expire, which would delay the development and may increase the cost of developing our product candidates.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funding to further develop our product candidates, including to complete the open label extension stage of our ongoing Phase 3 LEVEL trial and to complete a second planned global Phase 3 study, Level-2, as well as to initiate or complete an imatinib Phase 3 trial. Failure to obtain this necessary capital when needed on acceptable terms, or at all, or execute on an alternative strategic path, could force us to delay, limit, reduce or terminate our clinical trials, product development efforts and business operations.</w:t>
      </w:r>
    </w:p>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Developing biopharmaceutical products, including conducting preclinical studies and clinical trials and establishing manufacturing and sales and marketing capabilities, is expensive. We expect our research and development expenses to continue to increase in connection with our ongoing activities, including the completion of the LEVEL and LEVEL-2 trials. In addition, our expenses could increase beyond expectations if applicable regulatory authorities, including the FDA, require that we perform studies additional to those we currently anticipate, in which case the timing of any potential product approval may be delayed.</w:t>
      </w:r>
    </w:p>
    <w:p>
      <w:pPr>
        <w:spacing w:after="0" w:line="15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As of December 31, 2024, we had $94.9 million of cash and cash equivalents on hand and subsequent to year end, on March 5, 2025 we raised an additional $25.0 million of gross proceeds from an offering of common stock and pre-funded warrants. We will need substantial additional capital in order to develop our product candidates, including to complete the LEVEL and LEVEL-2 trials, to complete the regulatory approval process and commercialization of levosimendan, and, potentially, imatinib, or any future product candidates. We continue to evaluate pursuing additional public or private equity offerings, debt financings or corporate collaboration and licensing arrangements. Such funding may not be available on favorable terms, if at all.</w:t>
      </w:r>
    </w:p>
    <w:p>
      <w:pPr>
        <w:spacing w:after="0" w:line="12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extent that we raise additional funds by issuing equity securities, our stockholders may experience additional significant dilution; debt financing, if available, may involve restrictive covenants. To the extent that we raise additional funds through collaboration and licensing arrangements, it may be necessary to relinquish some rights to our technologies or our product candidates or to grant licenses on terms that may not be favorable to us. We may seek to access the public or private capital markets whenever conditions are favorable, even if we do not have an immediate need for additional capital at that time.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funding requirements will depend on many factors, including, but not limited to:</w:t>
      </w:r>
    </w:p>
    <w:p>
      <w:pPr>
        <w:spacing w:after="0" w:line="196" w:lineRule="exact"/>
        <w:rPr>
          <w:sz w:val="20"/>
          <w:szCs w:val="20"/>
          <w:color w:val="auto"/>
        </w:rPr>
      </w:pPr>
    </w:p>
    <w:p>
      <w:pPr>
        <w:ind w:left="5540" w:right="3120" w:hanging="5158"/>
        <w:spacing w:after="0" w:line="777" w:lineRule="auto"/>
        <w:tabs>
          <w:tab w:leader="none" w:pos="76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and cost of our clinical trials and other research and development activities;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170815</wp:posOffset>
            </wp:positionV>
            <wp:extent cx="71583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760" w:right="20" w:hanging="378"/>
        <w:spacing w:after="0" w:line="256"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investigator sites and patients who participate and the impact that factors such as the rate of patient recruitment, the standard deviation of treatment effect, and the number of patients who have events or withdraw from therapy, and evolving FDA and other regulator input and guidance, have on the expected timelines and the eventual required number of patients enrolled for each of our clinical programs;</w:t>
      </w: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regulatory approval;</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filing, prosecuting, defending and enforcing any patent claims and other intellectual property rights;</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collaboration, licensing or other arrangements that we may establish;</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completion of clinical and commercial-scale manufacturing activities; and</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sales, marketing and distribution capabilities for any product candidates for which we may receive regulatory approval.</w:t>
      </w:r>
    </w:p>
    <w:p>
      <w:pPr>
        <w:spacing w:after="0" w:line="164" w:lineRule="exact"/>
        <w:rPr>
          <w:sz w:val="20"/>
          <w:szCs w:val="20"/>
          <w:color w:val="auto"/>
        </w:rPr>
      </w:pPr>
    </w:p>
    <w:p>
      <w:pPr>
        <w:jc w:val="both"/>
        <w:ind w:firstLine="47"/>
        <w:spacing w:after="0" w:line="279" w:lineRule="auto"/>
        <w:rPr>
          <w:sz w:val="20"/>
          <w:szCs w:val="20"/>
          <w:color w:val="auto"/>
        </w:rPr>
      </w:pPr>
      <w:r>
        <w:rPr>
          <w:rFonts w:ascii="Times New Roman" w:cs="Times New Roman" w:eastAsia="Times New Roman" w:hAnsi="Times New Roman"/>
          <w:sz w:val="18"/>
          <w:szCs w:val="18"/>
          <w:color w:val="auto"/>
        </w:rPr>
        <w:t>In the event we are unable to obtain additional capital as needed or execute on an alternative strategic path, we may further delay, limit, reduce or terminate our current development efforts and business operations.</w:t>
      </w:r>
    </w:p>
    <w:p>
      <w:pPr>
        <w:spacing w:after="0" w:line="13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make milestone and royalty payments to the licensor of the levosimendan intellectual property in connection with the development and commercialization of levosimendan, which could adversely affect the profitability of levosimendan, if approved.</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terms of our license agreement with Orion, we are required to pay to Orion tiered royalties based on worldwide net sales of the product by the Company and any sublicensees, a $10.0 million milestone payment upon the grant of FDA approval of a levosimendan-based product, a $5.0 milestone payment upon the grant of regulatory approval for a levosimendan-based product in Japan, as well as certain non-refundable commercialization milestone payments, aggregating to up to $45.0 million, contingent upon achievement of certain cumulative worldwide sales of the product by the Company. In the event that no regulatory approval for a product containing levosimendan has been granted in the United States on or before September 20, 2030, however, either party will have the right to terminate the license with immediate effect.</w:t>
      </w:r>
    </w:p>
    <w:p>
      <w:pPr>
        <w:spacing w:after="0" w:line="1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These development and milestone obligations and royalties could impose substantial additional costs on us, divert resources from other aspects of the business, and adversely affect the overall profitability of levosimendan, if approved. We may need to obtain additional financing to satisfy these milestone and royalty payments, and cannot be sure that any additional funding, if needed, will be available on favorable terms, or at all.</w:t>
      </w:r>
    </w:p>
    <w:p>
      <w:pPr>
        <w:spacing w:after="0" w:line="14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expect a number of factors to cause our operating results to fluctuate on a quarterly and annual basis, which may make it difficult to predict our future performance.</w:t>
      </w:r>
    </w:p>
    <w:p>
      <w:pPr>
        <w:spacing w:after="0" w:line="15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Our financial condition and operating results have varied significantly in the past and will continue to fluctuate from quarter-to-quarter and year-to-year in the future due to a variety of factors, many of which are beyond our control. Factors relating to our business that may contribute to these fluctuations include the following factors, among others:</w:t>
      </w:r>
    </w:p>
    <w:p>
      <w:pPr>
        <w:spacing w:after="0" w:line="350" w:lineRule="exact"/>
        <w:rPr>
          <w:sz w:val="20"/>
          <w:szCs w:val="20"/>
          <w:color w:val="auto"/>
        </w:rPr>
      </w:pPr>
    </w:p>
    <w:p>
      <w:pPr>
        <w:ind w:left="760" w:hanging="378"/>
        <w:spacing w:after="0" w:line="259"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commercialize our current product candidates, and any product candidate which we may develop or in-license in the future;</w:t>
      </w:r>
    </w:p>
    <w:p>
      <w:pPr>
        <w:spacing w:after="0" w:line="1" w:lineRule="exact"/>
        <w:rPr>
          <w:rFonts w:ascii="Times New Roman" w:cs="Times New Roman" w:eastAsia="Times New Roman" w:hAnsi="Times New Roman"/>
          <w:sz w:val="18"/>
          <w:szCs w:val="18"/>
          <w:color w:val="auto"/>
        </w:rPr>
      </w:pPr>
    </w:p>
    <w:p>
      <w:pPr>
        <w:ind w:left="760" w:hanging="378"/>
        <w:spacing w:after="0" w:line="248"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commencement, recruitment and initiation of sites, enrollment of patients, and completion of clinical testing, as well as the analysis and reporting of results from such clinical testing;</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regulatory approval;</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clinical trials of our product candidates;</w:t>
      </w:r>
    </w:p>
    <w:p>
      <w:pPr>
        <w:spacing w:after="0" w:line="7" w:lineRule="exact"/>
        <w:rPr>
          <w:rFonts w:ascii="Times New Roman" w:cs="Times New Roman" w:eastAsia="Times New Roman" w:hAnsi="Times New Roman"/>
          <w:sz w:val="18"/>
          <w:szCs w:val="18"/>
          <w:color w:val="auto"/>
        </w:rPr>
      </w:pPr>
    </w:p>
    <w:p>
      <w:pPr>
        <w:ind w:left="760" w:hanging="378"/>
        <w:spacing w:after="0" w:line="248"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money to complete the development and commercialization of our current or future product candidates and support our operations;</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obtain regulatory approval of our product candidates;</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risks related to any collaborations we may enter into for our product candidates;</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delays in regulatory review and approval of product candidates in development;</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 effective sales and marketing infrastructure;</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products or new products that may emerge;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receive regulatory approval or commercialize our products;</w:t>
      </w:r>
    </w:p>
    <w:p>
      <w:pPr>
        <w:spacing w:after="0" w:line="2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side effects of our product candidates that could delay or prevent commercialization;</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 and adverse events;</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liabilities associated with hazardous materials;</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adequate insurance policies;</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dependency on third-party manufacturers and CROs;</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or maintain collaborations, licensing or other arrangements;</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our partners’ abilities, and third parties’ abilities to protect and assert intellectual property rights;</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and outcomes of potential litigation;</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obligations under intellectual property licenses with third parties;</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support future growth;</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personnel, including our executive team, advisors and members of our Board of Directors; and</w:t>
      </w:r>
    </w:p>
    <w:p>
      <w:pPr>
        <w:spacing w:after="0" w:line="7" w:lineRule="exact"/>
        <w:rPr>
          <w:rFonts w:ascii="Times New Roman" w:cs="Times New Roman" w:eastAsia="Times New Roman" w:hAnsi="Times New Roman"/>
          <w:sz w:val="18"/>
          <w:szCs w:val="18"/>
          <w:color w:val="auto"/>
        </w:rPr>
      </w:pPr>
    </w:p>
    <w:p>
      <w:pPr>
        <w:jc w:val="both"/>
        <w:ind w:left="760" w:hanging="378"/>
        <w:spacing w:after="0" w:line="253"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 uncertainty in the global economy and financial markets in light of the possibility of pandemics, global financial and geopolitical uncertainties, including in the Middle East and the Russian invasion of and war against the country of Ukraine, and fluctuations in biotechnology investor sentiment.</w:t>
      </w:r>
    </w:p>
    <w:p>
      <w:pPr>
        <w:spacing w:after="0" w:line="186" w:lineRule="exact"/>
        <w:rPr>
          <w:sz w:val="20"/>
          <w:szCs w:val="20"/>
          <w:color w:val="auto"/>
        </w:rPr>
      </w:pPr>
    </w:p>
    <w:p>
      <w:pPr>
        <w:ind w:right="240"/>
        <w:spacing w:after="0" w:line="279" w:lineRule="auto"/>
        <w:rPr>
          <w:sz w:val="20"/>
          <w:szCs w:val="20"/>
          <w:color w:val="auto"/>
        </w:rPr>
      </w:pPr>
      <w:r>
        <w:rPr>
          <w:rFonts w:ascii="Times New Roman" w:cs="Times New Roman" w:eastAsia="Times New Roman" w:hAnsi="Times New Roman"/>
          <w:sz w:val="18"/>
          <w:szCs w:val="18"/>
          <w:color w:val="auto"/>
        </w:rPr>
        <w:t>Due to the various factors mentioned above, and others, the results of any prior quarterly or annual periods should not be relied upon as indications of our future operating performance.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losses since our inception, expect to continue to incur losses in the foreseeable future, and may never become profitable.</w:t>
      </w:r>
    </w:p>
    <w:p>
      <w:pPr>
        <w:spacing w:after="0" w:line="2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incurred losses since inception. For the years ended December 31, 2024 and 2023, we incurred net operating losses of $19.5 million and $8.2 million, respectively. We have funded our operations since 2013 principally through the issuance of debt and equity securities. We will continue to incur losses until we generate sufficient revenue to offset our expenses, and we anticipate that we will continue to incur net losses for at least the next several years. We expect to incur additional expenses related to our development and potential commercialization of levosimendan for pulmonary hypertension and other potential indications, imatinib for PAH, as well as identifying and developing other potential product candidates, and as a result, we will need to generate significant net product sales, royalty and other revenues to achieve profitability.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Industry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Intense competition might render our cardiovascular and pulmonary product candidates noncompetitive or obsolete.</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Competition in the pharmaceutical industry in general and in our therapeutic areas is intense and characterized by extensive research efforts and rapid technological progress. Technological developments by competitors, regulatory approval for marketing competitive products, including potential generic or over-the-counter products, or superior marketing resources possessed by competitors could adversely affect the commercial potential of our cardiovascular and pulmonary disease product candidates and could have a material adverse effect on our future revenue and results of operations. We believe that there are numerous pharmaceutical and biotechnology companies, as well as academic research groups throughout the world, engaged in research and development efforts with respect to pharmaceutical products targeted at cardiovascular and pulmonary diseases and conditions addressed by our product pipeline. Developments by others might render our product pipeline obsolete or noncompetitive. Competitors might be able to complete the development and regulatory approval process sooner and, therefore, market their cardiovascular and pulmonary disease products earlier than we can.</w:t>
      </w:r>
    </w:p>
    <w:p>
      <w:pPr>
        <w:spacing w:after="0" w:line="1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Many of our current competitors have significant financial, marketing and personnel resources and development capabilities. For example, many large, well-capitalized companies already offer cardiovascular and pulmonary products and services in the United States and Europe that target the indications for which our product candidates are being developed, or related indications. Currently, as an example, at least twelve vasodilators are marketed in the U.S. for use in patients with PAH, and sales teams from Janssen, Pfizer, Bayer, United Therapeutics, and other large companies with marketing and sales capabilities represent these products in the specialized care centers where the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disease is treated. While there are no products currently marketed to treat PH-HFpEF, specifically, some products are under development to treat this prevalent disease, and some products marketed for other conditions or for HFpEF alone, are used in these patients and could constitute competition at the patient, payor, or overall market level in future.</w:t>
      </w:r>
    </w:p>
    <w:p>
      <w:pPr>
        <w:spacing w:after="0" w:line="14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activities are and will continue to be subject to extensive government regulation, which is expensive and time-consuming, and we will not be able to sell our products without regulatory approval.</w:t>
      </w:r>
    </w:p>
    <w:p>
      <w:pPr>
        <w:spacing w:after="0" w:line="11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Our development, marketing, and distribution of levosimendan and, potentially in the future, imatinib, are, and will continue to be, subject to extensive regulation, monitoring and approval by the FDA and other regulatory agencies. There are significant risks at each stage of regulation.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approval stage</w:t>
      </w:r>
    </w:p>
    <w:p>
      <w:pPr>
        <w:spacing w:after="0" w:line="19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During the product approval stage, we study and attempt to prove the safety and efficacy of our product candidate for its indicated uses. There are numerous problems that could arise during this stage, including:</w:t>
      </w:r>
    </w:p>
    <w:p>
      <w:pPr>
        <w:spacing w:after="0" w:line="123" w:lineRule="exact"/>
        <w:rPr>
          <w:sz w:val="20"/>
          <w:szCs w:val="20"/>
          <w:color w:val="auto"/>
        </w:rPr>
      </w:pPr>
    </w:p>
    <w:p>
      <w:pPr>
        <w:ind w:left="760" w:hanging="378"/>
        <w:spacing w:after="0" w:line="259"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obtained from laboratory testing and clinical trials are susceptible to varying interpretations, which could delay, limit, or prevent FDA and other regulatory approvals;</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events could cause the FDA and other regulatory authorities to halt trials;</w:t>
      </w:r>
    </w:p>
    <w:p>
      <w:pPr>
        <w:spacing w:after="0" w:line="7" w:lineRule="exact"/>
        <w:rPr>
          <w:rFonts w:ascii="Times New Roman" w:cs="Times New Roman" w:eastAsia="Times New Roman" w:hAnsi="Times New Roman"/>
          <w:sz w:val="18"/>
          <w:szCs w:val="18"/>
          <w:color w:val="auto"/>
        </w:rPr>
      </w:pPr>
    </w:p>
    <w:p>
      <w:pPr>
        <w:ind w:left="760" w:hanging="378"/>
        <w:spacing w:after="0" w:line="248"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the FDA and other regulatory agencies could change policies and regulations that could result in delay and perhaps rejection of our products;</w:t>
      </w:r>
    </w:p>
    <w:p>
      <w:pPr>
        <w:spacing w:after="0" w:line="1" w:lineRule="exact"/>
        <w:rPr>
          <w:rFonts w:ascii="Times New Roman" w:cs="Times New Roman" w:eastAsia="Times New Roman" w:hAnsi="Times New Roman"/>
          <w:sz w:val="18"/>
          <w:szCs w:val="18"/>
          <w:color w:val="auto"/>
        </w:rPr>
      </w:pPr>
    </w:p>
    <w:p>
      <w:pPr>
        <w:ind w:left="760" w:hanging="378"/>
        <w:spacing w:after="0" w:line="248"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the FDA and other regulatory agencies can provide evolving input into the design of our clinical program, and input from different regulators may be challenging to reconcile within an ongoing development program;</w:t>
      </w:r>
    </w:p>
    <w:p>
      <w:pPr>
        <w:spacing w:after="0" w:line="1" w:lineRule="exact"/>
        <w:rPr>
          <w:rFonts w:ascii="Times New Roman" w:cs="Times New Roman" w:eastAsia="Times New Roman" w:hAnsi="Times New Roman"/>
          <w:sz w:val="18"/>
          <w:szCs w:val="18"/>
          <w:color w:val="auto"/>
        </w:rPr>
      </w:pPr>
    </w:p>
    <w:p>
      <w:pPr>
        <w:ind w:left="760" w:hanging="378"/>
        <w:spacing w:after="0" w:line="248"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prolonged government shutdown occurs, reductions in staffing at the FDA, or similar impacts on medical review functions within global regulators, it could significantly impact the ability of the FDA to timely review and process our regulatory submissions; and</w:t>
      </w:r>
    </w:p>
    <w:p>
      <w:pPr>
        <w:spacing w:after="0" w:line="1" w:lineRule="exact"/>
        <w:rPr>
          <w:rFonts w:ascii="Times New Roman" w:cs="Times New Roman" w:eastAsia="Times New Roman" w:hAnsi="Times New Roman"/>
          <w:sz w:val="18"/>
          <w:szCs w:val="18"/>
          <w:color w:val="auto"/>
        </w:rPr>
      </w:pPr>
    </w:p>
    <w:p>
      <w:pPr>
        <w:jc w:val="both"/>
        <w:ind w:left="760" w:hanging="378"/>
        <w:spacing w:after="0" w:line="253"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after extensive testing and clinical trials, and receiving agreements and reassurances from the FDA, EMA, and others, as to their future position on a dataset or result to be generated from a trial the design of which they have weighed in on, there is no assurance that regulatory approval will ever be obtained for any of our products.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Post-commercialization stage</w:t>
      </w:r>
    </w:p>
    <w:p>
      <w:pPr>
        <w:spacing w:after="0" w:line="19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Discovery of previously unknown problems with our products, or unanticipated problems with our manufacturing arrangements, even after FDA and other regulatory approvals of our products for commercial sale, may result in the imposition of significant restrictions, including withdrawal of the product from the market.</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Additional laws and regulations may also be enacted that could prevent or delay regulatory approval of our products, including laws or regulations relating to the price or cost-effectiveness of medical products. Any delay or failure to achieve regulatory approval of commercial sales of our products is likely to have a material adverse effect on our financial condition, results of operations and cash flows.</w:t>
      </w:r>
    </w:p>
    <w:p>
      <w:pPr>
        <w:spacing w:after="0" w:line="13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FDA and other regulatory agencies continue to review products even after they receive agency approval. If and when the FDA or another regulatory agency outside the United States approves one of our products, its manufacture and marketing will be subject to ongoing regulation, which could include compliance with current good manufacturing practices, adverse event reporting requirements and general prohibitions against promoting products for unapproved or “off-label” uses. We are also subject to inspection and market surveillance by the FDA for compliance with these and other requirements. Any enforcement action resulting from failure, even by inadvertence, to comply with these requirements could affect the manufacture and marketing of levosimendan, imatinib or our other products. In addition, the FDA or other regulatory agencies could withdraw a previously approved product from the market upon receipt of newly discovered information. The FDA or another regulatory agency could also require us to conduct additional, and potentially expensive, studies in areas outside our approved indicated uses.</w:t>
      </w:r>
    </w:p>
    <w:p>
      <w:pPr>
        <w:spacing w:after="0" w:line="15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may not receive all of the anticipated market exclusivity benefits of imatinib’s orphan drug designation, if we prioritize imatinib development in the future.</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TNX-201, our proprietary formulation of imatinib mesylate, a kinase inhibitor, received Orphan Drug Designation from the FDA in the second quarter of 2020. Orphan Drug Designation may provide market exclusivity in the United States for seven years if (i) imatinib receives market approval before a competitor using a similar mechanism for the same indication, (ii) we are able to produce sufficient supply to meet demand in the marketplace, and (iii) another product with the same active ingredient is not subsequently deemed clinically superior.</w:t>
      </w:r>
    </w:p>
    <w:p>
      <w:pPr>
        <w:spacing w:after="0" w:line="15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Obtaining an Orphan Drug Designation from the FDA may not effectively protect our product candidates from competition because different drugs can be approved for the same condition, and orphan drug exclusivity does not prevent the FDA from approving the same or a different drug in another indication. Even after an orphan drug is approved, the FDA can subsequently approve a later application for the same drug for the same condition if the FDA concludes that the later drug is clinically superior in that it is shown to be safer in a substantial portion of the target populations,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we are unable to manufacture sufficient quantities of the product to meet the needs of patients with the rare disease or condition. Orphan Drug Designation neither shortens the development time or regulatory review time of a drug nor gives the drug any advantage in the regulatory review or approval process.</w:t>
      </w:r>
    </w:p>
    <w:p>
      <w:pPr>
        <w:spacing w:after="0" w:line="14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Even after products are commercialized, we would expect to spend considerable time and money complying with federal and state laws and regulations governing their sale, and, if we are unable to fully comply with such laws and regulations, we could face substantial penalties.</w:t>
      </w:r>
    </w:p>
    <w:p>
      <w:pPr>
        <w:spacing w:after="0" w:line="11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Health care providers, physicians and others would play a primary role in the recommendation and prescription of our clinical products. Our arrangements with third-party payers and customers may expose us to broadly applicable fraud and abuse and other health care laws and regulations that may constrain the business or financial arrangements and relationships through which we will market, sell and distribute our products. Applicable federal and state health care laws and regulations are expected to include, but not be limited to, the following:</w:t>
      </w:r>
    </w:p>
    <w:p>
      <w:pPr>
        <w:spacing w:after="0" w:line="153" w:lineRule="exact"/>
        <w:rPr>
          <w:sz w:val="20"/>
          <w:szCs w:val="20"/>
          <w:color w:val="auto"/>
        </w:rPr>
      </w:pPr>
    </w:p>
    <w:p>
      <w:pPr>
        <w:jc w:val="both"/>
        <w:ind w:left="760" w:hanging="378"/>
        <w:spacing w:after="0" w:line="256"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is a criminal statute that makes it a felony for individuals or entities knowingly and willfully to offer or pay, or to solicit or receive, direct or indirect remuneration, in order to induce the purchase, order, lease, or recommendation of items or services, or the referral of patients for services, that are reimbursed under a federal health care program, including Medicare and Medicaid;</w:t>
      </w:r>
    </w:p>
    <w:p>
      <w:pPr>
        <w:jc w:val="both"/>
        <w:ind w:left="760" w:hanging="378"/>
        <w:spacing w:after="0" w:line="248"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imposes liability on any person who knowingly submits, or causes another person or entity to submit, a false claim for payment of government funds, with penalties that include three times the government’s damages plus civil penalties for each false claim; in addition, the False Claims Act permits a person with knowledge of fraud, referred to as a qui tam plaintiff, to file a lawsuit on behalf of the government against the person or business that committed the fraud, and, if the action is successful, the qui tam plaintiff is rewarded with a percentage of the recovery;</w:t>
      </w:r>
    </w:p>
    <w:p>
      <w:pPr>
        <w:spacing w:after="0" w:line="4" w:lineRule="exact"/>
        <w:rPr>
          <w:rFonts w:ascii="Times New Roman" w:cs="Times New Roman" w:eastAsia="Times New Roman" w:hAnsi="Times New Roman"/>
          <w:sz w:val="18"/>
          <w:szCs w:val="18"/>
          <w:color w:val="auto"/>
        </w:rPr>
      </w:pPr>
    </w:p>
    <w:p>
      <w:pPr>
        <w:ind w:left="760" w:right="20" w:hanging="378"/>
        <w:spacing w:after="0" w:line="248"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imposes obligations, including mandatory contractual terms, with respect to safeguarding the privacy, security and transmission of individually identifiable health information;</w:t>
      </w:r>
    </w:p>
    <w:p>
      <w:pPr>
        <w:spacing w:after="0" w:line="1" w:lineRule="exact"/>
        <w:rPr>
          <w:rFonts w:ascii="Times New Roman" w:cs="Times New Roman" w:eastAsia="Times New Roman" w:hAnsi="Times New Roman"/>
          <w:sz w:val="18"/>
          <w:szCs w:val="18"/>
          <w:color w:val="auto"/>
        </w:rPr>
      </w:pPr>
    </w:p>
    <w:p>
      <w:pPr>
        <w:ind w:left="760" w:hanging="378"/>
        <w:spacing w:after="0" w:line="248"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Social Security Act contains numerous provisions allowing the imposition of a civil monetary penalty, a monetary assessment, exclusion from the Medicare and Medicaid programs, or some combination of these penalties; and</w:t>
      </w:r>
    </w:p>
    <w:p>
      <w:pPr>
        <w:spacing w:after="0" w:line="1" w:lineRule="exact"/>
        <w:rPr>
          <w:rFonts w:ascii="Times New Roman" w:cs="Times New Roman" w:eastAsia="Times New Roman" w:hAnsi="Times New Roman"/>
          <w:sz w:val="18"/>
          <w:szCs w:val="18"/>
          <w:color w:val="auto"/>
        </w:rPr>
      </w:pPr>
    </w:p>
    <w:p>
      <w:pPr>
        <w:jc w:val="both"/>
        <w:ind w:left="760" w:hanging="378"/>
        <w:spacing w:after="0" w:line="253"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states have analogous state laws and regulations, such as state anti-kickback and false claims laws, which, in some cases, impose more strict requirements than the federal laws and may require pharmaceutical companies to comply with certain price reporting and other compliance requirements.</w:t>
      </w:r>
    </w:p>
    <w:p>
      <w:pPr>
        <w:spacing w:after="0" w:line="145"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Our failure to comply with any of these federal and state health care laws and regulations, or health care laws in foreign jurisdictions, could have a material adverse effect on our business, financial condition, result of operations and cash flows.</w:t>
      </w:r>
    </w:p>
    <w:p>
      <w:pPr>
        <w:spacing w:after="0" w:line="11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uncertainty relating to healthcare reform measures and reimbursement policies that, if not favorable to our products, could hinder or prevent our products’ commercial success, if any of our product candidates are approved.</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ability to successfully commercialize our products will depend in part on the extent to which governmental authorities, such as Medicare, private health insurers and other organizations establish what we believe to be appropriate coverage and reimbursement for our approved products. The unavailability or inadequacy of third-party payer coverage and reimbursement could negatively affect the market acceptance of our product candidates and the future revenues we may expect to receive from any approved products. The commercial success of our product candidates, if approved, will depend in part on the extent to which the costs of such products will be covered by third-party payers, such as government health programs, commercial insurance and other organizations. Third-party payers are increasingly challenging the prices and examining the medical necessity and cost-effectiveness of medical products and services, in addition to their safety and efficacy. If these third-party payers do not consider our products to be cost-effective compared to other therapies, we may not obtain coverage for our products after approval as a benefit under the third-party payers’ plans or, even if we do, the level of coverage or payment may not be sufficient to allow us to sell our products on a profitable basis.</w:t>
      </w:r>
    </w:p>
    <w:p>
      <w:pPr>
        <w:spacing w:after="0" w:line="16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Significant uncertainty exists as to the reimbursement status for newly approved drug products, including coding, coverage and payment. There is no uniform policy requirement for coverage and reimbursement for drug products among third-party payers in the United States; therefore, coverage and reimbursement for drug products can differ significantly by payer. The coverage determination process is often a time-consuming and costly process that will require us to provide scientific and clinical support for the use of our products to each payer separately, with no assurance that coverage and adequate payment will be applied consistently or obtained. The process for determining whether a payer will cover and how much it will reimburse a product may be separate from the process of seeking approval of the product or for setting the price of the product. Even if reimbursement is provided, market acceptance of our products may be adversely affected if the amount of payment for our products proves to be unprofitable for healthcare providers or less profitable than alternative treatments or if administrative burdens make our products less desirable to use. Third-party payer reimbursement to providers of our products, if approved, may be subject to a bundled payment that also includes the procedure of administering our products or third-party payers may require providers to perform additional patient testing to justify the use of our products. To the extent there is no separate payment for our products, there may be further uncertainty as to the adequacy of reimbursement amounts.</w:t>
      </w:r>
    </w:p>
    <w:p>
      <w:pPr>
        <w:spacing w:after="0" w:line="14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containment of healthcare costs is a priority of federal, state and foreign governments and the prices of drug products have been a focus in this effort. The continuing efforts of government, private insurance companies and other organizations to contain or reduce costs of healthcare, including through such recent legislation as the Inflation Reduction Act in the U.S., the effects of which are evolving over time, may adversely affect our ability to set as high a price for our products as we might otherwise and the rate and scope of adoption of our products by healthcare providers. We expect that federal, state and local governments in the United States, as well as governments in other countries, will continue to consider legislation directed at lowering the total cost of healthcare. In addition, in certain foreign markets, the pricing of drug products is subject to government control and reimbursement may in some cases be unavailable or insufficient. It is uncertain whether and how future legislation, whether domestic or abroad, could affect prospects for our product candidates or what actions governmental or private payers for healthcare treatment and services may take in response to any such healthcare reform proposals or legislation. Adoption of price controls and cost-containment measures, and adoption of more restrictive policies in jurisdictions with existing controls and measures, may prevent or limit our ability to generate revenue, attain profitability or commercialize our product candidates.</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potential courses of action are unpredictable and the potential impact of new legislation on our operations and financial position is uncertain, but may result in more rigorous coverage criteria, lower reimbursement and additional downward pressure on the price we may receive for an approved product. Any reduction in reimbursement from Medicare or other government-funded programs may result in a similar reduction in payments from private payers. The implementation of cost containment measures or other healthcare reforms may prevent us from being able to generate revenue, attain profitability or commercialize our products, if approved.</w:t>
      </w:r>
    </w:p>
    <w:p>
      <w:pPr>
        <w:spacing w:after="0" w:line="15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Governments outside the United States tend to impose strict price controls and reimbursement approval policies, which may adversely affect our prospects for generating revenue outside the United States.</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have worldwide distribution rights for levosimendan and our formulation of imatinib, and in some countries, particularly European Union countries and Canada, the pricing of prescription pharmaceuticals is subject to governmental control. In these countries, pricing negotiations with governmental authorities can take considerable time after the receipt of marketing approval for a product. In addition, there can be considerable pressure by</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To obtain or maintain reimbursement or pricing approval in some countries with respect to any product candidate that achieves regulatory approval, we may be required to conduct a clinical trial that compares the cost-effectiveness of our product candidate to other available therapies. If reimbursement of our products upon approval, if at all, is unavailable or limited in scope or amount, or if pricing is set at unsatisfactory levels, our prospects for generating revenue, if any, could be adversely affected, which would have a material adverse effect on our business and results of operations. Further, if we achieve regulatory approval of any product, we must successfully negotiate product pricing for such product in individual countries. As a result, if our products are approved, the pricing of our products in different countries may vary widely, thus creating the potential for third-party trade in our products in an attempt to exploit price differences between countries. This third-party trade of our products could undermine our sales in markets with higher prices.</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limit sales of our existing products and limit commercialization of any products that we may develop.</w:t>
      </w:r>
    </w:p>
    <w:p>
      <w:pPr>
        <w:spacing w:after="0" w:line="11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business exposes us to the risk of product liability claims that are inherent in the manufacturing, distribution, and sale of pharmaceutical products. We face an inherent risk of product liability exposure related to the testing of our product candidates in human clinical trials and an even greater risk when we commercially sell any products. If we cannot successfully defend ourselves against claims that our product candidates or products caused injuries, we could incur substantial liabilities. Regardless of merit or eventual outcome, liability claims may result in:</w:t>
      </w:r>
    </w:p>
    <w:p>
      <w:pPr>
        <w:spacing w:after="0" w:line="140" w:lineRule="exact"/>
        <w:rPr>
          <w:sz w:val="20"/>
          <w:szCs w:val="20"/>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products and any product candidates that we may develop;</w:t>
      </w:r>
    </w:p>
    <w:p>
      <w:pPr>
        <w:spacing w:after="0" w:line="2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currently maintain limited product liability insurance coverage for our clinical trials in the total amount of $5 million. However, our profitability will be adversely affected by a successful product liability claim in excess of our insurance coverage. There can be no assurance that product liability insurance will be available in the future or be available on reasonable terms.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computer system failures, cyber-attacks or deficiencies in our cybersecurity.</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third parties on which we rely, are vulnerable to damage from computer viruses, malware, natural disasters, terrorism, war, telecommunication and electrical failures, cyber-attacks or cyber-intrusions over the Internet, attachments to emails, persons inside our organization, or persons with access to systems inside our organization. The risk of a security breach or disruption, particularly through cyber-attacks or cyber intrusion, including by computer hackers, foreign governments, and cyber-terrorists, has generally increased as the number, intensity and sophistication of attempted attacks and intrusions from around the world have increased. If such an event were to occur and cause interruptions in our operations, it could result in a material disruption of our product development programs. For example, the loss of clinical trial data from completed or ongoing or planned clinical trials could result in delays in our regulatory approval efforts and significantly increase our costs to recover or reproduce the data. To the extent that any disruption or security breach was to result in a loss of or damage to our data or applications, or inappropriate disclosure of confidential or proprietary information, we could incur material legal claims and liability, and damage to our reputation, and the further development of our product candidates could be delayed.</w:t>
      </w:r>
    </w:p>
    <w:p>
      <w:pPr>
        <w:spacing w:after="0" w:line="1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disclosure controls and procedures address cybersecurity and include elements intended to ensure that there is an analysis of potential disclosure obligations arising from security breaches. We also maintain compliance programs to address the potential applicability of restrictions against trading while in possession of material, nonpublic information generally and in connection with a cybersecurity breach. However, a breakdown in existing controls and procedures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around our cybersecurity environment may prevent us from detecting, reporting or responding to cyber-incidents in a timely manner and could have a material adverse effect on our financial position and value of our stock. For more information, see Item 1C. Cybersecurity.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We have historically relied on and we will continue to substantially rely on third parties to conduct our nonclinical testing and clinical studies and other aspects of our development programs. If those third parties do not satisfactorily perform their contractual obligations or meet anticipated deadlines, the development of our product candidates could be adversely affected.</w:t>
      </w:r>
    </w:p>
    <w:p>
      <w:pPr>
        <w:spacing w:after="0" w:line="13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do not currently employ personnel or possess the facilities necessary to conduct many of the activities associated with our development programs. We have historically and we will continue to engage consultants, advisors, CROs and others to assist in the design and conduct of nonclinical and clinical studies of our product candidates, with interpretation of the results of those studies and with regulatory activities and expect to continue to outsource all or a significant amount of such activities. As a result, many important aspects of our development programs are and will continue to be outside our direct control and our third-party service providers may not perform their activities as required or expected, including the maintenance of Good Laboratory Practices (“GLP”) or Good Clinical Practices (“GCP”) compliance, which are ultimately our responsibility to ensure. Further, such third parties may not be as committed to the success of our programs as our own employees and, therefore, may not devote the same time, thoughtfulness, or creativity to completing projects or problem-solving as our own employees would. To the extent we are unable to successfully manage the performance of third-party service providers, our business may be adversely affected.</w:t>
      </w:r>
    </w:p>
    <w:p>
      <w:pPr>
        <w:spacing w:after="0" w:line="16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CROs we engage or may engage to execute our clinical studies play a significant role in the conduct of the studies, including the collection and analysis of study data, and we likely will depend on CROs and clinical investigators to conduct future clinical studies and to assist in analyzing data from completed studies and developing regulatory strategies for our product candidates. Individuals working at the CROs with which we contract, as well as investigators at the sites at which our studies are conducted, are not our employees, and we have limited control over the amount or timing of resources that they devote to their programs. If our CROs, study investigators, and/or third-party sponsors fail to devote sufficient time and resources to studies of our product candidates, if we and/or our CROs do not comply with all GLP and GCP regulatory and contractual requirements, or if their performance is substandard, it could adversely affect the development of our product candidates.</w:t>
      </w:r>
    </w:p>
    <w:p>
      <w:pPr>
        <w:spacing w:after="0" w:line="1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 third parties we engage may have relationships with other commercial entities, some of which may compete with us. Through intentional or unintentional means, our competitors may benefit from lessons learned on the project that could ultimately harm our competitive position. Moreover, if a CRO fails to properly, or at all, perform our activities during a clinical study, we may not be able to enter into arrangements with alternative CROs on acceptable terms or in a timely manner, or at all. Switching CROs may increase costs and divert management time and attention. In addition, there likely would be a transition period before a new CRO commences work. These challenges could result in delays in the commencement or completion of our clinical studies, which could materially impact our ability to meet our desired and/or announced development timelines and have a material adverse impact on our business and financial condition.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third parties to formulate and manufacture our products.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own or operate any manufacturing facilities for the clinical- or commercial-scale production of our products.</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terms of our license for levosimendan, Orion is at present our sole manufacturing source for TNX-103; should they opt not to provide us the product, our license agreement provides for 24 months’ notice to the Company of same, to allow an alternative manufacturer to be brought onboard. We might engage other third-party suppliers and CMOs for the supply and manufacture of TNX-102, or other formulations we might develop. Accordingly, our business is susceptible to disruption, and our results of operations can be adversely affected, by any disruption in supply or other adverse developments in our relationship with Orion. If supply from Orion is delayed or terminated, or if its facilities suffer any damage or disruption, we may need to successfully qualify an alternative supplier in a timely manner in order to avoid disruption of our business. If we cannot obtain an alternate manufacturer</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in a timely manner, we would experience a significant interruption in supply of levosimendan, which could negatively affect our clinical trial conduct and other product development efforts and timelines, financial condition, results of operations and cash flows.</w:t>
      </w:r>
    </w:p>
    <w:p>
      <w:pPr>
        <w:spacing w:after="0" w:line="13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To potentially manufacture imatinib in the future, we have contracted with various third-party suppliers and CMOs making us highly dependent on these CMOs. We do not at present have alternative CMOs planned or contracted to back up our primary vendors of clinical trial material or, if approved, commercial supply material. Identification of and discussions with other CMOs may be protracted and/or unsuccessful, or these new CMOs may be unsuccessful in producing the same results as the current primary CMOs producing the material. Therefore, if our primary CMOs become unable or unwilling to perform their required activities, we could experience protracted delays or interruptions in the supply of clinical trial material and, ultimately, product for commercial sale, which would materially and adversely affect our development programs, commercial activities, operating results and financial condition. In addition, the FDA or regulatory authorities outside of the United States may require us to have an alternate manufacturer of a drug product before approving any product candidate for marketing and sale in the United States or abroad. Securing such alternate manufacturer, if possible, could result in considerable additional time and cost prior to approval.</w:t>
      </w:r>
    </w:p>
    <w:p>
      <w:pPr>
        <w:spacing w:after="0" w:line="1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we fail to attract and retain senior management and key scientific personnel, we may be unable to successfully develop and commercialize our product candidates.</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historically operated with a limited number of employees. As of December 31, 2024, we had four full-time employees and two part-time employees, and in the first quarter of 2025 added one additional full-time employee. Therefore, institutional knowledge is concentrated within a small number of employees. Our success depends in part on our continued ability to attract, retain and motivate highly qualified management, clinical and scientific personnel to continue the development, regulatory approval and commercialization of our product candidates. We will need to hire or contract with additional qualified personnel with expertise in preclinical testing, clinical research and testing, government regulation, formulation and manufacturing, and sales and marketing. Additionally, our future success is highly dependent upon the contributions of our senior management team. The loss of services of any of these individuals could delay or prevent the successful development of our product pipeline, completion of our planned clinical trials or the commercialization of our product candidates.</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face competition from other companies and organizations for qualified personnel. Other companies and organizations with which we compete for personnel may have greater financial and other resources and different risk profiles than we do, and a history of successful development and commercialization of their product candidates. Replacing employees and attracting sufficiently skilled new employees may be difficult and costly, and we may not have other personnel with the capacity to assume all the responsibilities of an existing employee upon his or her departure or to take on the duties necessary to continue growing our company and pursuing our business strategy. If we cannot attract and retain skilled personnel, as needed, we may not achieve our development and other goals.</w:t>
      </w:r>
    </w:p>
    <w:p>
      <w:pPr>
        <w:spacing w:after="0" w:line="1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success of our business will depend on our ability to develop and maintain relationships with respected service providers and industry-leading consultants and advisors. If we cannot develop and maintain such relationships, as needed, the rate and success at which we can develop and commercialize product candidates may be limited. In addition, our insourcing and outsourcing strategies, which have included engaging consultants to manage core administrative and operational functions, may subject us to scrutiny under labor laws and regulations, which may divert management time and attention and have an adverse effect on our business and financial condition.</w:t>
      </w:r>
    </w:p>
    <w:p>
      <w:pPr>
        <w:spacing w:after="0" w:line="14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expect to need to increase the size of our organization to further develop our product candidates, and we may experience difficulties in managing growth.</w:t>
      </w:r>
    </w:p>
    <w:p>
      <w:pPr>
        <w:spacing w:after="0" w:line="15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will need to manage our anticipated growth and increased operational activity, including as a result of the continuing development of levosimendan and any other product candidates. Our personnel, systems, and facilities currently in place may not be adequate to support this future growth. Our need to effectively execute our growth strategy will require that we:</w:t>
      </w:r>
    </w:p>
    <w:p>
      <w:pPr>
        <w:spacing w:after="0" w:line="136" w:lineRule="exact"/>
        <w:rPr>
          <w:sz w:val="20"/>
          <w:szCs w:val="20"/>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research and development activities and our regulatory trials effectively;</w:t>
      </w:r>
    </w:p>
    <w:p>
      <w:pPr>
        <w:spacing w:after="0" w:line="2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motivate sufficient numbers of talented employees or consultants;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760" w:hanging="378"/>
        <w:spacing w:after="0" w:line="259"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internal development efforts effectively while complying with our contractual obligations to licensors, licensees, contractors, collaborators and other third parties;</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internal sales and marketing capabilities or establish collaborations with third parties with such capabilities;</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commercialize our product candidates; and</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our operational, financial and management controls, reporting systems and procedures.</w:t>
      </w:r>
    </w:p>
    <w:p>
      <w:pPr>
        <w:spacing w:after="0" w:line="20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planned future growth could place a strain on our administrative and operational infrastructure and may require our management to divert a disproportionate amount of its attention away from our day-to-day activities. We may not be able to effectively manage the expansion of our operations or recruit and train additional qualified personnel, which may result in weaknesses in our infrastructure, and give rise to operational mistakes, loss of business opportunities, loss of employees and consultants and reduced productivity among remaining employees and consultants. We may not be able to make improvements to our management information and control systems in an efficient or timely manner and may discover deficiencies in existing systems and controls. If our management is unable to effectively manage our expected growth, our expenses may increase more than expected, our ability to generate or increase our revenues could be reduced and we may not be able to implement our business strategy. Our future financial performance and our ability to compete effectively will depend, in part, on our ability to effectively manage any future growth.</w:t>
      </w:r>
    </w:p>
    <w:p>
      <w:pPr>
        <w:spacing w:after="0" w:line="14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currently have very limited marketing capabilities and no sales organization. If we are unable to establish sales and marketing capabilities on our own or through third parties, we will be unable to successfully commercialize our products, if approved, or generate product revenue.</w:t>
      </w:r>
    </w:p>
    <w:p>
      <w:pPr>
        <w:spacing w:after="0" w:line="1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commercialize our products, if approved, in the United States and other jurisdictions in which we may seek approvals, we must build our marketing, sales, managerial and other non-technical capabilities or make arrangements with third parties to perform these services, and we may not be successful in doing so. We have not decided upon a commercialization strategy in these areas. We have no experience in the sale and marketing of approved medical products and marketing the licensing of such products before FDA or other regulatory approval. We do not know of any third party that is prepared to distribute our products should they be approved. If we decide to establish our own commercialization capability, we will need to recruit, train and retain a marketing staff and sales force with sufficient technical expertise. We do not know whether we can establish a commercialization program at a cost that is acceptable in relation to revenue or whether we can be successful in commercializing our product. Factors that may inhibit our efforts to commercialize our products directly and without strategic partners include:</w:t>
      </w:r>
    </w:p>
    <w:p>
      <w:pPr>
        <w:spacing w:after="0" w:line="147" w:lineRule="exact"/>
        <w:rPr>
          <w:sz w:val="20"/>
          <w:szCs w:val="20"/>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and retain adequate numbers of effective sales and marketing personnel;</w:t>
      </w:r>
    </w:p>
    <w:p>
      <w:pPr>
        <w:spacing w:after="0" w:line="2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or persuade adequate numbers of physicians to prescribe our products;</w:t>
      </w:r>
    </w:p>
    <w:p>
      <w:pPr>
        <w:spacing w:after="0" w:line="7" w:lineRule="exact"/>
        <w:rPr>
          <w:rFonts w:ascii="Times New Roman" w:cs="Times New Roman" w:eastAsia="Times New Roman" w:hAnsi="Times New Roman"/>
          <w:sz w:val="18"/>
          <w:szCs w:val="18"/>
          <w:color w:val="auto"/>
        </w:rPr>
      </w:pPr>
    </w:p>
    <w:p>
      <w:pPr>
        <w:ind w:left="760" w:hanging="378"/>
        <w:spacing w:after="0" w:line="248"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and sustaining an independent sales and marketing organization.</w:t>
      </w:r>
    </w:p>
    <w:p>
      <w:pPr>
        <w:spacing w:after="0" w:line="1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 we may pursue arrangements regarding the sales and marketing and distribution of one or more of our product candidates and our future revenues may depend, in part, on our ability to enter into and maintain arrangements with other companies having sales, marketing and distribution capabilities and the ability of such companies to successfully market and sell any such products. Any failure to enter into such arrangements and marketing alliances on favorable terms, if at all, could delay or impair our ability to commercialize our product candidates and could increase our costs of commercialization. Any use of distribution arrangements and marketing alliances to commercialize our product candidates will subject us to a number of risks, including the following:</w:t>
      </w:r>
    </w:p>
    <w:p>
      <w:pPr>
        <w:spacing w:after="0" w:line="157" w:lineRule="exact"/>
        <w:rPr>
          <w:sz w:val="20"/>
          <w:szCs w:val="20"/>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relinquish important rights to our products or product candidates;</w:t>
      </w:r>
    </w:p>
    <w:p>
      <w:pPr>
        <w:spacing w:after="0" w:line="26" w:lineRule="exact"/>
        <w:rPr>
          <w:rFonts w:ascii="Times New Roman" w:cs="Times New Roman" w:eastAsia="Times New Roman" w:hAnsi="Times New Roman"/>
          <w:sz w:val="18"/>
          <w:szCs w:val="18"/>
          <w:color w:val="auto"/>
        </w:rPr>
      </w:pPr>
    </w:p>
    <w:p>
      <w:pPr>
        <w:ind w:left="760" w:right="20" w:hanging="378"/>
        <w:spacing w:after="0" w:line="248"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control the amount and timing of resources that our distributors or collaborators may devote to the commercialization of our product candidates;</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distributors or collaborators may experience financial difficulties;</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distributors or collaborators may not devote sufficient time to the marketing and sales of our products; and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760" w:hanging="378"/>
        <w:spacing w:after="0" w:line="279"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 or significant changes in a collaborator’s business strategy may adversely affect a collaborator’s willingness or ability to complete its obligations under any arrangement.</w:t>
      </w:r>
    </w:p>
    <w:p>
      <w:pPr>
        <w:spacing w:after="0" w:line="1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are unable to implement our own sales and marketing capability or are unable to contract with one or more third parties for such services on acceptable terms or at all, we may not be able to successfully commercialize our products in certain markets. Any failure or delay in the development of our internal or external sales, marketing and distribution capabilities would adversely impact the commercialization of our products. If we are not successful in commercializing our products, either on our own or through collaborations with one or more third parties, our future product revenue will suffer and we would incur significant additional losses.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success will depend in part on obtaining and maintaining effective patent and other intellectual property protection for our product candidates and proprietary technology</w:t>
      </w:r>
      <w:r>
        <w:rPr>
          <w:rFonts w:ascii="Times New Roman" w:cs="Times New Roman" w:eastAsia="Times New Roman" w:hAnsi="Times New Roman"/>
          <w:sz w:val="18"/>
          <w:szCs w:val="18"/>
          <w:b w:val="1"/>
          <w:bCs w:val="1"/>
          <w:color w:val="auto"/>
        </w:rPr>
        <w:t>.</w:t>
      </w:r>
    </w:p>
    <w:p>
      <w:pPr>
        <w:spacing w:after="0" w:line="11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commercial success will depend in part on obtaining and maintaining effective patent protection and other intellectual property protection of our product candidates and the methods used to manufacture them, as well as successfully defending these patents against third-party challenges. Our ability to stop third parties from making, using, selling, offering to sell or importing our products, if any, will be dependent upon the extent to which we have rights under valid and enforceable patents or trade secrets that cover these activities.</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pursuing a multi-faceted IP strategy for levosimendan that includes filing patent applications in the U.S. and Canada, Europe, and multiple other countries that, if granted, could protect various uses and formulations of levosimendan In January 2022, the USPTO granted us a patent protecting claims for different uses of various cyclodextrin-based subcutaneous formulations of levosimendan, including a claim for its use in the treatment of PH-HFpEF patients. In addition, we received in March 2023 another patent protecting the use of levosimendan in the treatment of PH-HFpEF. Two subsequent patents expanded these protections on the use of levosimendan in the treatment of PH-HFpEF. Other patent applications are pending globally.</w:t>
      </w:r>
    </w:p>
    <w:p>
      <w:pPr>
        <w:spacing w:after="0" w:line="14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strategy to maximize market exclusivity for imatinib relies on two forms of exclusivity. First, we have been granted Orphan Drug Designation for the treatment of PAH by the FDA which would provide seven years of regulatory exclusivity in the U.S. if our imatinib formulation is the first to receive FDA approval for PAH. In addition, we may file one or more patent applications to cover patentable subject matter that may result from our imatinib development. If granted, a patent would provide protection for 20 years from its filing date.</w:t>
      </w:r>
    </w:p>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patent positions of pharmaceutical and biopharmaceutical companies can be highly uncertain and involve complex legal and factual questions for which important legal principles remain unresolved. No consistent policy regarding the breadth of claims allowed in biopharmaceutical patents has emerged to date in the United States. The biopharmaceutical patent situation outside the United States is less certain still. Changes in either the patent laws or in interpretations of patent laws in the United States and other countries may diminish the value of our intellectual property. Accordingly, we cannot predict the breadth of claims that may be allowed or enforced in the patents we own. Further, if any of our patents are deemed invalid and unenforceable, it could impact our ability to commercialize or license our technology.</w:t>
      </w:r>
    </w:p>
    <w:p>
      <w:pPr>
        <w:spacing w:after="0" w:line="157"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23" w:lineRule="exact"/>
        <w:rPr>
          <w:sz w:val="20"/>
          <w:szCs w:val="20"/>
          <w:color w:val="auto"/>
        </w:rPr>
      </w:pPr>
    </w:p>
    <w:p>
      <w:pPr>
        <w:ind w:left="760" w:right="20" w:hanging="378"/>
        <w:spacing w:after="0" w:line="259"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compositions or formulations that are similar to our product candidates but that are not covered by the claims of our patents;</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make the inventions covered by our issued patents or pending patent applications;</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file patent applications for these inventions;</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result in issued patents;</w:t>
      </w:r>
    </w:p>
    <w:p>
      <w:pPr>
        <w:spacing w:after="0" w:line="7" w:lineRule="exact"/>
        <w:rPr>
          <w:rFonts w:ascii="Times New Roman" w:cs="Times New Roman" w:eastAsia="Times New Roman" w:hAnsi="Times New Roman"/>
          <w:sz w:val="18"/>
          <w:szCs w:val="18"/>
          <w:color w:val="auto"/>
        </w:rPr>
      </w:pPr>
    </w:p>
    <w:p>
      <w:pPr>
        <w:ind w:left="760" w:hanging="378"/>
        <w:spacing w:after="0" w:line="257"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issued patents may not provide us with any competitive advantages, or may be held invalid or unenforceable as a result of legal challenges by third parties;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 or</w:t>
      </w:r>
    </w:p>
    <w:p>
      <w:pPr>
        <w:spacing w:after="0" w:line="2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1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may rely on trade secrets to protect our technology, especially where we do not believe patent protection is appropriate or obtainable. However, trade secrets are difficult to protect. Although we use reasonable efforts to protect our trade secrets, our employees, consultants, contractors, outside scientific collaborators and other advisors may unintentionally or willfully disclose our information to competitors. Enforcing a claim that a third party illegally obtained and is using any of our trade secrets is expensive and time consuming, and the outcome is unpredictable. In addition, courts outside the United States are sometimes less willing to protect trade secrets. Moreover, our competitors may independently develop equivalent knowledge, methods and know-how.</w:t>
      </w:r>
    </w:p>
    <w:p>
      <w:pPr>
        <w:spacing w:after="0" w:line="15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rely on confidentiality agreements that, if breached, may be difficult to enforce and could have a material adverse effect on our business and competitive position.</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policy is to enter into agreements relating to the non-disclosure and non-use of confidential information with third parties, including our contractors, consultants, advisors and research collaborators, as well as agreements that purport to require the disclosure and assignment to us of the rights to the ideas, developments, discoveries and inventions of our employees and consultants while we employ them. However, these agreements can be difficult and costly to enforce. Moreover, to the extent that our contractors, consultants, advisors and research collaborators apply or independently develop intellectual property in connection with any of our projects, disputes may arise as to the proprietary rights to the intellectual property. If a dispute arises, a court may determine that the right belongs to a third party, and enforcement of our rights can be costly and unpredictable. In addition, we rely on trade secrets and proprietary know-how that we seek to protect in part by confidentiality agreements with our employees, contractors, consultants, advisors or others. Despite the protective measures we employ, we still face the risk that:</w:t>
      </w:r>
    </w:p>
    <w:p>
      <w:pPr>
        <w:spacing w:after="0" w:line="147" w:lineRule="exact"/>
        <w:rPr>
          <w:sz w:val="20"/>
          <w:szCs w:val="20"/>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agreements may be breached;</w:t>
      </w:r>
    </w:p>
    <w:p>
      <w:pPr>
        <w:spacing w:after="0" w:line="2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agreements may not provide adequate remedies for the applicable type of breach; or</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trade secrets or proprietary know-how will otherwise become known.</w:t>
      </w:r>
    </w:p>
    <w:p>
      <w:pPr>
        <w:spacing w:after="0" w:line="177"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Any breach of our confidentiality agreements or our failure to effectively enforce such agreements would have a material adverse effect on our business and competitive position.</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may incur substantial costs as a result of litigation or other proceedings relating to patent and other intellectual property rights and we may be unable to protect our rights to, or use, our technology.</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we or our partners choose to go to court to stop someone else from using the inventions claimed in our patents, that individual or company has the right to ask the court to rule that these patents are invalid and/or should not be enforced against that third party. These lawsuits are expensive and would consume time and other resources even if we were successful in stopping the infringement of these patents. In addition, there is a risk that the court will decide that these patents are not valid and that we do not have the right to stop the other party from using the inventions. There is also the risk that, even if the validity of these patents is upheld, the court will refuse to stop the other party on the ground that such other party’s activities do not infringe our rights to these patents.</w:t>
      </w:r>
    </w:p>
    <w:p>
      <w:pPr>
        <w:spacing w:after="0" w:line="15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Furthermore, a third party may claim that we or our manufacturing or commercialization partners are using inventions covered by the third party’s patent rights and may go to court to stop us from engaging in our normal operations and activities, including making or selling our product candidates. These lawsuits are costly and could affect our results of operations and divert the attention of managerial and technical personnel. There is a risk that a court would decide that we or our commercialization partners are infringing the third party’s patents and would order us or our partners to stop the activities covered by the patents. In addition, there is a risk that a court will order us or our partners to pay the other party damages for having violated the other party’s patents. We have agreed to indemnify certain of our commercial partners against certain patent infringement claims brought by third parties. The biotechnology and pharmaceutical industries have produced a proliferation of patents, and it is not always clear to industry participants, including us, which patents cover various types of products or methods of use. The coverage of patents is subject to interpretation by the courts, and the interpretation is not always uniform. If we are sued for patent infringement, we would need to demonstrate that our products or methods of use either do not infringe the patent claims of the relevant patent and/or that the patent claims are invalid, and we may not be able to do this. Proving invalidity, in particular, is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difficult since it requires a showing of clear and convincing evidence to overcome the presumption of validity enjoyed by issued patents.</w:t>
      </w:r>
    </w:p>
    <w:p>
      <w:pPr>
        <w:spacing w:after="0" w:line="19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Because some patent applications in the United States may be maintained in secrecy until the patents are issued, because patent applications in the United States and many foreign jurisdictions are typically not published until 18 months after filing and because publications in the scientific literature often lag behind actual discoveries, we cannot be certain that others have not filed patent applications for technology covered by our issued patents or our pending applications, or that we were the first to invent the technology. Our competitors may have filed, and may in the future file, patent applications covering technology similar to ours. Any such patent application may have priority over our patent applications or patents, which could further require us to obtain rights to issued patents by others covering such technologies. If another party has filed a U.S. patent application on inventions similar to ours, we may have to participate in an interference proceeding declared by the USPTO to determine priority of invention in the United States. The costs of these proceedings could be substantial, and it is possible that such efforts would be unsuccessful if, unbeknownst to us, the other party had independently arrived at the same or similar invention prior to our own invention, resulting in a loss of our U.S. patent position with respect to such inventions.</w:t>
      </w:r>
    </w:p>
    <w:p>
      <w:pPr>
        <w:spacing w:after="0" w:line="1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132"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Under current law, we may not be able to enforce all employees’ covenants not to compete and therefore may be unable to prevent our competitors from benefiting from the expertise of some of our former employees.</w:t>
      </w:r>
    </w:p>
    <w:p>
      <w:pPr>
        <w:spacing w:after="0" w:line="1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entered into non-competition agreements with certain of our employees. These agreements prohibit our employees, if they cease working for us, from competing directly with us or working for our competitors for a limited period. Under current law, we may be unable to enforce these agreements against certain of our employees and it may be difficult for us to restrict our competitors from gaining the expertise our former employees gained while working for us. If we cannot enforce our employees’ non-compete agreements, we may be unable to prevent our competitors from benefiting from the expertise of our former employees.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infringe or be alleged to infringe intellectual property rights of third parties.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products or product candidates may infringe on, or be accused of infringing on, one or more claims of an issued patent or may fall within the scope of one or more claims in a published patent application that may be subsequently issued and to which we do not hold a license or other rights. Third parties may own or control these patents or patent applications in the United States and abroad. These third parties could bring claims against us or our collaborators that would cause us to incur substantial expenses and, if successful against us, could cause us to pay substantial damages. Further, if a patent infringement suit were brought against us or our collaborators, we or they could be forced to stop or delay research, development, manufacturing or sales of the product or product candidate that is the subject of the suit.</w:t>
      </w:r>
    </w:p>
    <w:p>
      <w:pPr>
        <w:spacing w:after="0" w:line="1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are found to infringe the patent rights of a third party, or in order to avoid potential claims, we or our collaborators may choose or be required to seek a license from a third party and be required to pay license fees or royalties or both. These licenses may not be available on acceptable terms, or at all. Even if we or our collaborators were able to obtain a license, the rights may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or our collaborators are unable to enter into licenses on acceptable terms.</w:t>
      </w:r>
    </w:p>
    <w:p>
      <w:pPr>
        <w:spacing w:after="0" w:line="1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have been substantial litigation and other proceedings regarding patent and other intellectual property rights in the pharmaceutical and biotechnology industries. In addition to infringement claims against us, we may become a party to other patent litigation and other proceedings, including interference proceedings declared by the USPTO and opposition proceedings in the European Patent Office, regarding intellectual property rights with respect to our products. Our products, after commercial launch, may become subject to Paragraph IV certification under the Hatch-Waxman Act, thus forcing us to initiate infringement proceedings against such third-party filers. The cost to us of any patent litigation or other proceeding, even if resolved in our favor, could be substantial. Some of our competitors may</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be able to sustain the costs of such litigation or proceedings more effectively than we can because of their substantially greater financial resources. Uncertainties resulting from the initiation and continuation of patent litigation or other proceedings could have a material adverse effect on our ability to compete in the marketplace. Patent litigation and other proceedings may also absorb significant management time.</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Some of our employees were previously employed at universities or other biotechnology or pharmaceutical companies, including our competitors or potential competitors. We try to ensure that our employees do not use the proprietary information or know-how of others in their work for us. We may, however, be subject to claims that we or these employees have inadvertently or otherwise used or disclosed intellectual property, trade secrets or other proprietary information of any such employee’s former employer. Litigation may be necessary to defend against these claims and, even if we are successful in defending ourselves, could result in substantial costs to us or be distracting to our management. If we fail to defend any such claims, in addition to paying monetary damages, we may lose valuable intellectual property rights or personnel.</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Owning Our Common Stock</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share price has been volatile, and may continue to be volatile, which may subject us to securities class action litigation in the future.</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stock price has in the past been, and is likely to be in the future, volatile. The stock market in general, and the market for biopharmaceutical companies in particular, has experienced extreme volatility that has often been unrelated to the operating performance of particular companies. As a result of this volatility, our existing stockholders may not be able to sell their stock at a favorable price. The market price for our Common Stock may be influenced by many factors, including:</w:t>
      </w:r>
    </w:p>
    <w:p>
      <w:pPr>
        <w:spacing w:after="0" w:line="140" w:lineRule="exact"/>
        <w:rPr>
          <w:sz w:val="20"/>
          <w:szCs w:val="20"/>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and operating results;</w:t>
      </w:r>
    </w:p>
    <w:p>
      <w:pPr>
        <w:spacing w:after="0" w:line="2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status and/or results of our clinical trials;</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status of ongoing litigation;</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our competitors’ products;</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products or our competitors’ products;</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and decisions by our collaborators or partners;</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our competitors;</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competitors’ operating results or changes in their growth rate;</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products or new products that may emerge;</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updated research or reports by securities analysts;</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for biopharmaceutical stocks in general;</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status of our search and selection of future management and leadership; and</w:t>
      </w:r>
    </w:p>
    <w:p>
      <w:pPr>
        <w:spacing w:after="0" w:line="7" w:lineRule="exact"/>
        <w:rPr>
          <w:rFonts w:ascii="Times New Roman" w:cs="Times New Roman" w:eastAsia="Times New Roman" w:hAnsi="Times New Roman"/>
          <w:sz w:val="18"/>
          <w:szCs w:val="18"/>
          <w:color w:val="auto"/>
        </w:rPr>
      </w:pPr>
    </w:p>
    <w:p>
      <w:pPr>
        <w:ind w:left="760" w:right="20" w:hanging="378"/>
        <w:spacing w:after="0" w:line="257"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 including as a result of disruptive events broadly affecting society, and as a result of geopolitical uncertainties, including in the Middle East and the Russian invasion of and war against the country of Ukraine.</w:t>
      </w:r>
    </w:p>
    <w:p>
      <w:pPr>
        <w:spacing w:after="0" w:line="14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Some companies that have had volatile market prices for their securities have had securities class action lawsuits filed against them. Such lawsuits, should they be filed against us in the future, could result in substantial costs and a diversion of management’s attention and resources. This could have a material adverse effect on our business, results of operations and financial condition.</w:t>
      </w:r>
    </w:p>
    <w:p>
      <w:pPr>
        <w:spacing w:after="0" w:line="17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Investors may experience dilution of their ownership interests because of the future issuance of additional shares of our common stock or securities convertible into common stock.</w:t>
      </w:r>
    </w:p>
    <w:p>
      <w:pPr>
        <w:spacing w:after="0" w:line="13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For the foreseeable future, to finance our operations, including possible acquisitions or strategic transactions, we expect to issue equity securities, resulting in the dilution of the ownership interests of our present stockholders. We are currently authorized to issue an aggregate of 400,000,000 shares of common stock and 10,000,000 shares of preferred stock. As of December 31, 2024, there were 3,420,906 shares of common stock outstanding, 19,874,360</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firstLine="54"/>
        <w:spacing w:after="0" w:line="256" w:lineRule="auto"/>
        <w:rPr>
          <w:sz w:val="20"/>
          <w:szCs w:val="20"/>
          <w:color w:val="auto"/>
        </w:rPr>
      </w:pPr>
      <w:r>
        <w:rPr>
          <w:rFonts w:ascii="Times New Roman" w:cs="Times New Roman" w:eastAsia="Times New Roman" w:hAnsi="Times New Roman"/>
          <w:sz w:val="18"/>
          <w:szCs w:val="18"/>
          <w:color w:val="auto"/>
        </w:rPr>
        <w:t>shares underlying warrants with a weighted average exercise price of $5.77 per share, 31,882,671 shares underlying pre-funded warrants with an exercise price of $0.01 per share, and 3,126,750 shares underlying options with a weighted average exercise price of $6.96 per share. We may also issue additional shares of our common stock or other securities that are convertible into or exercisable for common stock in connection with hiring or retaining employees, or for other business purposes. The future issuance of any such additional shares of common stock or common stock equivalents may create downward pressure on the trading price of our common stock.</w:t>
      </w:r>
    </w:p>
    <w:p>
      <w:pPr>
        <w:spacing w:after="0" w:line="15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corporate charter documents and under Delaware law could make an acquisition of us more difficult, which could discourage takeover attempts and lead to management entrenchment, and the market price of our common stock may be lower as a result.</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provisions in our Certificate of Incorporation, as amended (the “Charter”), and our Fourth Amended and Restated Bylaws (the “Bylaws”), may make it difficult for a third party to acquire, or attempt to acquire, control of the Company, even if a change in control was considered favorable by the stockholders. For example, our Board of Directors has the authority to issue up to 10,000,000 shares of preferred stock. The Board can fix the price, rights, preferences, privileges and restrictions of the preferred stock without any further vote or action by our stockholders.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organizational documents also contain other provisions that could have an anti-takeover effect, including provisions that:</w:t>
      </w:r>
    </w:p>
    <w:p>
      <w:pPr>
        <w:spacing w:after="0" w:line="196" w:lineRule="exact"/>
        <w:rPr>
          <w:sz w:val="20"/>
          <w:szCs w:val="20"/>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the Board of Directors may be filled only by a majority of directors then in office, even though less than a quorum;</w:t>
      </w:r>
    </w:p>
    <w:p>
      <w:pPr>
        <w:spacing w:after="0" w:line="2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cumulative voting in the election of directors;</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the Board of directors the authority to increase or decrease the size of the Board;</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stockholders from calling a special meeting of stockholders;</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stockholders give advance notice to nominate directors or submit proposals for consideration at stockholder meetings; and</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Board of Directors, by a majority vote, to amend the Bylaws.</w:t>
      </w:r>
    </w:p>
    <w:p>
      <w:pPr>
        <w:spacing w:after="0" w:line="1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we are subject to the anti-takeover provisions of Section 203 of the Delaware General Corporation Law, which limit the ability of stockholders owning in excess of 15% of our outstanding voting stock to merge or combine with us. These provisions could discourage potential acquisition proposals and could delay or prevent a change in control transaction. They could also have the effect of discouraging others from making tender offers for our common stock, including transactions that may be in stockholder best interests. These provisions may also prevent changes in our management or limit the price that certain investors are willing to pay for our stock.</w:t>
      </w:r>
    </w:p>
    <w:p>
      <w:pPr>
        <w:spacing w:after="0" w:line="14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Bylaws contain an exclusive forum provision, which could limit our stockholders’ ability to obtain a favorable judicial forum for disputes with us or our directors, officers, employees, or agents.</w:t>
      </w:r>
    </w:p>
    <w:p>
      <w:pPr>
        <w:spacing w:after="0" w:line="1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Bylaws provide that, unless we consent in writing to the selection of an alternative forum, any North Carolina state court that has jurisdiction, or the Delaware Court of Chancery shall, to the fullest extent permitted by law, be the sole and exclusive forum for any internal corporate claims, including without limitation (i) any derivative action or proceeding brought on behalf of us, (ii) any action asserting a claim of breach of a fiduciary duty owed by any director, officer or other employee of us to us or our stockholders, (iii) any action asserting a claim arising pursuant to any provision of the General Corporation Law of the State of Delaware, and (iv) any action asserting a claim governed by the internal affairs doctrine, in each case subject to said court having personal jurisdiction over the indispensable parties named as defendants in such action. This provision would not apply to suits brought to enforce a duty or liability created by the Securities and Exchange Act of 1934, as amended (the “Exchange Act”) or the Securities Act of 1933, as amended (the “Securities Act”), or any other claim for which federal courts have exclusive jurisdiction.</w:t>
      </w:r>
    </w:p>
    <w:p>
      <w:pPr>
        <w:spacing w:after="0" w:line="1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This exclusive forum provision may limit a stockholder’s ability to bring a claim in a judicial forum of its choosing for disputes with us or our directors, officers or other employees, which may discourage lawsuits against us and our directors, officers and other employees or could result in increased costs for our stockholders to bring a claim in the chosen forum. If a court were to find the exclusive forum provision in our Bylaws to be inapplicable or unenforceable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in an action, we may incur additional costs associated with resolving the dispute in other jurisdictions, which could harm our results of operations. Even if we are successful in defending against these claims, litigation could result in substantial costs and be a distraction to management and other employees.</w:t>
      </w:r>
    </w:p>
    <w:p>
      <w:pPr>
        <w:spacing w:after="0" w:line="13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have not paid cash dividends in the past and do not expect to pay dividends in the future. Any return on investment may be limited to the value of our common stock.</w:t>
      </w:r>
    </w:p>
    <w:p>
      <w:pPr>
        <w:spacing w:after="0" w:line="11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have never declared or paid any cash dividends on shares of our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spacing w:after="0" w:line="13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to offset future taxable income may be subject to certain limitations.</w:t>
      </w:r>
    </w:p>
    <w:p>
      <w:pPr>
        <w:spacing w:after="0" w:line="1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U.S. federal net operating loss carryforwards (“NOLs”), which expire in various years if not utilized. In addition, we have federal research and development credit carryforwards. The federal research and development credit carryforwards expire in various years if not utilized. Under Sections 382 and 383 of Internal Revenue Code of 1986, as amended (the “Code”), if a corporation undergoes an “ownership change,” the corporation’s ability to use its pre-change NOLs and other pre-change tax attributes, such as research tax credits, to offset its future post-change income and taxes may be limited. In general, an “ownership change” occurs if there is a cumulative change in our ownership by “5% shareholders” that exceeds 50 percentage points over a rolling three-year period. Similar rules may apply under state tax laws. We have not performed a formal study to determine whether any of our NOLs are subject to these limitations. We have recorded deferred tax assets for our NOLs and research and development credits and have recorded a full valuation allowance against these deferred tax assets. In the event that it is determined that we have in the past experienced additional ownership changes, or if we experience one or more ownership changes as a result of future transactions in our stock, then we may be further limited in our ability to use our NOLs and other tax assets to reduce taxes owed on the net taxable income that we earn in the event that we attain profitability. Any such limitations on the ability to use our NOLs and other tax assets could adversely impact our business, financial condition and operating results in the event that we attain profitability.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1B—UNRESOLVED STAFF COMMENTS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companies are not required to provide the information required by this Item.</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1C—CYBERSECURITY</w:t>
      </w:r>
    </w:p>
    <w:p>
      <w:pPr>
        <w:spacing w:after="0" w:line="18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Company has a cybersecurity strategy designed to protect our information systems and data from an evolving cyber-threat landscape. Our cybersecurity program, administered by the Company’s Senior Network Administrator and overseen by the Audit and Compliance Committee, has the support of executive leadership and the Board of Directors, and the Company continues to invest in cybersecurity to protect the Company’s systems.</w:t>
      </w:r>
    </w:p>
    <w:p>
      <w:pPr>
        <w:spacing w:after="0" w:line="1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cybersecurity program focuses on all areas of our business, including cloud-based environments, devices used by employees and contractors, facilities, networks, applications, vendors, disaster recovery, business continuity and controls and safeguards enabled through business processes and tools. We continuously monitor for threats and unauthorized access. We learn of security threats through automated detection solutions as well as reports from users and business partners. We draw on the knowledge and insight of external cybersecurity experts and vendors and employ an array of third-party tools to secure our information infrastructure and protect systems and information from unauthorized access.</w:t>
      </w:r>
    </w:p>
    <w:p>
      <w:pPr>
        <w:spacing w:after="0" w:line="15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As of the date of this Annual Report, we have not encountered any risks from cybersecurity threats that have materially affected or are reasonably likely to materially affect the Company, including its business strategy, results of operations, or financial condition. For more information on our cybersecurity related risks, see “Risk Factors - Risks Related to Our Industry” included elsewhere in this Annual Report on Form 10-K.</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2—PROPERTIES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own no real property. Beginning November 1, 2022, we maintain a membership providing dedicated office space, as well as shared services and shared space for meetings, catering, and other business activities, at our principal executive office located at 101 Glen Lennox Drive, Suite 300, Chapel Hill, North Carolina 27517.</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3—LEGAL PROCEEDINGS</w:t>
      </w:r>
    </w:p>
    <w:p>
      <w:pPr>
        <w:spacing w:after="0" w:line="186"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We are subject to litigation in the normal course of business, none of which management believes will have a material adverse effect on our consolidated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concerning our executive officers as of March 21, 2025:</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00" w:type="dxa"/>
            <w:vAlign w:val="bottom"/>
          </w:tcPr>
          <w:p>
            <w:pPr>
              <w:spacing w:after="0"/>
              <w:rPr>
                <w:sz w:val="20"/>
                <w:szCs w:val="20"/>
                <w:color w:val="auto"/>
              </w:rPr>
            </w:pPr>
          </w:p>
        </w:tc>
        <w:tc>
          <w:tcPr>
            <w:tcW w:w="6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08"/>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Christopher T. Giordano</w:t>
            </w:r>
          </w:p>
        </w:tc>
        <w:tc>
          <w:tcPr>
            <w:tcW w:w="660" w:type="dxa"/>
            <w:vAlign w:val="bottom"/>
            <w:gridSpan w:val="2"/>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9"/>
              </w:rPr>
              <w:t>51</w:t>
            </w:r>
          </w:p>
        </w:tc>
        <w:tc>
          <w:tcPr>
            <w:tcW w:w="100" w:type="dxa"/>
            <w:vAlign w:val="bottom"/>
            <w:shd w:val="clear" w:color="auto" w:fill="CCEEFF"/>
          </w:tcPr>
          <w:p>
            <w:pPr>
              <w:spacing w:after="0"/>
              <w:rPr>
                <w:sz w:val="18"/>
                <w:szCs w:val="18"/>
                <w:color w:val="auto"/>
              </w:rPr>
            </w:pPr>
          </w:p>
        </w:tc>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 and Director</w:t>
            </w:r>
          </w:p>
        </w:tc>
      </w:tr>
      <w:tr>
        <w:trPr>
          <w:trHeight w:val="215"/>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Thomas A. McGauley, CPA</w:t>
            </w:r>
          </w:p>
        </w:tc>
        <w:tc>
          <w:tcPr>
            <w:tcW w:w="660" w:type="dxa"/>
            <w:vAlign w:val="bottom"/>
            <w:gridSpan w:val="2"/>
          </w:tcPr>
          <w:p>
            <w:pPr>
              <w:jc w:val="center"/>
              <w:ind w:left="31"/>
              <w:spacing w:after="0"/>
              <w:rPr>
                <w:sz w:val="20"/>
                <w:szCs w:val="20"/>
                <w:color w:val="auto"/>
              </w:rPr>
            </w:pPr>
            <w:r>
              <w:rPr>
                <w:rFonts w:ascii="Times New Roman" w:cs="Times New Roman" w:eastAsia="Times New Roman" w:hAnsi="Times New Roman"/>
                <w:sz w:val="18"/>
                <w:szCs w:val="18"/>
                <w:color w:val="auto"/>
                <w:w w:val="99"/>
              </w:rPr>
              <w:t>52</w:t>
            </w:r>
          </w:p>
        </w:tc>
        <w:tc>
          <w:tcPr>
            <w:tcW w:w="100" w:type="dxa"/>
            <w:vAlign w:val="bottom"/>
          </w:tcPr>
          <w:p>
            <w:pPr>
              <w:spacing w:after="0"/>
              <w:rPr>
                <w:sz w:val="18"/>
                <w:szCs w:val="18"/>
                <w:color w:val="auto"/>
              </w:rPr>
            </w:pPr>
          </w:p>
        </w:tc>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215"/>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Stuart Rich, MD</w:t>
            </w:r>
          </w:p>
        </w:tc>
        <w:tc>
          <w:tcPr>
            <w:tcW w:w="660" w:type="dxa"/>
            <w:vAlign w:val="bottom"/>
            <w:gridSpan w:val="2"/>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9"/>
              </w:rPr>
              <w:t>75</w:t>
            </w:r>
          </w:p>
        </w:tc>
        <w:tc>
          <w:tcPr>
            <w:tcW w:w="100" w:type="dxa"/>
            <w:vAlign w:val="bottom"/>
            <w:shd w:val="clear" w:color="auto" w:fill="CCEEFF"/>
          </w:tcPr>
          <w:p>
            <w:pPr>
              <w:spacing w:after="0"/>
              <w:rPr>
                <w:sz w:val="18"/>
                <w:szCs w:val="18"/>
                <w:color w:val="auto"/>
              </w:rPr>
            </w:pPr>
          </w:p>
        </w:tc>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Medical Officer and Director</w:t>
            </w:r>
          </w:p>
        </w:tc>
      </w:tr>
    </w:tbl>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Christopher T. Giordano </w:t>
      </w:r>
      <w:r>
        <w:rPr>
          <w:rFonts w:ascii="Times New Roman" w:cs="Times New Roman" w:eastAsia="Times New Roman" w:hAnsi="Times New Roman"/>
          <w:sz w:val="18"/>
          <w:szCs w:val="18"/>
          <w:color w:val="auto"/>
        </w:rPr>
        <w:t>joined the Company as our Chief Executive Officer and a member of our Board of Directors in July 2021 and became President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Chief Executive Officer in October 2021. From March 2018 to July 2021, he served as President of IQVIA Biotech LLC and IQVIA MedTech Inc., a provider of integrated clinical and commercial solutions to medical device and small biotech companies, where he led an executive team that managed a clinical trial portfolio of several hundred active projects during his three years of leadership. Prior to that role, from August 2008 to March 2018, Mr. Giordano held roles of increasing responsibility at Quintiles Transnational Holdings Inc., a provider of pharmaceutical outsourcing services (acquired by IMS Health Holdings, Inc. in October 2016 to become IQVIA Holdings Inc.), and was most recently Global Vice President of the cardiovascular, renal, and metabolic group. From January 2001 to July 2008, Mr. Giordano served in various sales and operational roles at PPD, Inc., a global clinical research organization. Mr. Giordano holds a B.A. (</w:t>
      </w:r>
      <w:r>
        <w:rPr>
          <w:rFonts w:ascii="Times New Roman" w:cs="Times New Roman" w:eastAsia="Times New Roman" w:hAnsi="Times New Roman"/>
          <w:sz w:val="18"/>
          <w:szCs w:val="18"/>
          <w:i w:val="1"/>
          <w:iCs w:val="1"/>
          <w:color w:val="auto"/>
        </w:rPr>
        <w:t>summa cum laude</w:t>
      </w:r>
      <w:r>
        <w:rPr>
          <w:rFonts w:ascii="Times New Roman" w:cs="Times New Roman" w:eastAsia="Times New Roman" w:hAnsi="Times New Roman"/>
          <w:sz w:val="18"/>
          <w:szCs w:val="18"/>
          <w:color w:val="auto"/>
        </w:rPr>
        <w:t>) in English from the University of San Diego and a M.A. in English from the University of North Carolina at Chapel Hill.</w:t>
      </w:r>
    </w:p>
    <w:p>
      <w:pPr>
        <w:spacing w:after="0" w:line="1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Thomas McGauley </w:t>
      </w:r>
      <w:r>
        <w:rPr>
          <w:rFonts w:ascii="Times New Roman" w:cs="Times New Roman" w:eastAsia="Times New Roman" w:hAnsi="Times New Roman"/>
          <w:sz w:val="18"/>
          <w:szCs w:val="18"/>
          <w:color w:val="auto"/>
        </w:rPr>
        <w:t>joined the Company as our Interim Chief Financial Officer in December 2024. Mr. McGauley of Danforth Advisors, LLC is a senior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life sciences financial executive with an extensive background in finance, life science companies, SEC reporting, and fundraising. Since July 2021, Mr. McGauley has been a member of Danforth Advisors, LLC, providing executive financial services to several public and private companies. From 2018 to 2022, Mr. McGauley was a director at CBIZ in their accounting advisory practice. Prior to that, from 2009 to 2018, he served as the chief financial officer and a consultant to several public and private life science companies, including Galectin Therapeutics Inc. (Nasdaq: GALT), where he was the interim chief financial officer from 2012 to 2013 and the company’s financial/accounting and SEC consultant from 2009 to 2012. Prior to that, he was a senior financial executive for deCODE genetics, Inc., a formerly Nasdaq-listed company. Mr. McGauley began his financial career in public accounting working with several accounting firms, and was most recently a manager at PricewaterhouseCoopers LLP specializing in life sciences and technology companies. Prior to that, he was an officer in the U.S. Army and later the MA National Guard, ending his military career as a captain and company commander. Mr. McGauley holds a B.S.B.A in Accounting from Stonehill College and is a Certified Public Accountant in Massachusetts.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Stuart Rich, MD </w:t>
      </w:r>
      <w:r>
        <w:rPr>
          <w:rFonts w:ascii="Times New Roman" w:cs="Times New Roman" w:eastAsia="Times New Roman" w:hAnsi="Times New Roman"/>
          <w:sz w:val="18"/>
          <w:szCs w:val="18"/>
          <w:color w:val="auto"/>
        </w:rPr>
        <w:t>has served as our Chief Medical Officer since January 2021 and a director since February 2021. Dr. Rich joined the Company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PHPrecisionMed Inc. (PHPM), where he was a co-founder and held the positions of Chief Executive Officer and Director from October 2018 until PHPM’s merger with the Company in January 2021. Beginning July 2015, Dr. Rich has served as Professor of Medicine (and since 2021, Professor Emeritus) at Northwestern University Feinberg School of Medicine. He was co-founder and a Trustee of the Pulmonary Vascular Research Institute from 2006 until 2023, a U.K. based charity. From July 2015 until January 2021 he also served as the Director of the Pulmonary Vascular Disease Program at the Bluhm Cardiovascular Institute of Northwestern</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University, and since January 2006 he has served as a Director of the Cardiovascular Medical and Research Foundation, a U.S. based charity. He was a standing member of the Cardiovascular and Renal Advisory Committee of the U.S. Food and Drug Administration from 2002 through 2013. Prior to Northwestern University, Dr. Rich was Professor of Medicine at the Section of Cardiology of the University of Chicago Pritzker School of Medicine from September 2004 to July 2015. Dr. Rich also served as the Chief Medical Officer (part-time) of United Therapeutics from October 2003 until December 2004. He was Professor of Medicine at the Rush Heart Institute of the Rush University School of Medicine from July 1996 to September 2004 and Professor of Medicine and Chief of the Section of Cardiology at the University of Illinois College of Medicine in Chicago from July 1980 to July 1996. Dr. Rich received his B.S. in Biology at the University of Illinois and his M.D. at Loyola University Stritch School of Medicine, and he completed his residency in medicine at the Washington University of St. Louis and his fellowship in cardiology at the University of Chicago.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Gerald T. Proehl</w:t>
      </w:r>
      <w:r>
        <w:rPr>
          <w:rFonts w:ascii="Times New Roman" w:cs="Times New Roman" w:eastAsia="Times New Roman" w:hAnsi="Times New Roman"/>
          <w:sz w:val="18"/>
          <w:szCs w:val="18"/>
          <w:color w:val="auto"/>
        </w:rPr>
        <w:t>, Director and Chairman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Founder, President, Chief Executive Officer and Chair of the Board of Directors, Dermata Therapeutics, Inc.</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Almenoff, MD, PhD</w:t>
      </w:r>
      <w:r>
        <w:rPr>
          <w:rFonts w:ascii="Times New Roman" w:cs="Times New Roman" w:eastAsia="Times New Roman" w:hAnsi="Times New Roman"/>
          <w:sz w:val="18"/>
          <w:szCs w:val="18"/>
          <w:color w:val="auto"/>
        </w:rPr>
        <w:t>, Director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 of the Board of Directors, Avalo Therapeutics, Inc. and Actinium Pharmaceuticals, Inc.</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Venture Partner, 82 Venture Studios and Member of Investment Advisory Board, Harrington Discovery Institute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Michael Davidson, MD</w:t>
      </w:r>
      <w:r>
        <w:rPr>
          <w:rFonts w:ascii="Times New Roman" w:cs="Times New Roman" w:eastAsia="Times New Roman" w:hAnsi="Times New Roman"/>
          <w:sz w:val="18"/>
          <w:szCs w:val="18"/>
          <w:color w:val="auto"/>
        </w:rPr>
        <w:t>, Director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New Amsterdam Pharma B.V.</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Declan Doogan, MD</w:t>
      </w:r>
      <w:r>
        <w:rPr>
          <w:rFonts w:ascii="Times New Roman" w:cs="Times New Roman" w:eastAsia="Times New Roman" w:hAnsi="Times New Roman"/>
          <w:sz w:val="18"/>
          <w:szCs w:val="18"/>
          <w:color w:val="auto"/>
        </w:rPr>
        <w:t>, Director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Co-founder and Chief Medical Officer, Juvenescence Ltd.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Christopher T. Giordano</w:t>
      </w:r>
      <w:r>
        <w:rPr>
          <w:rFonts w:ascii="Times New Roman" w:cs="Times New Roman" w:eastAsia="Times New Roman" w:hAnsi="Times New Roman"/>
          <w:sz w:val="18"/>
          <w:szCs w:val="18"/>
          <w:color w:val="auto"/>
        </w:rPr>
        <w:t>, Chief Executive Officer, President and Director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Tenax Therapeutics, Inc.</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Robyn M. Hunter</w:t>
      </w:r>
      <w:r>
        <w:rPr>
          <w:rFonts w:ascii="Times New Roman" w:cs="Times New Roman" w:eastAsia="Times New Roman" w:hAnsi="Times New Roman"/>
          <w:sz w:val="18"/>
          <w:szCs w:val="18"/>
          <w:color w:val="auto"/>
        </w:rPr>
        <w:t>, Director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Chief Financial Officer, Sotio Biotech Inc.</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Stuart Rich, MD</w:t>
      </w:r>
      <w:r>
        <w:rPr>
          <w:rFonts w:ascii="Times New Roman" w:cs="Times New Roman" w:eastAsia="Times New Roman" w:hAnsi="Times New Roman"/>
          <w:sz w:val="18"/>
          <w:szCs w:val="18"/>
          <w:color w:val="auto"/>
        </w:rPr>
        <w:t>, Chief Medical Officer and Director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Tenax Therapeutics, Inc.</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ITEM 5—MARKET FOR REGISTRANT’S COMMON EQUITY, RELATED STOCKHOLDER MATTERS AND ISSUER PURCHASES OF EQUITY SECURITIES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Information and Number of Stockholders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“TENX”.</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upon information furnished by our transfer agent, as of March 21, 2025, there were 1,337 holders of record of our common stock.</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Policy</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have never declared dividends on our equity securities, and currently do not plan to declare dividends on shares of our common stock in the foreseeable future. We expect to retain our future earnings, if any, for use in the operation and expansion of our business. Subject to the foregoing, the payment of cash dividends in the future, if any, will be at the discretion of our Board of Directors and will depend upon such factors as earnings levels, capital requirements, our overall financial condition and any other factors deemed relevant by our Board.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Repurchases of Common Stock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18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During the year ended December 31, 2024, we did not issue or sell any unregistered securities not previously disclosed in a Quarterly Report on Form 10-Q or in a Current Report on Form 8-K.</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6—RESERVED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7—MANAGEMENT’S DISCUSSION AND ANALYSIS OF FINANCIAL CONDITION AND RESULTS OF OPERATIONS</w:t>
      </w:r>
    </w:p>
    <w:p>
      <w:pPr>
        <w:spacing w:after="0" w:line="18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together with the consolidated financial statements and the related notes to those statements included in Part II, Item 8 – “Financial Statements and Supplementary Data”. This discussion contains forward-looking statements that involve risks and uncertainties. As a result of many factors, such as those set forth under “Risk Factors” and elsewhere in this Annual Report on Form 10-K, our actual results may differ materially from those anticipated in these forward-looking statements.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Tenax Therapeutics is a clinical-stage pharmaceutical company using clinical insights to develop novel cardiopulmonary therapies. We employ a clinician-focused drug development approach, led by key opinion leaders and heart failure experts and informed by their clinical insights to precisely target disease pathophysiology. We are currently actively conducting the LEVEL clinical trial to evaluate levosimendan as our prioritized product candidate, and have deprioritized a Phase 3 clinical trial of imatinib, two drugs supported by promising evidence that they may significantly improve the lives of patients with pulmonary hypertension. Importantly, both levosimendan and imatinib have already been approved in other indications and prescribed around the world for more than 20 years, and we believe their mechanisms of action are uniquely suitable to target and treat pulmonary hypertension. We believe this derisked approach of using already-approved drugs that provide well-established safety profiles from millions of patients, combined with a development path led by preeminent cardiology and pulmonary hypertension experts, puts us in a strong position to deliver breakthrough cardiopulmonary therapies designed to improve patients’ function and quality of life.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Events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August 2024, we closed a private placement financing (the “August 2024 Offering”) raising gross proceeds of approximately $100 million and in March 2025 we closed a private placement financing (“the March 2025 Offering”) raising gross proceeds of $25.0 million. We intend to use the net proceeds from the August 2024 and March 2025 Offerings to advance our Phase 3 oral levosimendan program, by completing our ongoing Phase 3 LEVEL study and initiating a second planned global Phase 3 study, LEVEL-2. We intend to submit marketing authorization applications following completion of the two Phase 3 trials of levosimendan and, when appropriate, a single Phase 3 trial of imatinib. Given our resources on December 31, 2024 and gross proceeds of $25.0 million from our March 2025 offering, we believe we can continue our operations for at least the next 12 months.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2024 and 2023 (in thousands)</w:t>
            </w:r>
          </w:p>
        </w:tc>
        <w:tc>
          <w:tcPr>
            <w:tcW w:w="1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429"/>
        </w:trPr>
        <w:tc>
          <w:tcPr>
            <w:tcW w:w="3640" w:type="dxa"/>
            <w:vAlign w:val="bottom"/>
          </w:tcPr>
          <w:p>
            <w:pPr>
              <w:spacing w:after="0"/>
              <w:rPr>
                <w:sz w:val="24"/>
                <w:szCs w:val="24"/>
                <w:color w:val="auto"/>
              </w:rPr>
            </w:pPr>
          </w:p>
        </w:tc>
        <w:tc>
          <w:tcPr>
            <w:tcW w:w="3580" w:type="dxa"/>
            <w:vAlign w:val="bottom"/>
            <w:tcBorders>
              <w:bottom w:val="single" w:sz="8" w:color="auto"/>
            </w:tcBorders>
            <w:gridSpan w:val="4"/>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The year ended December 31,</w:t>
            </w:r>
          </w:p>
        </w:tc>
        <w:tc>
          <w:tcPr>
            <w:tcW w:w="540" w:type="dxa"/>
            <w:vAlign w:val="bottom"/>
          </w:tcPr>
          <w:p>
            <w:pPr>
              <w:spacing w:after="0"/>
              <w:rPr>
                <w:sz w:val="24"/>
                <w:szCs w:val="24"/>
                <w:color w:val="auto"/>
              </w:rPr>
            </w:pPr>
          </w:p>
        </w:tc>
        <w:tc>
          <w:tcPr>
            <w:tcW w:w="128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00" w:type="dxa"/>
            <w:vAlign w:val="bottom"/>
          </w:tcPr>
          <w:p>
            <w:pPr>
              <w:spacing w:after="0"/>
              <w:rPr>
                <w:sz w:val="24"/>
                <w:szCs w:val="24"/>
                <w:color w:val="auto"/>
              </w:rPr>
            </w:pPr>
          </w:p>
        </w:tc>
        <w:tc>
          <w:tcPr>
            <w:tcW w:w="156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 Increase/</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8"/>
        </w:trPr>
        <w:tc>
          <w:tcPr>
            <w:tcW w:w="3640" w:type="dxa"/>
            <w:vAlign w:val="bottom"/>
          </w:tcPr>
          <w:p>
            <w:pPr>
              <w:spacing w:after="0"/>
              <w:rPr>
                <w:sz w:val="18"/>
                <w:szCs w:val="18"/>
                <w:color w:val="auto"/>
              </w:rPr>
            </w:pPr>
          </w:p>
        </w:tc>
        <w:tc>
          <w:tcPr>
            <w:tcW w:w="15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Pr>
          <w:p>
            <w:pPr>
              <w:spacing w:after="0"/>
              <w:rPr>
                <w:sz w:val="18"/>
                <w:szCs w:val="18"/>
                <w:color w:val="auto"/>
              </w:rPr>
            </w:pPr>
          </w:p>
        </w:tc>
        <w:tc>
          <w:tcPr>
            <w:tcW w:w="1280" w:type="dxa"/>
            <w:vAlign w:val="bottom"/>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00" w:type="dxa"/>
            <w:vAlign w:val="bottom"/>
          </w:tcPr>
          <w:p>
            <w:pPr>
              <w:spacing w:after="0"/>
              <w:rPr>
                <w:sz w:val="18"/>
                <w:szCs w:val="18"/>
                <w:color w:val="auto"/>
              </w:rPr>
            </w:pPr>
          </w:p>
        </w:tc>
        <w:tc>
          <w:tcPr>
            <w:tcW w:w="156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08"/>
        </w:trPr>
        <w:tc>
          <w:tcPr>
            <w:tcW w:w="3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expenses:</w:t>
            </w:r>
          </w:p>
        </w:tc>
        <w:tc>
          <w:tcPr>
            <w:tcW w:w="15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r>
      <w:tr>
        <w:trPr>
          <w:trHeight w:val="215"/>
        </w:trPr>
        <w:tc>
          <w:tcPr>
            <w:tcW w:w="36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12,709</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9,480</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540" w:type="dxa"/>
            <w:vAlign w:val="bottom"/>
            <w:gridSpan w:val="2"/>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364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6,785</w:t>
            </w:r>
          </w:p>
        </w:tc>
        <w:tc>
          <w:tcPr>
            <w:tcW w:w="5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5,005</w:t>
            </w:r>
          </w:p>
        </w:tc>
        <w:tc>
          <w:tcPr>
            <w:tcW w:w="54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0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3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19,494</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8,234</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11,260</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540" w:type="dxa"/>
            <w:vAlign w:val="bottom"/>
            <w:gridSpan w:val="2"/>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3302635</wp:posOffset>
            </wp:positionH>
            <wp:positionV relativeFrom="paragraph">
              <wp:posOffset>-156210</wp:posOffset>
            </wp:positionV>
            <wp:extent cx="679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4580890</wp:posOffset>
            </wp:positionH>
            <wp:positionV relativeFrom="paragraph">
              <wp:posOffset>-156210</wp:posOffset>
            </wp:positionV>
            <wp:extent cx="6794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-156210</wp:posOffset>
            </wp:positionV>
            <wp:extent cx="6794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6797040</wp:posOffset>
            </wp:positionH>
            <wp:positionV relativeFrom="paragraph">
              <wp:posOffset>-156210</wp:posOffset>
            </wp:positionV>
            <wp:extent cx="6794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Research and development expenses were $12.7 million for the year ended December 31, 2024 as compared to $3.2 million for the same period in the prior year. Research and development expenses include, but are not limited to, (i) expenses incurred under agreements with CROs and investigative sites, which conduct a substantial portion of our pre-clinical and our clinical studies; (ii) the cost of supplying clinical trial materials; (iii) payments to contract service organizations as well as consultants; (iv) employee-related expenses, which include salaries and benefits; and (v) facilities, depreciation and other allocated expenses, which include direct and allocated expenses for rent and maintenance of facilities and equipment, depreciation of leasehold improvements, equipment, and other supplies. All research and development expenses are expensed as incurred. Research and development expenses and percentage changes for the years ended December 31, 2024 and 2023, respectively, are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80" w:type="dxa"/>
            <w:vAlign w:val="bottom"/>
          </w:tcPr>
          <w:p>
            <w:pPr>
              <w:spacing w:after="0"/>
              <w:rPr>
                <w:sz w:val="20"/>
                <w:szCs w:val="20"/>
                <w:color w:val="auto"/>
              </w:rPr>
            </w:pPr>
          </w:p>
        </w:tc>
        <w:tc>
          <w:tcPr>
            <w:tcW w:w="1240" w:type="dxa"/>
            <w:vAlign w:val="bottom"/>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34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 Increase/</w:t>
            </w:r>
          </w:p>
        </w:tc>
        <w:tc>
          <w:tcPr>
            <w:tcW w:w="240" w:type="dxa"/>
            <w:vAlign w:val="bottom"/>
          </w:tcPr>
          <w:p>
            <w:pPr>
              <w:spacing w:after="0"/>
              <w:rPr>
                <w:sz w:val="20"/>
                <w:szCs w:val="20"/>
                <w:color w:val="auto"/>
              </w:rPr>
            </w:pPr>
          </w:p>
        </w:tc>
      </w:tr>
      <w:tr>
        <w:trPr>
          <w:trHeight w:val="208"/>
        </w:trPr>
        <w:tc>
          <w:tcPr>
            <w:tcW w:w="5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tcPr>
          <w:p>
            <w:pPr>
              <w:spacing w:after="0"/>
              <w:rPr>
                <w:sz w:val="18"/>
                <w:szCs w:val="18"/>
                <w:color w:val="auto"/>
              </w:rPr>
            </w:pPr>
          </w:p>
        </w:tc>
        <w:tc>
          <w:tcPr>
            <w:tcW w:w="124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340" w:type="dxa"/>
            <w:vAlign w:val="bottom"/>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240" w:type="dxa"/>
            <w:vAlign w:val="bottom"/>
          </w:tcPr>
          <w:p>
            <w:pPr>
              <w:spacing w:after="0"/>
              <w:rPr>
                <w:sz w:val="18"/>
                <w:szCs w:val="18"/>
                <w:color w:val="auto"/>
              </w:rPr>
            </w:pPr>
          </w:p>
        </w:tc>
      </w:tr>
      <w:tr>
        <w:trPr>
          <w:trHeight w:val="208"/>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Clinical and preclinical development</w:t>
            </w:r>
          </w:p>
        </w:tc>
        <w:tc>
          <w:tcPr>
            <w:tcW w:w="2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11,125</w:t>
            </w:r>
          </w:p>
        </w:tc>
        <w:tc>
          <w:tcPr>
            <w:tcW w:w="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8,815</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Salary and benefits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380" w:type="dxa"/>
            <w:vAlign w:val="bottom"/>
          </w:tcPr>
          <w:p>
            <w:pPr>
              <w:spacing w:after="0"/>
              <w:rPr>
                <w:sz w:val="18"/>
                <w:szCs w:val="18"/>
                <w:color w:val="auto"/>
              </w:rPr>
            </w:pPr>
          </w:p>
        </w:tc>
        <w:tc>
          <w:tcPr>
            <w:tcW w:w="12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218</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286</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costs</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380" w:type="dxa"/>
            <w:vAlign w:val="bottom"/>
          </w:tcPr>
          <w:p>
            <w:pPr>
              <w:spacing w:after="0"/>
              <w:rPr>
                <w:sz w:val="20"/>
                <w:szCs w:val="20"/>
                <w:color w:val="auto"/>
              </w:rPr>
            </w:pPr>
          </w:p>
        </w:tc>
        <w:tc>
          <w:tcPr>
            <w:tcW w:w="12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161</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6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Clinical and preclinical development costs increased $8.8 million for the year ended December 31, 2024 as compared to the same period in the prior year. Clinical and preclinical development costs for 2024, consists of expenses associated with our Phase 3 LEVEL trial for oral levosimendan, compared with costs for 2023, associated primarily with our Phase 2 HELP Open Label Extension Study for levosimendan, and imatinib formulation development.</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Salary and benefits expense increased $218 thousand for the year ended December 31, 2024 as compared to the same period in the prior year primarily due to higher salaries and bonuses in 2024. Stock-based compensation expense increased $286 thousand for the year ended December 31, 2024 due to stock option grants made in 2024.</w:t>
      </w:r>
    </w:p>
    <w:p>
      <w:pPr>
        <w:spacing w:after="0" w:line="13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Other costs increased $161 thousand for the year ended December 31, 2024 as compared to the same period in the prior year, primarily due to higher regulatory costs over the prior year as we expanded our clinical trial during 2024.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0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General and administrative expenses were $6.8 million for the year ended December 31, 2024, compared to $5.0 million for the same period in 2023. General and administrative expenses consist primarily of compensation for executive, finance, legal and administrative personnel, including stock-based compensation. Other general and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administrative expenses include facility costs not otherwise included in research and development expenses, legal and accounting services, and other professional and consulting services. General and administrative expenses and percentage changes for the years ended December 31, 2024 and 2023, respectively, are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300" w:type="dxa"/>
            <w:vAlign w:val="bottom"/>
          </w:tcPr>
          <w:p>
            <w:pPr>
              <w:spacing w:after="0"/>
              <w:rPr>
                <w:sz w:val="18"/>
                <w:szCs w:val="18"/>
                <w:color w:val="auto"/>
              </w:rPr>
            </w:pPr>
          </w:p>
        </w:tc>
        <w:tc>
          <w:tcPr>
            <w:tcW w:w="2740" w:type="dxa"/>
            <w:vAlign w:val="bottom"/>
            <w:tcBorders>
              <w:bottom w:val="single" w:sz="8" w:color="auto"/>
            </w:tcBorders>
            <w:gridSpan w:val="5"/>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80" w:type="dxa"/>
            <w:vAlign w:val="bottom"/>
          </w:tcPr>
          <w:p>
            <w:pPr>
              <w:spacing w:after="0"/>
              <w:rPr>
                <w:sz w:val="18"/>
                <w:szCs w:val="18"/>
                <w:color w:val="auto"/>
              </w:rPr>
            </w:pPr>
          </w:p>
        </w:tc>
        <w:tc>
          <w:tcPr>
            <w:tcW w:w="1240" w:type="dxa"/>
            <w:vAlign w:val="bottom"/>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34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 Increase/</w:t>
            </w:r>
          </w:p>
        </w:tc>
        <w:tc>
          <w:tcPr>
            <w:tcW w:w="240" w:type="dxa"/>
            <w:vAlign w:val="bottom"/>
          </w:tcPr>
          <w:p>
            <w:pPr>
              <w:spacing w:after="0"/>
              <w:rPr>
                <w:sz w:val="18"/>
                <w:szCs w:val="18"/>
                <w:color w:val="auto"/>
              </w:rPr>
            </w:pPr>
          </w:p>
        </w:tc>
      </w:tr>
      <w:tr>
        <w:trPr>
          <w:trHeight w:val="208"/>
        </w:trPr>
        <w:tc>
          <w:tcPr>
            <w:tcW w:w="530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tcPr>
          <w:p>
            <w:pPr>
              <w:spacing w:after="0"/>
              <w:rPr>
                <w:sz w:val="18"/>
                <w:szCs w:val="18"/>
                <w:color w:val="auto"/>
              </w:rPr>
            </w:pPr>
          </w:p>
        </w:tc>
        <w:tc>
          <w:tcPr>
            <w:tcW w:w="124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340" w:type="dxa"/>
            <w:vAlign w:val="bottom"/>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240" w:type="dxa"/>
            <w:vAlign w:val="bottom"/>
          </w:tcPr>
          <w:p>
            <w:pPr>
              <w:spacing w:after="0"/>
              <w:rPr>
                <w:sz w:val="18"/>
                <w:szCs w:val="18"/>
                <w:color w:val="auto"/>
              </w:rPr>
            </w:pPr>
          </w:p>
        </w:tc>
      </w:tr>
      <w:tr>
        <w:trPr>
          <w:trHeight w:val="208"/>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Salary and benefits</w:t>
            </w:r>
          </w:p>
        </w:tc>
        <w:tc>
          <w:tcPr>
            <w:tcW w:w="820" w:type="dxa"/>
            <w:vAlign w:val="bottom"/>
            <w:shd w:val="clear" w:color="auto" w:fill="CFF0FC"/>
          </w:tcPr>
          <w:p>
            <w:pPr>
              <w:jc w:val="right"/>
              <w:ind w:right="63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2,257</w:t>
            </w:r>
          </w:p>
        </w:tc>
        <w:tc>
          <w:tcPr>
            <w:tcW w:w="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271</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380" w:type="dxa"/>
            <w:vAlign w:val="bottom"/>
          </w:tcPr>
          <w:p>
            <w:pPr>
              <w:spacing w:after="0"/>
              <w:rPr>
                <w:sz w:val="18"/>
                <w:szCs w:val="18"/>
                <w:color w:val="auto"/>
              </w:rPr>
            </w:pPr>
          </w:p>
        </w:tc>
        <w:tc>
          <w:tcPr>
            <w:tcW w:w="12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648</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Legal and professional fees</w:t>
            </w:r>
          </w:p>
        </w:tc>
        <w:tc>
          <w:tcPr>
            <w:tcW w:w="82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2,692</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725</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costs</w:t>
            </w:r>
          </w:p>
        </w:tc>
        <w:tc>
          <w:tcPr>
            <w:tcW w:w="8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380" w:type="dxa"/>
            <w:vAlign w:val="bottom"/>
          </w:tcPr>
          <w:p>
            <w:pPr>
              <w:spacing w:after="0"/>
              <w:rPr>
                <w:sz w:val="20"/>
                <w:szCs w:val="20"/>
                <w:color w:val="auto"/>
              </w:rPr>
            </w:pPr>
          </w:p>
        </w:tc>
        <w:tc>
          <w:tcPr>
            <w:tcW w:w="12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136</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Salary and benefits expense increased $271 thousand for the year ended December 31, 2024 compared to the same period in the prior year due primarily to higher salaries and bonuses. Stock-based compensation expense increased $648 thousand for the year ended December 31, 2024 due to stock option grants in 2024.</w:t>
      </w:r>
    </w:p>
    <w:p>
      <w:pPr>
        <w:spacing w:after="0" w:line="13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Legal fees consist of the cost of our legal counsel as well as legal costs related to our intellectual property. Professional fees consist of the costs incurred for accounting fees, capital market expenses, consulting fees and investor relations services, as well as fees paid to the members of our Board of Directors. Legal and professional fees increased $725 thousand for the year ended December 31, 2024 compared to the same period in the prior year primarily related to increased capital market expenses, consulting expenses, and accounting expenses, offset by a decrease in intellectual property related legal costs.</w:t>
      </w:r>
    </w:p>
    <w:p>
      <w:pPr>
        <w:spacing w:after="0" w:line="14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Other costs increased $136 thousand for the year ended December 31, 2024 compared to the same period in the prior year. Other costs include expenses incurred for franchise and other taxes, travel, supplies, insurance, depreciation and other miscellaneous charges. The increase was primarily attributable to increased costs for franchise and other taxes.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 Net</w:t>
      </w:r>
    </w:p>
    <w:p>
      <w:pPr>
        <w:spacing w:after="0" w:line="18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Other income and expenses include non-operating income and expense items. These items include but are not limited to interest income earned and fixed asset disposals. Other income increased $1.4 million for the year ended December 31, 2024 compared to the prior year due to higher interest income on increased cash deposits as a result of the August 2024 Offering.</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incurred losses since our inception and, as of December 31, 2024, we had an accumulated deficit of $314.9 million. We will continue to incur losses until we generate sufficient revenue to offset our expenses, and we anticipate that we will continue to incur net losses for at least the next several years. We expect to incur additional expenses related to our development and potential commercialization of levosimendan and, over the long term, imatinib for PAH, and other potential indications, as well as identifying and developing other potential product candidates, and as a result, we will need to generate significant net product sales, royalty and other revenues to achieve profitability.</w:t>
      </w:r>
    </w:p>
    <w:p>
      <w:pPr>
        <w:spacing w:after="0" w:line="14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process of conducting preclinical studies and clinical trials necessary to obtain approval from the FDA is costly and time consuming. The probability of success for each product candidate and clinical trial may be affected by a variety of factors, including, among other things, the quality of the product candidate’s early clinical data, investment in the program, competition, manufacturing capabilities and commercial viability. As a result of the uncertainties discussed above, uncertainty associated with clinical trial enrollment and risks inherent in the development process, we are unable to determine the duration and completion costs of current or future clinical stages of our product candidates or when, or to what extent, we will generate revenues from the commercialization and sale of any of our product candidates. Development timelines, probability of success and development costs vary widely. We are currently focused on developing our two product candidates, levosimendan and imatinib, and have prioritized levosimendan; however, we will need substantial additional capital in the future in order to finalize the development of levosimendan, commence its commercialization, potentially develop imatinib, and to continue with the development of other potential product candidates.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have financed our operations since September 1990 through the issuance of debt and equity securities and loans from stockholders. We had total current assets of $96.7 million and $11.7 million and working capital of $92.0 million and $8.1 million as of December 31, 2024 and December 31, 2023, respectively. Our practice is to invest excess cash, where available, in short-term money market investment instruments and high quality corporate and government bonds.</w:t>
      </w:r>
    </w:p>
    <w:p>
      <w:pPr>
        <w:spacing w:after="0" w:line="15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are currently conducting the LEVEL trial and intend to recruit patients through approximately the end of 2025. Our ability to continue to pursue development of our products, including completion of a second Phase 3 oral levosimendan trial, beyond 2027, will depend on obtaining license income, income from warrants exercised by investors should they elect to do so, or outside financial resources. There is no assurance that we will obtain any license agreement or outside financing or that we will otherwise succeed in obtaining any necessary resources.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Financings</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8, 2024, we sold in the August 2024 Offering an aggregate of 1,450,661 shares of our common stock, and Pre-Funded Warrants to purchase 31,882,671 shares of our common stock, along with accompanying Warrants to purchase up to 16,666,666 shares of our common stock. The purchase price for each share and accompanying Warrant was $3.00, with the accompanying Warrant having an exercise price of $4.50 (provided, the purchase price for each Pre-Funded Warrant and accompanying Warrant was $2.99, with the Pre-Funded Warrants having an exercise price of $0.01). Gross proceeds from the August 2024 Offering were $99.7 million, before deducting the placement agent fees and estimated offering expenses payable by the Company. Net proceeds from the offering were $92.3 million, after deducting the placement agent fees and offering expenses payable by the Company.</w:t>
      </w:r>
    </w:p>
    <w:p>
      <w:pPr>
        <w:spacing w:after="0" w:line="1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8, 2024, we sold in a registered public offering (the “February 2024 Offering”) (i) an aggregate of 421,260 shares of our common stock and pre-funded warrants to purchase an aggregate of 1,178,740 shares of our common stock and (ii) accompanying warrants to purchase up to an aggregate of 3,200,000 shares of our common stock at a combined offering price of $5.65 per share of common stock and accompanying warrant, or $5.649 per pre-funded warrant and accompanying warrant, resulting in gross proceeds to the Company of $9.0 million. Net proceeds of the offering were $8.0 million, after deducting the placement agent fees and offering expenses payable by the Company.</w:t>
      </w:r>
    </w:p>
    <w:p>
      <w:pPr>
        <w:spacing w:after="0" w:line="1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3, 2023, we sold in a registered public offering (the "February 2023 Offering") (i) an aggregate of 86,994 shares of our common stock and pre-funded warrants to purchase an aggregate of 21,341 shares of our common stock and (ii) accompanying warrants to purchase up to an aggregate of 216,667 shares of our common stock at a combined offering price of $144.00 per share of common stock and accompanying warrant, or $143.92 per pre-funded warrant and accompanying warrant, resulting in gross proceeds to the Company of $15.6 million. Net proceeds of the offering were $14.1 million, after deducting the placement agent fees and offering expenses payable by the Company.</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7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Cash Flows</w:t>
            </w: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3"/>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periods indicated (in thousands):</w:t>
            </w: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9"/>
        </w:trPr>
        <w:tc>
          <w:tcPr>
            <w:tcW w:w="7740" w:type="dxa"/>
            <w:vAlign w:val="bottom"/>
          </w:tcPr>
          <w:p>
            <w:pPr>
              <w:spacing w:after="0"/>
              <w:rPr>
                <w:sz w:val="24"/>
                <w:szCs w:val="24"/>
                <w:color w:val="auto"/>
              </w:rPr>
            </w:pPr>
          </w:p>
        </w:tc>
        <w:tc>
          <w:tcPr>
            <w:tcW w:w="2840" w:type="dxa"/>
            <w:vAlign w:val="bottom"/>
            <w:tcBorders>
              <w:bottom w:val="single" w:sz="8" w:color="auto"/>
            </w:tcBorders>
            <w:gridSpan w:val="4"/>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774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80" w:type="dxa"/>
            <w:vAlign w:val="bottom"/>
            <w:shd w:val="clear" w:color="auto" w:fill="CFF0FC"/>
          </w:tcPr>
          <w:p>
            <w:pPr>
              <w:jc w:val="right"/>
              <w:ind w:right="791"/>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3"/>
            <w:shd w:val="clear" w:color="auto" w:fill="CFF0FC"/>
          </w:tcPr>
          <w:p>
            <w:pPr>
              <w:jc w:val="right"/>
              <w:ind w:right="811"/>
              <w:spacing w:after="0"/>
              <w:rPr>
                <w:sz w:val="20"/>
                <w:szCs w:val="20"/>
                <w:color w:val="auto"/>
              </w:rPr>
            </w:pPr>
            <w:r>
              <w:rPr>
                <w:rFonts w:ascii="Times New Roman" w:cs="Times New Roman" w:eastAsia="Times New Roman" w:hAnsi="Times New Roman"/>
                <w:sz w:val="18"/>
                <w:szCs w:val="18"/>
                <w:color w:val="auto"/>
              </w:rPr>
              <w:t>(14,811 )   $</w:t>
            </w: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(5,904 )</w:t>
            </w:r>
          </w:p>
        </w:tc>
      </w:tr>
      <w:tr>
        <w:trPr>
          <w:trHeight w:val="215"/>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r>
      <w:tr>
        <w:trPr>
          <w:trHeight w:val="215"/>
        </w:trPr>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99,870</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13,569</w:t>
            </w:r>
          </w:p>
        </w:tc>
        <w:tc>
          <w:tcPr>
            <w:tcW w:w="100" w:type="dxa"/>
            <w:vAlign w:val="bottom"/>
            <w:shd w:val="clear" w:color="auto" w:fill="CFF0FC"/>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84"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8"/>
          <w:szCs w:val="18"/>
          <w:color w:val="auto"/>
        </w:rPr>
        <w:t>Net cash used in operating activities was $14.8 million for the year ended December 31, 2024 compared to $5.9 million for the year ended December 31, 2023. The increase in cash used for operating activities was primarily due to higher study expense activity in the year ended December 31, 2024 as compared to the prior year.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There was no net cash provided or consumed by investing activities for the year ended December 31, 2024, compared to net cash provided by investing activities of $3 thousand in the year ended December 31, 2023 from the sale of office furniture when the Company relocated its' headquarters.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8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Net cash provided by financing activities was $99.9 million for the year ended December 31, 2024, compared to $13.6 million in the year ended December 31, 2023. The increase in cash provided by financing activities was due to higher net proceeds received from the August 2024 Offering and February 2024 Offering, compared to the February 2023 Offering.</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Capital and Capital Expenditure Requirements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that include, but are not limited to the following:</w:t>
      </w:r>
    </w:p>
    <w:p>
      <w:pPr>
        <w:spacing w:after="0" w:line="182" w:lineRule="exact"/>
        <w:rPr>
          <w:sz w:val="20"/>
          <w:szCs w:val="20"/>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design, progress, timing and completion of clinical trials for our product candidates and potential product candidates;</w:t>
      </w:r>
    </w:p>
    <w:p>
      <w:pPr>
        <w:spacing w:after="0" w:line="2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regulatory approvals and the regulatory approval process;</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that may be caused by changing regulatory requirements;</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product candidates we pursue;</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filing and prosecuting patent applications and enforcing and defending patent claims;</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terms of future collaboration, licensing, consulting or other arrangements that we may enter into;</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establishing sales, marketing, manufacturing and distribution capabilities;</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procuring clinical and commercial supplies of our product candidates;</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businesses, products or technologies; and</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costs of litigation.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our working capital on December 31, 2024, we believe we have sufficient capital on hand to continue to fund operations through 2027.</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8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Since our inception, we have not engaged in any off-balance sheet arrangements, including the use of structured finance, special purpose entities or variable interest entities.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Critical Accounting Policies</w:t>
      </w:r>
    </w:p>
    <w:p>
      <w:pPr>
        <w:spacing w:after="0" w:line="19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Use of Estimates</w:t>
      </w:r>
      <w:r>
        <w:rPr>
          <w:rFonts w:ascii="Times New Roman" w:cs="Times New Roman" w:eastAsia="Times New Roman" w:hAnsi="Times New Roman"/>
          <w:sz w:val="18"/>
          <w:szCs w:val="18"/>
          <w:color w:val="auto"/>
        </w:rPr>
        <w:t>—The preparation of the accompanying consolidated financial statements in conformity with accounting principles generally accepted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United States of America, or GAAP, requires management to make certain estimates and assumptions that affect the reported amounts of assets and liabilities and disclosure of contingent assets and liabilities at the date of the consolidated financial statements and reported amounts of expenses during the reporting period. Actual results could differ from those estimates.</w:t>
      </w:r>
    </w:p>
    <w:p>
      <w:pPr>
        <w:spacing w:after="0" w:line="14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i w:val="1"/>
          <w:iCs w:val="1"/>
          <w:color w:val="auto"/>
        </w:rPr>
        <w:t>Preclinical Study and Clinical Accruals</w:t>
      </w:r>
      <w:r>
        <w:rPr>
          <w:rFonts w:ascii="Times New Roman" w:cs="Times New Roman" w:eastAsia="Times New Roman" w:hAnsi="Times New Roman"/>
          <w:sz w:val="18"/>
          <w:szCs w:val="18"/>
          <w:color w:val="auto"/>
        </w:rPr>
        <w:t>—We estimate our preclinical study and clinical trial expenses based on the services received pursuant to contracts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several research institutions and CROs that conduct and manage preclinical and clinical trials on our behalf. The financial terms of the agreements vary from contract to contract and may result in uneven expenses and payment flows. Preclinical study and clinical trial expenses include the following:</w:t>
      </w:r>
    </w:p>
    <w:p>
      <w:pPr>
        <w:spacing w:after="0" w:line="135" w:lineRule="exact"/>
        <w:rPr>
          <w:sz w:val="20"/>
          <w:szCs w:val="20"/>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CROs in connection with clinical trials;</w:t>
      </w:r>
    </w:p>
    <w:p>
      <w:pPr>
        <w:spacing w:after="0" w:line="2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research institutions in conjunction with preclinical research studies; and</w:t>
      </w:r>
    </w:p>
    <w:p>
      <w:pPr>
        <w:spacing w:after="0" w:line="7" w:lineRule="exact"/>
        <w:rPr>
          <w:rFonts w:ascii="Times New Roman" w:cs="Times New Roman" w:eastAsia="Times New Roman" w:hAnsi="Times New Roman"/>
          <w:sz w:val="18"/>
          <w:szCs w:val="18"/>
          <w:color w:val="auto"/>
        </w:rPr>
      </w:pPr>
    </w:p>
    <w:p>
      <w:pPr>
        <w:ind w:left="760" w:hanging="378"/>
        <w:spacing w:after="0" w:line="257"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contract manufacturers and service providers in connection with the production and testing of active pharmaceutical ingredients and drug materials for use in preclinical studies and clinical trials.</w:t>
      </w:r>
    </w:p>
    <w:p>
      <w:pPr>
        <w:spacing w:after="0" w:line="15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i w:val="1"/>
          <w:iCs w:val="1"/>
          <w:color w:val="auto"/>
        </w:rPr>
        <w:t>Warrants for Common Shares and Derivative Financial Instruments</w:t>
      </w:r>
      <w:r>
        <w:rPr>
          <w:rFonts w:ascii="Times New Roman" w:cs="Times New Roman" w:eastAsia="Times New Roman" w:hAnsi="Times New Roman"/>
          <w:sz w:val="18"/>
          <w:szCs w:val="18"/>
          <w:color w:val="auto"/>
        </w:rPr>
        <w:t>—Warrants for shares of common stock and other derivative financial instruments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classified as equity if the contracts: (i) require physical settlement or net-share settlement or (ii) give the Company a choice of net-cash settlement or settlement in its own shares (physical settlement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or net-share settlement). Contracts are classified as equity or liabilities if the contracts: (i) require net-cash settlement (including a requirement to net cash settle the contract if an event occurs and if that event is outside the control of the Company), (ii) give the counterparty a choice of net-cash settlement or settlement in shares (physical settlement or net-share settlement), or (iii) contain reset provisions that do not qualify for the scope exception. The Company assesses the classification of its warrants for shares of common stock and other derivatives at each reporting date to determine whether a change in classification between equity and liabilities is required.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In November 2023, the Financial Accounting Standards Board (FASB) issued Accounting Standards Update (ASU) 2023-07, Segment Reporting (Topic 280): Improvements to Reportable Segment Disclosures, which is intended to provide enhanced segment disclosures. The standard will require disclosures about significant segment expenses and other segment items and identifying the Chief Operating Decision Maker ("CODM") and how they use the reported segment profitability measures to assess segment performance and allocate resources. These enhanced disclosures are required for all entities on an interim and annual basis, even if they have only a single reportable segment. The standard is effective for years beginning after December 15, 2023, and interim periods within annual periods beginning after December 15, 2024. Adopting this standard for the year ended December 31, 2024 resulted in enhanced disclosures but did not have a material impact on the Company's consolidated financial statements. The Company operates in one reportable segment, which is focused on identifying and developing therapeutics that address cardiovascular and pulmonary diseases with high unmet medical need. The determination of a single reportable segment is consistent with the consolidated financial information regularly provided to the Company’s CODM, which is its President and Chief Executive Officer, who reviews and evaluates consolidated net income (loss) for purposes of assessing performance, making operating decisions, allocating resources and planning and forecasting for future periods. The measure of segment assets is reported on the balance sheet as total assets.</w:t>
      </w:r>
    </w:p>
    <w:p>
      <w:pPr>
        <w:spacing w:after="0" w:line="13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is intended to provide enhancements to annual income tax disclosures. The standard will require more detailed information in the rate reconciliation table and for income taxes paid, among other enhancements. The standard is effective for years beginning after December 15, 2024 and early adoption is permitted. The Company is evaluating this standard to determine if adoption will have a material impact on the Company’s consolidated financial statements.</w:t>
      </w:r>
    </w:p>
    <w:p>
      <w:pPr>
        <w:spacing w:after="0" w:line="15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(Topic 220-40), which addresses the disaggregation of income statement expenses. This standard is effective for annual reporting periods beginning after December 15, 2026, and interim reporting periods beginning after December 15, 2027. The Company is evaluating this standard to determine if adoption will have a material impact on the Company’s consolidated financial statements.</w:t>
      </w:r>
    </w:p>
    <w:p>
      <w:pPr>
        <w:spacing w:after="0" w:line="136" w:lineRule="exact"/>
        <w:rPr>
          <w:sz w:val="20"/>
          <w:szCs w:val="20"/>
          <w:color w:val="auto"/>
        </w:rPr>
      </w:pPr>
    </w:p>
    <w:p>
      <w:pPr>
        <w:ind w:right="3840"/>
        <w:spacing w:after="0" w:line="459" w:lineRule="auto"/>
        <w:rPr>
          <w:sz w:val="20"/>
          <w:szCs w:val="20"/>
          <w:color w:val="auto"/>
        </w:rPr>
      </w:pPr>
      <w:r>
        <w:rPr>
          <w:rFonts w:ascii="Times New Roman" w:cs="Times New Roman" w:eastAsia="Times New Roman" w:hAnsi="Times New Roman"/>
          <w:sz w:val="18"/>
          <w:szCs w:val="18"/>
          <w:b w:val="1"/>
          <w:bCs w:val="1"/>
          <w:color w:val="auto"/>
        </w:rPr>
        <w:t xml:space="preserve">ITEM 7A—QUANTITATIVE AND QUALITATIVE DISCLOSURES ABOUT MARKET RISK </w:t>
      </w:r>
      <w:r>
        <w:rPr>
          <w:rFonts w:ascii="Times New Roman" w:cs="Times New Roman" w:eastAsia="Times New Roman" w:hAnsi="Times New Roman"/>
          <w:sz w:val="18"/>
          <w:szCs w:val="18"/>
          <w:color w:val="auto"/>
        </w:rPr>
        <w:t>Smaller reporting companies are not required to provide the information required by this item.</w:t>
      </w:r>
    </w:p>
    <w:p>
      <w:pPr>
        <w:spacing w:after="0"/>
        <w:rPr>
          <w:sz w:val="20"/>
          <w:szCs w:val="20"/>
          <w:color w:val="auto"/>
        </w:rPr>
      </w:pPr>
      <w:r>
        <w:rPr>
          <w:rFonts w:ascii="Times New Roman" w:cs="Times New Roman" w:eastAsia="Times New Roman" w:hAnsi="Times New Roman"/>
          <w:sz w:val="18"/>
          <w:szCs w:val="18"/>
          <w:b w:val="1"/>
          <w:bCs w:val="1"/>
          <w:color w:val="auto"/>
        </w:rPr>
        <w:t>ITEM 8—FINANCIAL STATEMENTS AND SUPPLEMENTARY DATA</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financial statements included at the end of this report beginning on page F-1.</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9—CHANGES IN AND DISAGREEMENTS WITH ACCOUNTANTS ON ACCOUNTING AND FINANCIAL DISCLOSURE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9A—CONTROLS AND PROCEDURES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00"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8"/>
          <w:szCs w:val="18"/>
          <w:color w:val="auto"/>
        </w:rPr>
        <w:t>As required by paragraph (b) of Rules 13a-15 and 15d-15 promulgated under the Exchange Act, under the supervision and with the participation of our management, including our President and Chief Executive Officer and our Interim Chief Financial Officer, we conducted an evaluation as of the end of the period covered by this Annual Report on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10-K, of the effectiveness of our disclosure controls and procedures as defined in Exchange Act Rules 13a-15(e) and 15d-15(e).</w:t>
      </w:r>
    </w:p>
    <w:p>
      <w:pPr>
        <w:spacing w:after="0" w:line="1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disclosure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Based on their evaluation, our President and Chief Executive Officer and Interim Chief Financial Officer concluded that our disclosure controls and procedures were effective as of December 31, 2024, the end of the period covered by this Annual Report on Form 10-K, in that they provide reasonable assurance that the information we are required to disclose in the reports we file or submit under the Exchange Act is recorded, processed, summarized and reported within the time periods required by the SEC and is accumulated and communicated to our management, including our President and Chief Executive Officer and Interim Chief Financial Officer, as appropriate to allow timely decisions regarding required disclosure.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20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during our most recently completed fiscal quarter that have materially affected, or are reasonably likely to materially affect, our internal control over financial reporting. We routinely review our internal controls over financial reporting and from time to time make changes intended to enhance the effectiveness of our internal control over financial reporting. We will continue to evaluate the effectiveness of our disclosure controls and procedures and internal controls over financial reporting on an ongoing basis and will take action as appropriate.</w:t>
      </w:r>
    </w:p>
    <w:p>
      <w:pPr>
        <w:spacing w:after="0" w:line="1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During the most recently completed fiscal quarter, management reviewed all work generated in support of the financial statements and corresponding footnotes to determine areas which may be susceptible to human error. The review focused on limiting manual inputs into work papers wherever possible and tying inputs to external source documents. In addition, management also enhanced its work paper review to compare figures to prior year amounts or source documents and increased the number of calculations in the work papers that are reviewed and re-performed.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over financial reporting, as defined in Rule 13a-15(f) and Rule 15(d)-15(f) under the Exchange Act, is a process designed by, or under the supervision of, our President and Chief Executive Officer and Interim Chief Financial Officer and affected by our Board of Directors, management and other personnel to provide reasonable assurance regarding the reliability of financial reporting and the preparation of financial statements for external purposes in accordance with GAAP. Internal control over financial reporting includes those policies and procedures that:</w:t>
      </w:r>
    </w:p>
    <w:p>
      <w:pPr>
        <w:spacing w:after="0" w:line="144" w:lineRule="exact"/>
        <w:rPr>
          <w:sz w:val="20"/>
          <w:szCs w:val="20"/>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26" w:lineRule="exact"/>
        <w:rPr>
          <w:rFonts w:ascii="Times New Roman" w:cs="Times New Roman" w:eastAsia="Times New Roman" w:hAnsi="Times New Roman"/>
          <w:sz w:val="18"/>
          <w:szCs w:val="18"/>
          <w:color w:val="auto"/>
        </w:rPr>
      </w:pPr>
    </w:p>
    <w:p>
      <w:pPr>
        <w:jc w:val="both"/>
        <w:ind w:left="760" w:hanging="378"/>
        <w:spacing w:after="0" w:line="263" w:lineRule="auto"/>
        <w:tabs>
          <w:tab w:leader="none" w:pos="76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reasonable assurance that transactions are recorded as necessary to permit preparation of financial statements in accordance with GAAP, and that our receipts and expenditures are being made only in accordance with authorizations of our management and our Board of Directors; and</w:t>
      </w:r>
    </w:p>
    <w:p>
      <w:pPr>
        <w:spacing w:after="0" w:line="1" w:lineRule="exact"/>
        <w:rPr>
          <w:rFonts w:ascii="Times New Roman" w:cs="Times New Roman" w:eastAsia="Times New Roman" w:hAnsi="Times New Roman"/>
          <w:sz w:val="17"/>
          <w:szCs w:val="17"/>
          <w:color w:val="auto"/>
        </w:rPr>
      </w:pPr>
    </w:p>
    <w:p>
      <w:pPr>
        <w:ind w:left="760" w:hanging="378"/>
        <w:spacing w:after="0" w:line="257"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our financial statements.</w:t>
      </w:r>
    </w:p>
    <w:p>
      <w:pPr>
        <w:spacing w:after="0" w:line="14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can also be circumvented by collusion or improper override. Because of such limitations, there is a risk that material misstatements may not be prevented or detected on a timely basis by internal control over financial reporting. However, these inherent limitations are known features of the financial reporting process, and it is possible to design into the process safeguards to reduce, though not eliminate, this risk.</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 xml:space="preserve">Our management assessed the effectiveness of our internal control over financial reporting as of December 31, 2024. In making its assessment, management used the criteria established by the Committee of Sponsoring Organizations of the Treadway Commission in its 2013 </w:t>
      </w:r>
      <w:r>
        <w:rPr>
          <w:rFonts w:ascii="Times New Roman" w:cs="Times New Roman" w:eastAsia="Times New Roman" w:hAnsi="Times New Roman"/>
          <w:sz w:val="17"/>
          <w:szCs w:val="17"/>
          <w:i w:val="1"/>
          <w:iCs w:val="1"/>
          <w:color w:val="auto"/>
        </w:rPr>
        <w:t>Internal Control — Integrated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Framework</w:t>
      </w:r>
      <w:r>
        <w:rPr>
          <w:rFonts w:ascii="Times New Roman" w:cs="Times New Roman" w:eastAsia="Times New Roman" w:hAnsi="Times New Roman"/>
          <w:sz w:val="17"/>
          <w:szCs w:val="17"/>
          <w:color w:val="auto"/>
        </w:rPr>
        <w:t>. Based on its assessment, management has concluded that our internal control over financial reporting was effective as of December 31, 2024.</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Registered Public Accounting Firm</w:t>
      </w:r>
    </w:p>
    <w:p>
      <w:pPr>
        <w:spacing w:after="0" w:line="18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Our independent registered public accounting firm has not assessed the effectiveness of our internal control over financial reporting and, under SEC rules, will not be required to provide an attestation report on the effectiveness of our internal control over financial reporting so long as we qualify as a “non-accelerated filer”.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9B—OTHER INFORMATION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9C—DISCLOSURE REGARDING FOREIGN JURISDICTIONS THAT PREVENT INSPECTIONS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0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Information required by this Item concerning our directors is incorporated by reference from the sections captioned “Election of Directors” and “Corporate Governance Matters” contained in our proxy statement related to the 2025 Annual Meeting of Stockholders currently scheduled to be held on June 11, 2025, which we intend to file with the SEC within 120 days of the end of our fiscal year pursuant to General Instruction G(3) of Form 10-K.</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information required by this Item concerning our Audit and Compliance Committee is incorporated by reference from the section captioned “Corporate Governance Matters – Standing Committees – Audit and Compliance Committee” contained in our proxy statement related to the 2025 Annual Meeting of Stockholders.</w:t>
      </w:r>
    </w:p>
    <w:p>
      <w:pPr>
        <w:spacing w:after="0" w:line="13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adopted a Code of Ethics and Business Conduct (the “Code of Ethics”) applicable to all of our officers, directors and employees, including our principal executive officer, principal financial officer, principal accounting officer, controller, or persons performing similar functions. A copy of this Code of Ethics is available free of charge and is posted on our website at http://investors.tenaxthera.com/corporate-governance. In the event the Code of Ethics is revised, or any waiver is granted under the Code of Ethics with respect to our principal executive officer, principal financial officer, principal accounting officer, controller, or persons performing similar functions, notice of such revision or waiver will be posted on our website or disclosed on a current report on Form 8-K as required.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concerning our executive officers is set forth at the end of Part I of this Annual Report on Form 10-K.</w:t>
      </w:r>
    </w:p>
    <w:p>
      <w:pPr>
        <w:spacing w:after="0" w:line="182"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The information required by this Item, if any, concerning compliance with Section 16(a) of the Exchange Act will be incorporated by reference from the section of the proxy statement captioned “Delinquent Section 16(a) Reports”.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0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information under the sections captioned “Executive Compensation” and “Director Compensation” in our proxy statement.</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the securities authorized for issuance under our equity compensation plans as of December 31, 2024.</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48"/>
        </w:trPr>
        <w:tc>
          <w:tcPr>
            <w:tcW w:w="6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2"/>
          </w:tcPr>
          <w:p>
            <w:pPr>
              <w:jc w:val="center"/>
              <w:ind w:right="120"/>
              <w:spacing w:after="0" w:line="148" w:lineRule="exact"/>
              <w:rPr>
                <w:sz w:val="20"/>
                <w:szCs w:val="20"/>
                <w:color w:val="auto"/>
              </w:rPr>
            </w:pPr>
            <w:r>
              <w:rPr>
                <w:rFonts w:ascii="Times New Roman" w:cs="Times New Roman" w:eastAsia="Times New Roman" w:hAnsi="Times New Roman"/>
                <w:sz w:val="14"/>
                <w:szCs w:val="14"/>
                <w:b w:val="1"/>
                <w:bCs w:val="1"/>
                <w:color w:val="auto"/>
              </w:rPr>
              <w:t>of securities</w:t>
            </w:r>
          </w:p>
        </w:tc>
        <w:tc>
          <w:tcPr>
            <w:tcW w:w="0" w:type="dxa"/>
            <w:vAlign w:val="bottom"/>
          </w:tcPr>
          <w:p>
            <w:pPr>
              <w:spacing w:after="0"/>
              <w:rPr>
                <w:sz w:val="1"/>
                <w:szCs w:val="1"/>
                <w:color w:val="auto"/>
              </w:rPr>
            </w:pPr>
          </w:p>
        </w:tc>
      </w:tr>
      <w:tr>
        <w:trPr>
          <w:trHeight w:val="148"/>
        </w:trPr>
        <w:tc>
          <w:tcPr>
            <w:tcW w:w="6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2"/>
          </w:tcPr>
          <w:p>
            <w:pPr>
              <w:jc w:val="center"/>
              <w:ind w:right="120"/>
              <w:spacing w:after="0" w:line="148"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616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2"/>
          </w:tcPr>
          <w:p>
            <w:pPr>
              <w:jc w:val="center"/>
              <w:ind w:right="120"/>
              <w:spacing w:after="0" w:line="148" w:lineRule="exact"/>
              <w:rPr>
                <w:sz w:val="20"/>
                <w:szCs w:val="20"/>
                <w:color w:val="auto"/>
              </w:rPr>
            </w:pPr>
            <w:r>
              <w:rPr>
                <w:rFonts w:ascii="Times New Roman" w:cs="Times New Roman" w:eastAsia="Times New Roman" w:hAnsi="Times New Roman"/>
                <w:sz w:val="14"/>
                <w:szCs w:val="14"/>
                <w:b w:val="1"/>
                <w:bCs w:val="1"/>
                <w:color w:val="auto"/>
              </w:rPr>
              <w:t>available for</w:t>
            </w:r>
          </w:p>
        </w:tc>
        <w:tc>
          <w:tcPr>
            <w:tcW w:w="0" w:type="dxa"/>
            <w:vAlign w:val="bottom"/>
          </w:tcPr>
          <w:p>
            <w:pPr>
              <w:spacing w:after="0"/>
              <w:rPr>
                <w:sz w:val="1"/>
                <w:szCs w:val="1"/>
                <w:color w:val="auto"/>
              </w:rPr>
            </w:pPr>
          </w:p>
        </w:tc>
      </w:tr>
      <w:tr>
        <w:trPr>
          <w:trHeight w:val="148"/>
        </w:trPr>
        <w:tc>
          <w:tcPr>
            <w:tcW w:w="616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2"/>
          </w:tcPr>
          <w:p>
            <w:pPr>
              <w:jc w:val="center"/>
              <w:ind w:right="120"/>
              <w:spacing w:after="0" w:line="148" w:lineRule="exact"/>
              <w:rPr>
                <w:sz w:val="20"/>
                <w:szCs w:val="20"/>
                <w:color w:val="auto"/>
              </w:rPr>
            </w:pPr>
            <w:r>
              <w:rPr>
                <w:rFonts w:ascii="Times New Roman" w:cs="Times New Roman" w:eastAsia="Times New Roman" w:hAnsi="Times New Roman"/>
                <w:sz w:val="14"/>
                <w:szCs w:val="14"/>
                <w:b w:val="1"/>
                <w:bCs w:val="1"/>
                <w:color w:val="auto"/>
              </w:rPr>
              <w:t>future</w:t>
            </w:r>
          </w:p>
        </w:tc>
        <w:tc>
          <w:tcPr>
            <w:tcW w:w="0" w:type="dxa"/>
            <w:vAlign w:val="bottom"/>
          </w:tcPr>
          <w:p>
            <w:pPr>
              <w:spacing w:after="0"/>
              <w:rPr>
                <w:sz w:val="1"/>
                <w:szCs w:val="1"/>
                <w:color w:val="auto"/>
              </w:rPr>
            </w:pPr>
          </w:p>
        </w:tc>
      </w:tr>
      <w:tr>
        <w:trPr>
          <w:trHeight w:val="148"/>
        </w:trPr>
        <w:tc>
          <w:tcPr>
            <w:tcW w:w="6160" w:type="dxa"/>
            <w:vAlign w:val="bottom"/>
          </w:tcPr>
          <w:p>
            <w:pPr>
              <w:spacing w:after="0"/>
              <w:rPr>
                <w:sz w:val="12"/>
                <w:szCs w:val="12"/>
                <w:color w:val="auto"/>
              </w:rPr>
            </w:pPr>
          </w:p>
        </w:tc>
        <w:tc>
          <w:tcPr>
            <w:tcW w:w="150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securities to</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vMerge w:val="restart"/>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20" w:type="dxa"/>
            <w:vAlign w:val="bottom"/>
          </w:tcPr>
          <w:p>
            <w:pPr>
              <w:spacing w:after="0"/>
              <w:rPr>
                <w:sz w:val="12"/>
                <w:szCs w:val="12"/>
                <w:color w:val="auto"/>
              </w:rPr>
            </w:pPr>
          </w:p>
        </w:tc>
        <w:tc>
          <w:tcPr>
            <w:tcW w:w="1620" w:type="dxa"/>
            <w:vAlign w:val="bottom"/>
            <w:gridSpan w:val="2"/>
          </w:tcPr>
          <w:p>
            <w:pPr>
              <w:jc w:val="center"/>
              <w:ind w:right="120"/>
              <w:spacing w:after="0" w:line="148" w:lineRule="exact"/>
              <w:rPr>
                <w:sz w:val="20"/>
                <w:szCs w:val="20"/>
                <w:color w:val="auto"/>
              </w:rPr>
            </w:pPr>
            <w:r>
              <w:rPr>
                <w:rFonts w:ascii="Times New Roman" w:cs="Times New Roman" w:eastAsia="Times New Roman" w:hAnsi="Times New Roman"/>
                <w:sz w:val="14"/>
                <w:szCs w:val="14"/>
                <w:b w:val="1"/>
                <w:bCs w:val="1"/>
                <w:color w:val="auto"/>
              </w:rPr>
              <w:t>issuances</w:t>
            </w:r>
          </w:p>
        </w:tc>
        <w:tc>
          <w:tcPr>
            <w:tcW w:w="0" w:type="dxa"/>
            <w:vAlign w:val="bottom"/>
          </w:tcPr>
          <w:p>
            <w:pPr>
              <w:spacing w:after="0"/>
              <w:rPr>
                <w:sz w:val="1"/>
                <w:szCs w:val="1"/>
                <w:color w:val="auto"/>
              </w:rPr>
            </w:pPr>
          </w:p>
        </w:tc>
      </w:tr>
      <w:tr>
        <w:trPr>
          <w:trHeight w:val="148"/>
        </w:trPr>
        <w:tc>
          <w:tcPr>
            <w:tcW w:w="6160" w:type="dxa"/>
            <w:vAlign w:val="bottom"/>
          </w:tcPr>
          <w:p>
            <w:pPr>
              <w:spacing w:after="0"/>
              <w:rPr>
                <w:sz w:val="12"/>
                <w:szCs w:val="12"/>
                <w:color w:val="auto"/>
              </w:rPr>
            </w:pPr>
          </w:p>
        </w:tc>
        <w:tc>
          <w:tcPr>
            <w:tcW w:w="150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w w:val="99"/>
              </w:rPr>
              <w:t>be issued</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2"/>
          </w:tcPr>
          <w:p>
            <w:pPr>
              <w:jc w:val="center"/>
              <w:ind w:right="120"/>
              <w:spacing w:after="0" w:line="148"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8"/>
        </w:trPr>
        <w:tc>
          <w:tcPr>
            <w:tcW w:w="6160" w:type="dxa"/>
            <w:vAlign w:val="bottom"/>
          </w:tcPr>
          <w:p>
            <w:pPr>
              <w:spacing w:after="0"/>
              <w:rPr>
                <w:sz w:val="12"/>
                <w:szCs w:val="12"/>
                <w:color w:val="auto"/>
              </w:rPr>
            </w:pPr>
          </w:p>
        </w:tc>
        <w:tc>
          <w:tcPr>
            <w:tcW w:w="150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upon exercise</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center"/>
              <w:ind w:right="81"/>
              <w:spacing w:after="0" w:line="148"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220" w:type="dxa"/>
            <w:vAlign w:val="bottom"/>
          </w:tcPr>
          <w:p>
            <w:pPr>
              <w:spacing w:after="0"/>
              <w:rPr>
                <w:sz w:val="12"/>
                <w:szCs w:val="12"/>
                <w:color w:val="auto"/>
              </w:rPr>
            </w:pPr>
          </w:p>
        </w:tc>
        <w:tc>
          <w:tcPr>
            <w:tcW w:w="1620" w:type="dxa"/>
            <w:vAlign w:val="bottom"/>
            <w:gridSpan w:val="2"/>
          </w:tcPr>
          <w:p>
            <w:pPr>
              <w:jc w:val="center"/>
              <w:ind w:right="140"/>
              <w:spacing w:after="0" w:line="148"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8"/>
        </w:trPr>
        <w:tc>
          <w:tcPr>
            <w:tcW w:w="6160" w:type="dxa"/>
            <w:vAlign w:val="bottom"/>
          </w:tcPr>
          <w:p>
            <w:pPr>
              <w:spacing w:after="0"/>
              <w:rPr>
                <w:sz w:val="12"/>
                <w:szCs w:val="12"/>
                <w:color w:val="auto"/>
              </w:rPr>
            </w:pPr>
          </w:p>
        </w:tc>
        <w:tc>
          <w:tcPr>
            <w:tcW w:w="150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of</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center"/>
              <w:ind w:right="81"/>
              <w:spacing w:after="0" w:line="148" w:lineRule="exact"/>
              <w:rPr>
                <w:sz w:val="20"/>
                <w:szCs w:val="20"/>
                <w:color w:val="auto"/>
              </w:rPr>
            </w:pPr>
            <w:r>
              <w:rPr>
                <w:rFonts w:ascii="Times New Roman" w:cs="Times New Roman" w:eastAsia="Times New Roman" w:hAnsi="Times New Roman"/>
                <w:sz w:val="14"/>
                <w:szCs w:val="14"/>
                <w:b w:val="1"/>
                <w:bCs w:val="1"/>
                <w:color w:val="auto"/>
              </w:rPr>
              <w:t>price of</w:t>
            </w:r>
          </w:p>
        </w:tc>
        <w:tc>
          <w:tcPr>
            <w:tcW w:w="220" w:type="dxa"/>
            <w:vAlign w:val="bottom"/>
          </w:tcPr>
          <w:p>
            <w:pPr>
              <w:spacing w:after="0"/>
              <w:rPr>
                <w:sz w:val="12"/>
                <w:szCs w:val="12"/>
                <w:color w:val="auto"/>
              </w:rPr>
            </w:pPr>
          </w:p>
        </w:tc>
        <w:tc>
          <w:tcPr>
            <w:tcW w:w="1620" w:type="dxa"/>
            <w:vAlign w:val="bottom"/>
            <w:gridSpan w:val="2"/>
          </w:tcPr>
          <w:p>
            <w:pPr>
              <w:jc w:val="center"/>
              <w:ind w:right="120"/>
              <w:spacing w:after="0" w:line="148" w:lineRule="exact"/>
              <w:rPr>
                <w:sz w:val="20"/>
                <w:szCs w:val="20"/>
                <w:color w:val="auto"/>
              </w:rPr>
            </w:pPr>
            <w:r>
              <w:rPr>
                <w:rFonts w:ascii="Times New Roman" w:cs="Times New Roman" w:eastAsia="Times New Roman" w:hAnsi="Times New Roman"/>
                <w:sz w:val="14"/>
                <w:szCs w:val="14"/>
                <w:b w:val="1"/>
                <w:bCs w:val="1"/>
                <w:color w:val="auto"/>
              </w:rPr>
              <w:t>plans</w:t>
            </w:r>
          </w:p>
        </w:tc>
        <w:tc>
          <w:tcPr>
            <w:tcW w:w="0" w:type="dxa"/>
            <w:vAlign w:val="bottom"/>
          </w:tcPr>
          <w:p>
            <w:pPr>
              <w:spacing w:after="0"/>
              <w:rPr>
                <w:sz w:val="1"/>
                <w:szCs w:val="1"/>
                <w:color w:val="auto"/>
              </w:rPr>
            </w:pPr>
          </w:p>
        </w:tc>
      </w:tr>
      <w:tr>
        <w:trPr>
          <w:trHeight w:val="148"/>
        </w:trPr>
        <w:tc>
          <w:tcPr>
            <w:tcW w:w="6160" w:type="dxa"/>
            <w:vAlign w:val="bottom"/>
          </w:tcPr>
          <w:p>
            <w:pPr>
              <w:spacing w:after="0"/>
              <w:rPr>
                <w:sz w:val="12"/>
                <w:szCs w:val="12"/>
                <w:color w:val="auto"/>
              </w:rPr>
            </w:pPr>
          </w:p>
        </w:tc>
        <w:tc>
          <w:tcPr>
            <w:tcW w:w="150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center"/>
              <w:ind w:right="81"/>
              <w:spacing w:after="0" w:line="148"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20" w:type="dxa"/>
            <w:vAlign w:val="bottom"/>
          </w:tcPr>
          <w:p>
            <w:pPr>
              <w:spacing w:after="0"/>
              <w:rPr>
                <w:sz w:val="12"/>
                <w:szCs w:val="12"/>
                <w:color w:val="auto"/>
              </w:rPr>
            </w:pPr>
          </w:p>
        </w:tc>
        <w:tc>
          <w:tcPr>
            <w:tcW w:w="1620" w:type="dxa"/>
            <w:vAlign w:val="bottom"/>
            <w:gridSpan w:val="2"/>
          </w:tcPr>
          <w:p>
            <w:pPr>
              <w:jc w:val="center"/>
              <w:ind w:right="120"/>
              <w:spacing w:after="0" w:line="148" w:lineRule="exact"/>
              <w:rPr>
                <w:sz w:val="20"/>
                <w:szCs w:val="20"/>
                <w:color w:val="auto"/>
              </w:rPr>
            </w:pPr>
            <w:r>
              <w:rPr>
                <w:rFonts w:ascii="Times New Roman" w:cs="Times New Roman" w:eastAsia="Times New Roman" w:hAnsi="Times New Roman"/>
                <w:sz w:val="14"/>
                <w:szCs w:val="14"/>
                <w:b w:val="1"/>
                <w:bCs w:val="1"/>
                <w:color w:val="auto"/>
                <w:w w:val="99"/>
              </w:rPr>
              <w:t>(excluding</w:t>
            </w:r>
          </w:p>
        </w:tc>
        <w:tc>
          <w:tcPr>
            <w:tcW w:w="0" w:type="dxa"/>
            <w:vAlign w:val="bottom"/>
          </w:tcPr>
          <w:p>
            <w:pPr>
              <w:spacing w:after="0"/>
              <w:rPr>
                <w:sz w:val="1"/>
                <w:szCs w:val="1"/>
                <w:color w:val="auto"/>
              </w:rPr>
            </w:pPr>
          </w:p>
        </w:tc>
      </w:tr>
      <w:tr>
        <w:trPr>
          <w:trHeight w:val="148"/>
        </w:trPr>
        <w:tc>
          <w:tcPr>
            <w:tcW w:w="6160" w:type="dxa"/>
            <w:vAlign w:val="bottom"/>
          </w:tcPr>
          <w:p>
            <w:pPr>
              <w:spacing w:after="0"/>
              <w:rPr>
                <w:sz w:val="12"/>
                <w:szCs w:val="12"/>
                <w:color w:val="auto"/>
              </w:rPr>
            </w:pPr>
          </w:p>
        </w:tc>
        <w:tc>
          <w:tcPr>
            <w:tcW w:w="150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center"/>
              <w:ind w:right="61"/>
              <w:spacing w:after="0" w:line="148"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2"/>
                <w:szCs w:val="12"/>
                <w:color w:val="auto"/>
              </w:rPr>
            </w:pPr>
          </w:p>
        </w:tc>
        <w:tc>
          <w:tcPr>
            <w:tcW w:w="1620" w:type="dxa"/>
            <w:vAlign w:val="bottom"/>
            <w:gridSpan w:val="2"/>
          </w:tcPr>
          <w:p>
            <w:pPr>
              <w:jc w:val="center"/>
              <w:ind w:right="120"/>
              <w:spacing w:after="0" w:line="148"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8"/>
        </w:trPr>
        <w:tc>
          <w:tcPr>
            <w:tcW w:w="6160" w:type="dxa"/>
            <w:vAlign w:val="bottom"/>
          </w:tcPr>
          <w:p>
            <w:pPr>
              <w:spacing w:after="0"/>
              <w:rPr>
                <w:sz w:val="12"/>
                <w:szCs w:val="12"/>
                <w:color w:val="auto"/>
              </w:rPr>
            </w:pPr>
          </w:p>
        </w:tc>
        <w:tc>
          <w:tcPr>
            <w:tcW w:w="150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warrants and</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center"/>
              <w:ind w:right="81"/>
              <w:spacing w:after="0" w:line="148" w:lineRule="exact"/>
              <w:rPr>
                <w:sz w:val="20"/>
                <w:szCs w:val="20"/>
                <w:color w:val="auto"/>
              </w:rPr>
            </w:pPr>
            <w:r>
              <w:rPr>
                <w:rFonts w:ascii="Times New Roman" w:cs="Times New Roman" w:eastAsia="Times New Roman" w:hAnsi="Times New Roman"/>
                <w:sz w:val="14"/>
                <w:szCs w:val="14"/>
                <w:b w:val="1"/>
                <w:bCs w:val="1"/>
                <w:color w:val="auto"/>
                <w:w w:val="99"/>
              </w:rPr>
              <w:t>warrants</w:t>
            </w:r>
          </w:p>
        </w:tc>
        <w:tc>
          <w:tcPr>
            <w:tcW w:w="220" w:type="dxa"/>
            <w:vAlign w:val="bottom"/>
          </w:tcPr>
          <w:p>
            <w:pPr>
              <w:spacing w:after="0"/>
              <w:rPr>
                <w:sz w:val="12"/>
                <w:szCs w:val="12"/>
                <w:color w:val="auto"/>
              </w:rPr>
            </w:pPr>
          </w:p>
        </w:tc>
        <w:tc>
          <w:tcPr>
            <w:tcW w:w="1620" w:type="dxa"/>
            <w:vAlign w:val="bottom"/>
            <w:gridSpan w:val="2"/>
          </w:tcPr>
          <w:p>
            <w:pPr>
              <w:jc w:val="center"/>
              <w:ind w:right="120"/>
              <w:spacing w:after="0" w:line="148" w:lineRule="exact"/>
              <w:rPr>
                <w:sz w:val="20"/>
                <w:szCs w:val="20"/>
                <w:color w:val="auto"/>
              </w:rPr>
            </w:pPr>
            <w:r>
              <w:rPr>
                <w:rFonts w:ascii="Times New Roman" w:cs="Times New Roman" w:eastAsia="Times New Roman" w:hAnsi="Times New Roman"/>
                <w:sz w:val="14"/>
                <w:szCs w:val="14"/>
                <w:b w:val="1"/>
                <w:bCs w:val="1"/>
                <w:color w:val="auto"/>
              </w:rPr>
              <w:t>reflected in</w:t>
            </w:r>
          </w:p>
        </w:tc>
        <w:tc>
          <w:tcPr>
            <w:tcW w:w="0" w:type="dxa"/>
            <w:vAlign w:val="bottom"/>
          </w:tcPr>
          <w:p>
            <w:pPr>
              <w:spacing w:after="0"/>
              <w:rPr>
                <w:sz w:val="1"/>
                <w:szCs w:val="1"/>
                <w:color w:val="auto"/>
              </w:rPr>
            </w:pPr>
          </w:p>
        </w:tc>
      </w:tr>
      <w:tr>
        <w:trPr>
          <w:trHeight w:val="172"/>
        </w:trPr>
        <w:tc>
          <w:tcPr>
            <w:tcW w:w="6160" w:type="dxa"/>
            <w:vAlign w:val="bottom"/>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220" w:type="dxa"/>
            <w:vAlign w:val="bottom"/>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column (a))</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6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2022 Stock Incentive Plan</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3,126,131</w:t>
            </w:r>
          </w:p>
        </w:tc>
        <w:tc>
          <w:tcPr>
            <w:tcW w:w="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5,211,121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2016 Stock Incentive Plan, as amended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3,252.00</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Amended and Restated 1999 Amended Stock Plan, as amended</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65,905.07</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Equity compensation plans not approved by security holders:</w:t>
            </w: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Plan for Employee Inducement Stock Option Grants</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3,008.00</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3,126,750</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5,211,121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other information required by this Item is incorporated by reference to the information under the section captioned “Security Ownership of Certain Beneficial Owners and Management” contained in our proxy statement.</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8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information under the section captioned “Certain Relationships and Related Transactions” and Corporate Governance Matters” in our proxy statement.</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0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information under the section captioned “Audit and Compliance Committee Report” in our proxy statement.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15—EXHIBITS AND FINANCIAL STATEMENT SCHEDULES</w:t>
      </w:r>
    </w:p>
    <w:p>
      <w:pPr>
        <w:spacing w:after="0" w:line="20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List of documents filed as part of this report:</w:t>
      </w:r>
    </w:p>
    <w:p>
      <w:pPr>
        <w:spacing w:after="0" w:line="182" w:lineRule="exact"/>
        <w:rPr>
          <w:sz w:val="20"/>
          <w:szCs w:val="20"/>
          <w:color w:val="auto"/>
        </w:rPr>
      </w:pPr>
    </w:p>
    <w:p>
      <w:pPr>
        <w:ind w:left="380" w:hanging="373"/>
        <w:spacing w:after="0"/>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182" w:lineRule="exact"/>
        <w:rPr>
          <w:rFonts w:ascii="Times New Roman" w:cs="Times New Roman" w:eastAsia="Times New Roman" w:hAnsi="Times New Roman"/>
          <w:sz w:val="18"/>
          <w:szCs w:val="18"/>
          <w:color w:val="auto"/>
        </w:rPr>
      </w:pPr>
    </w:p>
    <w:p>
      <w:pPr>
        <w:ind w:left="380"/>
        <w:spacing w:after="0" w:line="27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of the Company and the related reports of the Company’s independent registered public accounting firm thereon have been filed under Item 8 hereof.</w:t>
      </w:r>
    </w:p>
    <w:p>
      <w:pPr>
        <w:spacing w:after="0" w:line="136" w:lineRule="exact"/>
        <w:rPr>
          <w:rFonts w:ascii="Times New Roman" w:cs="Times New Roman" w:eastAsia="Times New Roman" w:hAnsi="Times New Roman"/>
          <w:sz w:val="18"/>
          <w:szCs w:val="18"/>
          <w:color w:val="auto"/>
        </w:rPr>
      </w:pPr>
    </w:p>
    <w:p>
      <w:pPr>
        <w:ind w:left="380" w:right="8620" w:hanging="373"/>
        <w:spacing w:after="0" w:line="451" w:lineRule="auto"/>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None.</w:t>
      </w:r>
    </w:p>
    <w:p>
      <w:pPr>
        <w:ind w:left="380" w:hanging="373"/>
        <w:spacing w:after="0"/>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Index</w:t>
      </w:r>
    </w:p>
    <w:p>
      <w:pPr>
        <w:spacing w:after="0" w:line="195"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exhibits have been or are being filed herewith and are numbered in accordance with Item 601 of Regulation S-K:</w:t>
      </w: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1840" w:type="dxa"/>
            <w:vAlign w:val="bottom"/>
          </w:tcPr>
          <w:p>
            <w:pPr>
              <w:spacing w:after="0"/>
              <w:rPr>
                <w:sz w:val="18"/>
                <w:szCs w:val="18"/>
                <w:color w:val="auto"/>
              </w:rPr>
            </w:pPr>
          </w:p>
        </w:tc>
        <w:tc>
          <w:tcPr>
            <w:tcW w:w="4000" w:type="dxa"/>
            <w:vAlign w:val="bottom"/>
          </w:tcPr>
          <w:p>
            <w:pPr>
              <w:ind w:left="128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8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000" w:type="dxa"/>
            <w:vAlign w:val="bottom"/>
          </w:tcPr>
          <w:p>
            <w:pPr>
              <w:ind w:left="1200"/>
              <w:spacing w:after="0"/>
              <w:rPr>
                <w:sz w:val="20"/>
                <w:szCs w:val="20"/>
                <w:color w:val="auto"/>
              </w:rPr>
            </w:pPr>
            <w:r>
              <w:rPr>
                <w:rFonts w:ascii="Times New Roman" w:cs="Times New Roman" w:eastAsia="Times New Roman" w:hAnsi="Times New Roman"/>
                <w:sz w:val="18"/>
                <w:szCs w:val="18"/>
                <w:b w:val="1"/>
                <w:bCs w:val="1"/>
                <w:color w:val="auto"/>
              </w:rPr>
              <w:t>(Unless Otherwise Indicated)</w:t>
            </w:r>
          </w:p>
        </w:tc>
        <w:tc>
          <w:tcPr>
            <w:tcW w:w="1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1840" w:type="dxa"/>
            <w:vAlign w:val="bottom"/>
            <w:vMerge w:val="continue"/>
          </w:tcPr>
          <w:p>
            <w:pPr>
              <w:spacing w:after="0"/>
              <w:rPr>
                <w:sz w:val="17"/>
                <w:szCs w:val="17"/>
                <w:color w:val="auto"/>
              </w:rPr>
            </w:pPr>
          </w:p>
        </w:tc>
        <w:tc>
          <w:tcPr>
            <w:tcW w:w="40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000" w:type="dxa"/>
            <w:vAlign w:val="bottom"/>
          </w:tcPr>
          <w:p>
            <w:pPr>
              <w:ind w:left="1280"/>
              <w:spacing w:after="0"/>
              <w:rPr>
                <w:sz w:val="20"/>
                <w:szCs w:val="20"/>
                <w:color w:val="auto"/>
              </w:rPr>
            </w:pPr>
            <w:r>
              <w:rPr>
                <w:rFonts w:ascii="Times New Roman" w:cs="Times New Roman" w:eastAsia="Times New Roman" w:hAnsi="Times New Roman"/>
                <w:sz w:val="18"/>
                <w:szCs w:val="18"/>
                <w:b w:val="1"/>
                <w:bCs w:val="1"/>
                <w:color w:val="auto"/>
              </w:rPr>
              <w:t>Exhibit Title</w:t>
            </w:r>
          </w:p>
        </w:tc>
        <w:tc>
          <w:tcPr>
            <w:tcW w:w="134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Form</w:t>
            </w:r>
          </w:p>
        </w:tc>
        <w:tc>
          <w:tcPr>
            <w:tcW w:w="9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File</w:t>
            </w:r>
          </w:p>
        </w:tc>
        <w:tc>
          <w:tcPr>
            <w:tcW w:w="12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6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w w:val="98"/>
              </w:rPr>
              <w:t>Filing Date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-280670</wp:posOffset>
            </wp:positionV>
            <wp:extent cx="5283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28383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0</wp:posOffset>
            </wp:positionV>
            <wp:extent cx="71329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09"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61">
        <w:r>
          <w:rPr>
            <w:rFonts w:ascii="Times New Roman" w:cs="Times New Roman" w:eastAsia="Times New Roman" w:hAnsi="Times New Roman"/>
            <w:sz w:val="18"/>
            <w:szCs w:val="18"/>
            <w:u w:val="single" w:color="auto"/>
            <w:color w:val="0000FF"/>
          </w:rPr>
          <w:t>2.1</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62">
        <w:r>
          <w:rPr>
            <w:rFonts w:ascii="Times New Roman" w:cs="Times New Roman" w:eastAsia="Times New Roman" w:hAnsi="Times New Roman"/>
            <w:sz w:val="18"/>
            <w:szCs w:val="18"/>
            <w:u w:val="single" w:color="auto"/>
            <w:color w:val="0000FF"/>
          </w:rPr>
          <w:t>2.2</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
        <w:spacing w:after="0"/>
        <w:rPr>
          <w:rFonts w:ascii="Times New Roman" w:cs="Times New Roman" w:eastAsia="Times New Roman" w:hAnsi="Times New Roman"/>
          <w:sz w:val="17"/>
          <w:szCs w:val="17"/>
          <w:u w:val="single" w:color="auto"/>
          <w:color w:val="0000FF"/>
        </w:rPr>
      </w:pPr>
      <w:hyperlink r:id="rId63">
        <w:r>
          <w:rPr>
            <w:rFonts w:ascii="Times New Roman" w:cs="Times New Roman" w:eastAsia="Times New Roman" w:hAnsi="Times New Roman"/>
            <w:sz w:val="17"/>
            <w:szCs w:val="17"/>
            <w:u w:val="single" w:color="auto"/>
            <w:color w:val="0000FF"/>
          </w:rPr>
          <w:t>3.1.1</w:t>
        </w:r>
      </w:hyperlink>
    </w:p>
    <w:p>
      <w:pPr>
        <w:spacing w:after="0" w:line="200" w:lineRule="exact"/>
        <w:rPr>
          <w:sz w:val="20"/>
          <w:szCs w:val="20"/>
          <w:color w:val="auto"/>
        </w:rPr>
      </w:pPr>
    </w:p>
    <w:p>
      <w:pPr>
        <w:spacing w:after="0" w:line="249" w:lineRule="exact"/>
        <w:rPr>
          <w:sz w:val="20"/>
          <w:szCs w:val="20"/>
          <w:color w:val="auto"/>
        </w:rPr>
      </w:pPr>
    </w:p>
    <w:p>
      <w:pPr>
        <w:ind w:left="20"/>
        <w:spacing w:after="0"/>
        <w:rPr>
          <w:rFonts w:ascii="Times New Roman" w:cs="Times New Roman" w:eastAsia="Times New Roman" w:hAnsi="Times New Roman"/>
          <w:sz w:val="17"/>
          <w:szCs w:val="17"/>
          <w:u w:val="single" w:color="auto"/>
          <w:color w:val="0000FF"/>
        </w:rPr>
      </w:pPr>
      <w:hyperlink r:id="rId64">
        <w:r>
          <w:rPr>
            <w:rFonts w:ascii="Times New Roman" w:cs="Times New Roman" w:eastAsia="Times New Roman" w:hAnsi="Times New Roman"/>
            <w:sz w:val="17"/>
            <w:szCs w:val="17"/>
            <w:u w:val="single" w:color="auto"/>
            <w:color w:val="0000FF"/>
          </w:rPr>
          <w:t>3.1.2</w:t>
        </w:r>
      </w:hyperlink>
    </w:p>
    <w:p>
      <w:pPr>
        <w:spacing w:after="0" w:line="200" w:lineRule="exact"/>
        <w:rPr>
          <w:sz w:val="20"/>
          <w:szCs w:val="20"/>
          <w:color w:val="auto"/>
        </w:rPr>
      </w:pPr>
    </w:p>
    <w:p>
      <w:pPr>
        <w:spacing w:after="0" w:line="249" w:lineRule="exact"/>
        <w:rPr>
          <w:sz w:val="20"/>
          <w:szCs w:val="20"/>
          <w:color w:val="auto"/>
        </w:rPr>
      </w:pPr>
    </w:p>
    <w:p>
      <w:pPr>
        <w:ind w:left="20"/>
        <w:spacing w:after="0"/>
        <w:rPr>
          <w:rFonts w:ascii="Times New Roman" w:cs="Times New Roman" w:eastAsia="Times New Roman" w:hAnsi="Times New Roman"/>
          <w:sz w:val="17"/>
          <w:szCs w:val="17"/>
          <w:u w:val="single" w:color="auto"/>
          <w:color w:val="0000FF"/>
        </w:rPr>
      </w:pPr>
      <w:hyperlink r:id="rId65">
        <w:r>
          <w:rPr>
            <w:rFonts w:ascii="Times New Roman" w:cs="Times New Roman" w:eastAsia="Times New Roman" w:hAnsi="Times New Roman"/>
            <w:sz w:val="17"/>
            <w:szCs w:val="17"/>
            <w:u w:val="single" w:color="auto"/>
            <w:color w:val="0000FF"/>
          </w:rPr>
          <w:t>3.1.3</w:t>
        </w:r>
      </w:hyperlink>
    </w:p>
    <w:p>
      <w:pPr>
        <w:spacing w:after="0" w:line="200" w:lineRule="exact"/>
        <w:rPr>
          <w:sz w:val="20"/>
          <w:szCs w:val="20"/>
          <w:color w:val="auto"/>
        </w:rPr>
      </w:pPr>
    </w:p>
    <w:p>
      <w:pPr>
        <w:spacing w:after="0" w:line="249" w:lineRule="exact"/>
        <w:rPr>
          <w:sz w:val="20"/>
          <w:szCs w:val="20"/>
          <w:color w:val="auto"/>
        </w:rPr>
      </w:pPr>
    </w:p>
    <w:p>
      <w:pPr>
        <w:ind w:left="20"/>
        <w:spacing w:after="0"/>
        <w:rPr>
          <w:rFonts w:ascii="Times New Roman" w:cs="Times New Roman" w:eastAsia="Times New Roman" w:hAnsi="Times New Roman"/>
          <w:sz w:val="17"/>
          <w:szCs w:val="17"/>
          <w:u w:val="single" w:color="auto"/>
          <w:color w:val="0000FF"/>
        </w:rPr>
      </w:pPr>
      <w:hyperlink r:id="rId66">
        <w:r>
          <w:rPr>
            <w:rFonts w:ascii="Times New Roman" w:cs="Times New Roman" w:eastAsia="Times New Roman" w:hAnsi="Times New Roman"/>
            <w:sz w:val="17"/>
            <w:szCs w:val="17"/>
            <w:u w:val="single" w:color="auto"/>
            <w:color w:val="0000FF"/>
          </w:rPr>
          <w:t>3.1.4</w:t>
        </w:r>
      </w:hyperlink>
    </w:p>
    <w:p>
      <w:pPr>
        <w:spacing w:after="0" w:line="200" w:lineRule="exact"/>
        <w:rPr>
          <w:sz w:val="20"/>
          <w:szCs w:val="20"/>
          <w:color w:val="auto"/>
        </w:rPr>
      </w:pPr>
    </w:p>
    <w:p>
      <w:pPr>
        <w:spacing w:after="0" w:line="249" w:lineRule="exact"/>
        <w:rPr>
          <w:sz w:val="20"/>
          <w:szCs w:val="20"/>
          <w:color w:val="auto"/>
        </w:rPr>
      </w:pPr>
    </w:p>
    <w:p>
      <w:pPr>
        <w:ind w:left="20"/>
        <w:spacing w:after="0"/>
        <w:rPr>
          <w:rFonts w:ascii="Times New Roman" w:cs="Times New Roman" w:eastAsia="Times New Roman" w:hAnsi="Times New Roman"/>
          <w:sz w:val="17"/>
          <w:szCs w:val="17"/>
          <w:u w:val="single" w:color="auto"/>
          <w:color w:val="0000FF"/>
        </w:rPr>
      </w:pPr>
      <w:hyperlink r:id="rId67">
        <w:r>
          <w:rPr>
            <w:rFonts w:ascii="Times New Roman" w:cs="Times New Roman" w:eastAsia="Times New Roman" w:hAnsi="Times New Roman"/>
            <w:sz w:val="17"/>
            <w:szCs w:val="17"/>
            <w:u w:val="single" w:color="auto"/>
            <w:color w:val="0000FF"/>
          </w:rPr>
          <w:t>3.1.5</w:t>
        </w:r>
      </w:hyperlink>
    </w:p>
    <w:p>
      <w:pPr>
        <w:spacing w:after="0" w:line="200" w:lineRule="exact"/>
        <w:rPr>
          <w:sz w:val="20"/>
          <w:szCs w:val="20"/>
          <w:color w:val="auto"/>
        </w:rPr>
      </w:pPr>
    </w:p>
    <w:p>
      <w:pPr>
        <w:spacing w:after="0" w:line="249" w:lineRule="exact"/>
        <w:rPr>
          <w:sz w:val="20"/>
          <w:szCs w:val="20"/>
          <w:color w:val="auto"/>
        </w:rPr>
      </w:pPr>
    </w:p>
    <w:p>
      <w:pPr>
        <w:ind w:left="20"/>
        <w:spacing w:after="0"/>
        <w:rPr>
          <w:rFonts w:ascii="Times New Roman" w:cs="Times New Roman" w:eastAsia="Times New Roman" w:hAnsi="Times New Roman"/>
          <w:sz w:val="17"/>
          <w:szCs w:val="17"/>
          <w:u w:val="single" w:color="auto"/>
          <w:color w:val="0000FF"/>
        </w:rPr>
      </w:pPr>
      <w:hyperlink r:id="rId67">
        <w:r>
          <w:rPr>
            <w:rFonts w:ascii="Times New Roman" w:cs="Times New Roman" w:eastAsia="Times New Roman" w:hAnsi="Times New Roman"/>
            <w:sz w:val="17"/>
            <w:szCs w:val="17"/>
            <w:u w:val="single" w:color="auto"/>
            <w:color w:val="0000FF"/>
          </w:rPr>
          <w:t>3.1.6</w:t>
        </w:r>
      </w:hyperlink>
    </w:p>
    <w:p>
      <w:pPr>
        <w:spacing w:after="0" w:line="200" w:lineRule="exact"/>
        <w:rPr>
          <w:sz w:val="20"/>
          <w:szCs w:val="20"/>
          <w:color w:val="auto"/>
        </w:rPr>
      </w:pPr>
    </w:p>
    <w:p>
      <w:pPr>
        <w:spacing w:after="0" w:line="249" w:lineRule="exact"/>
        <w:rPr>
          <w:sz w:val="20"/>
          <w:szCs w:val="20"/>
          <w:color w:val="auto"/>
        </w:rPr>
      </w:pPr>
    </w:p>
    <w:p>
      <w:pPr>
        <w:ind w:left="20"/>
        <w:spacing w:after="0"/>
        <w:rPr>
          <w:rFonts w:ascii="Times New Roman" w:cs="Times New Roman" w:eastAsia="Times New Roman" w:hAnsi="Times New Roman"/>
          <w:sz w:val="17"/>
          <w:szCs w:val="17"/>
          <w:u w:val="single" w:color="auto"/>
          <w:color w:val="0000FF"/>
        </w:rPr>
      </w:pPr>
      <w:hyperlink r:id="rId68">
        <w:r>
          <w:rPr>
            <w:rFonts w:ascii="Times New Roman" w:cs="Times New Roman" w:eastAsia="Times New Roman" w:hAnsi="Times New Roman"/>
            <w:sz w:val="17"/>
            <w:szCs w:val="17"/>
            <w:u w:val="single" w:color="auto"/>
            <w:color w:val="0000FF"/>
          </w:rPr>
          <w:t>3.1.7</w:t>
        </w:r>
      </w:hyperlink>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96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61">
              <w:r>
                <w:rPr>
                  <w:rFonts w:ascii="Times New Roman" w:cs="Times New Roman" w:eastAsia="Times New Roman" w:hAnsi="Times New Roman"/>
                  <w:sz w:val="18"/>
                  <w:szCs w:val="18"/>
                  <w:color w:val="0000FF"/>
                  <w:w w:val="99"/>
                </w:rPr>
                <w:t>Asset Purchase Agreement by and between Oxygen Biotherapeutics,</w:t>
              </w:r>
            </w:hyperlink>
          </w:p>
        </w:tc>
        <w:tc>
          <w:tcPr>
            <w:tcW w:w="140" w:type="dxa"/>
            <w:vAlign w:val="bottom"/>
            <w:gridSpan w:val="3"/>
          </w:tcPr>
          <w:p>
            <w:pPr>
              <w:spacing w:after="0"/>
              <w:rPr>
                <w:sz w:val="18"/>
                <w:szCs w:val="18"/>
                <w:color w:val="auto"/>
              </w:rPr>
            </w:pPr>
          </w:p>
        </w:tc>
        <w:tc>
          <w:tcPr>
            <w:tcW w:w="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8-K</w:t>
            </w:r>
          </w:p>
        </w:tc>
        <w:tc>
          <w:tcPr>
            <w:tcW w:w="12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001-34600</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740" w:type="dxa"/>
            <w:vAlign w:val="bottom"/>
          </w:tcPr>
          <w:p>
            <w:pPr>
              <w:jc w:val="center"/>
              <w:ind w:left="231"/>
              <w:spacing w:after="0"/>
              <w:rPr>
                <w:sz w:val="20"/>
                <w:szCs w:val="20"/>
                <w:color w:val="auto"/>
              </w:rPr>
            </w:pPr>
            <w:r>
              <w:rPr>
                <w:rFonts w:ascii="Times New Roman" w:cs="Times New Roman" w:eastAsia="Times New Roman" w:hAnsi="Times New Roman"/>
                <w:sz w:val="18"/>
                <w:szCs w:val="18"/>
                <w:color w:val="auto"/>
              </w:rPr>
              <w:t>October 25, 2013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000" w:type="dxa"/>
            <w:vAlign w:val="bottom"/>
            <w:tcBorders>
              <w:bottom w:val="single" w:sz="8" w:color="0000FF"/>
            </w:tcBorders>
            <w:gridSpan w:val="16"/>
          </w:tcPr>
          <w:p>
            <w:pPr>
              <w:spacing w:after="0" w:line="195"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Inc., Life Newco, Inc., Phyxius Pharma, Inc., and the stockholders of</w:t>
              </w:r>
            </w:hyperlink>
          </w:p>
        </w:tc>
        <w:tc>
          <w:tcPr>
            <w:tcW w:w="100" w:type="dxa"/>
            <w:vAlign w:val="bottom"/>
            <w:gridSpan w:val="2"/>
          </w:tcPr>
          <w:p>
            <w:pPr>
              <w:spacing w:after="0"/>
              <w:rPr>
                <w:sz w:val="16"/>
                <w:szCs w:val="16"/>
                <w:color w:val="auto"/>
              </w:rPr>
            </w:pPr>
          </w:p>
        </w:tc>
        <w:tc>
          <w:tcPr>
            <w:tcW w:w="9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00" w:type="dxa"/>
            <w:vAlign w:val="bottom"/>
            <w:tcBorders>
              <w:bottom w:val="single" w:sz="8" w:color="0000FF"/>
            </w:tcBorders>
            <w:gridSpan w:val="10"/>
          </w:tcPr>
          <w:p>
            <w:pPr>
              <w:spacing w:after="0" w:line="195" w:lineRule="exact"/>
              <w:rPr>
                <w:rFonts w:ascii="Times New Roman" w:cs="Times New Roman" w:eastAsia="Times New Roman" w:hAnsi="Times New Roman"/>
                <w:sz w:val="18"/>
                <w:szCs w:val="18"/>
                <w:color w:val="0000FF"/>
                <w:w w:val="98"/>
              </w:rPr>
            </w:pPr>
            <w:hyperlink r:id="rId61">
              <w:r>
                <w:rPr>
                  <w:rFonts w:ascii="Times New Roman" w:cs="Times New Roman" w:eastAsia="Times New Roman" w:hAnsi="Times New Roman"/>
                  <w:sz w:val="18"/>
                  <w:szCs w:val="18"/>
                  <w:color w:val="0000FF"/>
                  <w:w w:val="98"/>
                </w:rPr>
                <w:t>Phyxius Pharma, Inc. dated October 21, 2013.</w:t>
              </w:r>
            </w:hyperlink>
          </w:p>
        </w:tc>
        <w:tc>
          <w:tcPr>
            <w:tcW w:w="20" w:type="dxa"/>
            <w:vAlign w:val="bottom"/>
            <w:tcBorders>
              <w:bottom w:val="single" w:sz="8" w:color="0000EE"/>
            </w:tcBorders>
          </w:tcPr>
          <w:p>
            <w:pPr>
              <w:spacing w:after="0"/>
              <w:rPr>
                <w:sz w:val="16"/>
                <w:szCs w:val="16"/>
                <w:color w:val="auto"/>
              </w:rPr>
            </w:pPr>
          </w:p>
        </w:tc>
        <w:tc>
          <w:tcPr>
            <w:tcW w:w="1780" w:type="dxa"/>
            <w:vAlign w:val="bottom"/>
            <w:gridSpan w:val="7"/>
          </w:tcPr>
          <w:p>
            <w:pPr>
              <w:spacing w:after="0"/>
              <w:rPr>
                <w:sz w:val="16"/>
                <w:szCs w:val="16"/>
                <w:color w:val="auto"/>
              </w:rPr>
            </w:pPr>
          </w:p>
        </w:tc>
        <w:tc>
          <w:tcPr>
            <w:tcW w:w="9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9"/>
        </w:trPr>
        <w:tc>
          <w:tcPr>
            <w:tcW w:w="20" w:type="dxa"/>
            <w:vAlign w:val="bottom"/>
          </w:tcPr>
          <w:p>
            <w:pPr>
              <w:spacing w:after="0"/>
              <w:rPr>
                <w:sz w:val="24"/>
                <w:szCs w:val="24"/>
                <w:color w:val="auto"/>
              </w:rPr>
            </w:pPr>
          </w:p>
        </w:tc>
        <w:tc>
          <w:tcPr>
            <w:tcW w:w="492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62">
              <w:r>
                <w:rPr>
                  <w:rFonts w:ascii="Times New Roman" w:cs="Times New Roman" w:eastAsia="Times New Roman" w:hAnsi="Times New Roman"/>
                  <w:sz w:val="18"/>
                  <w:szCs w:val="18"/>
                  <w:color w:val="0000FF"/>
                  <w:w w:val="99"/>
                </w:rPr>
                <w:t>Agreement and Plan of Merger among PHPrecisionMed Inc., Tenax</w:t>
              </w:r>
            </w:hyperlink>
          </w:p>
        </w:tc>
        <w:tc>
          <w:tcPr>
            <w:tcW w:w="180" w:type="dxa"/>
            <w:vAlign w:val="bottom"/>
            <w:gridSpan w:val="4"/>
          </w:tcPr>
          <w:p>
            <w:pPr>
              <w:spacing w:after="0"/>
              <w:rPr>
                <w:sz w:val="24"/>
                <w:szCs w:val="24"/>
                <w:color w:val="auto"/>
              </w:rPr>
            </w:pPr>
          </w:p>
        </w:tc>
        <w:tc>
          <w:tcPr>
            <w:tcW w:w="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8-K</w:t>
            </w:r>
          </w:p>
        </w:tc>
        <w:tc>
          <w:tcPr>
            <w:tcW w:w="12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001-34600</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740" w:type="dxa"/>
            <w:vAlign w:val="bottom"/>
          </w:tcPr>
          <w:p>
            <w:pPr>
              <w:jc w:val="center"/>
              <w:ind w:left="231"/>
              <w:spacing w:after="0"/>
              <w:rPr>
                <w:sz w:val="20"/>
                <w:szCs w:val="20"/>
                <w:color w:val="auto"/>
              </w:rPr>
            </w:pPr>
            <w:r>
              <w:rPr>
                <w:rFonts w:ascii="Times New Roman" w:cs="Times New Roman" w:eastAsia="Times New Roman" w:hAnsi="Times New Roman"/>
                <w:sz w:val="18"/>
                <w:szCs w:val="18"/>
                <w:color w:val="auto"/>
                <w:w w:val="98"/>
              </w:rPr>
              <w:t>January 19, 2021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700" w:type="dxa"/>
            <w:vAlign w:val="bottom"/>
            <w:tcBorders>
              <w:bottom w:val="single" w:sz="8" w:color="0000FF"/>
            </w:tcBorders>
            <w:gridSpan w:val="12"/>
          </w:tcPr>
          <w:p>
            <w:pPr>
              <w:spacing w:after="0" w:line="195" w:lineRule="exact"/>
              <w:rPr>
                <w:rFonts w:ascii="Times New Roman" w:cs="Times New Roman" w:eastAsia="Times New Roman" w:hAnsi="Times New Roman"/>
                <w:sz w:val="18"/>
                <w:szCs w:val="18"/>
                <w:color w:val="0000FF"/>
                <w:w w:val="99"/>
              </w:rPr>
            </w:pPr>
            <w:hyperlink r:id="rId62">
              <w:r>
                <w:rPr>
                  <w:rFonts w:ascii="Times New Roman" w:cs="Times New Roman" w:eastAsia="Times New Roman" w:hAnsi="Times New Roman"/>
                  <w:sz w:val="18"/>
                  <w:szCs w:val="18"/>
                  <w:color w:val="0000FF"/>
                  <w:w w:val="99"/>
                </w:rPr>
                <w:t>Therapeutics, Inc., Life Newco II, Inc., and Dr. Stuart Rich dated</w:t>
              </w:r>
            </w:hyperlink>
          </w:p>
        </w:tc>
        <w:tc>
          <w:tcPr>
            <w:tcW w:w="400" w:type="dxa"/>
            <w:vAlign w:val="bottom"/>
            <w:gridSpan w:val="6"/>
          </w:tcPr>
          <w:p>
            <w:pPr>
              <w:spacing w:after="0"/>
              <w:rPr>
                <w:sz w:val="16"/>
                <w:szCs w:val="16"/>
                <w:color w:val="auto"/>
              </w:rPr>
            </w:pPr>
          </w:p>
        </w:tc>
        <w:tc>
          <w:tcPr>
            <w:tcW w:w="9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280" w:type="dxa"/>
            <w:vAlign w:val="bottom"/>
            <w:tcBorders>
              <w:bottom w:val="single" w:sz="8" w:color="0000FF"/>
            </w:tcBorders>
            <w:gridSpan w:val="5"/>
          </w:tcPr>
          <w:p>
            <w:pPr>
              <w:spacing w:after="0" w:line="195" w:lineRule="exact"/>
              <w:rPr>
                <w:rFonts w:ascii="Times New Roman" w:cs="Times New Roman" w:eastAsia="Times New Roman" w:hAnsi="Times New Roman"/>
                <w:sz w:val="18"/>
                <w:szCs w:val="18"/>
                <w:color w:val="0000FF"/>
                <w:w w:val="98"/>
              </w:rPr>
            </w:pPr>
            <w:hyperlink r:id="rId62">
              <w:r>
                <w:rPr>
                  <w:rFonts w:ascii="Times New Roman" w:cs="Times New Roman" w:eastAsia="Times New Roman" w:hAnsi="Times New Roman"/>
                  <w:sz w:val="18"/>
                  <w:szCs w:val="18"/>
                  <w:color w:val="0000FF"/>
                  <w:w w:val="98"/>
                </w:rPr>
                <w:t>January 15, 2021.</w:t>
              </w:r>
            </w:hyperlink>
          </w:p>
        </w:tc>
        <w:tc>
          <w:tcPr>
            <w:tcW w:w="20" w:type="dxa"/>
            <w:vAlign w:val="bottom"/>
            <w:tcBorders>
              <w:bottom w:val="single" w:sz="8" w:color="0000EE"/>
            </w:tcBorders>
          </w:tcPr>
          <w:p>
            <w:pPr>
              <w:spacing w:after="0"/>
              <w:rPr>
                <w:sz w:val="16"/>
                <w:szCs w:val="16"/>
                <w:color w:val="auto"/>
              </w:rPr>
            </w:pPr>
          </w:p>
        </w:tc>
        <w:tc>
          <w:tcPr>
            <w:tcW w:w="3800" w:type="dxa"/>
            <w:vAlign w:val="bottom"/>
            <w:gridSpan w:val="12"/>
          </w:tcPr>
          <w:p>
            <w:pPr>
              <w:spacing w:after="0"/>
              <w:rPr>
                <w:sz w:val="16"/>
                <w:szCs w:val="16"/>
                <w:color w:val="auto"/>
              </w:rPr>
            </w:pPr>
          </w:p>
        </w:tc>
        <w:tc>
          <w:tcPr>
            <w:tcW w:w="9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9"/>
        </w:trPr>
        <w:tc>
          <w:tcPr>
            <w:tcW w:w="20" w:type="dxa"/>
            <w:vAlign w:val="bottom"/>
          </w:tcPr>
          <w:p>
            <w:pPr>
              <w:spacing w:after="0"/>
              <w:rPr>
                <w:sz w:val="24"/>
                <w:szCs w:val="24"/>
                <w:color w:val="auto"/>
              </w:rPr>
            </w:pPr>
          </w:p>
        </w:tc>
        <w:tc>
          <w:tcPr>
            <w:tcW w:w="482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63">
              <w:r>
                <w:rPr>
                  <w:rFonts w:ascii="Times New Roman" w:cs="Times New Roman" w:eastAsia="Times New Roman" w:hAnsi="Times New Roman"/>
                  <w:sz w:val="18"/>
                  <w:szCs w:val="18"/>
                  <w:color w:val="0000FF"/>
                  <w:w w:val="99"/>
                </w:rPr>
                <w:t>Certificate of Incorporation of Oxygen Biotherapeutics, Inc., dated</w:t>
              </w:r>
            </w:hyperlink>
          </w:p>
        </w:tc>
        <w:tc>
          <w:tcPr>
            <w:tcW w:w="280" w:type="dxa"/>
            <w:vAlign w:val="bottom"/>
            <w:gridSpan w:val="5"/>
          </w:tcPr>
          <w:p>
            <w:pPr>
              <w:spacing w:after="0"/>
              <w:rPr>
                <w:sz w:val="24"/>
                <w:szCs w:val="24"/>
                <w:color w:val="auto"/>
              </w:rPr>
            </w:pPr>
          </w:p>
        </w:tc>
        <w:tc>
          <w:tcPr>
            <w:tcW w:w="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8-K</w:t>
            </w:r>
          </w:p>
        </w:tc>
        <w:tc>
          <w:tcPr>
            <w:tcW w:w="12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002-31909</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3.01</w:t>
            </w:r>
          </w:p>
        </w:tc>
        <w:tc>
          <w:tcPr>
            <w:tcW w:w="174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w w:val="99"/>
              </w:rPr>
              <w:t>June 30, 2008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00" w:type="dxa"/>
            <w:vAlign w:val="bottom"/>
            <w:tcBorders>
              <w:bottom w:val="single" w:sz="8" w:color="0000FF"/>
            </w:tcBorders>
            <w:gridSpan w:val="2"/>
          </w:tcPr>
          <w:p>
            <w:pPr>
              <w:spacing w:after="0" w:line="195" w:lineRule="exact"/>
              <w:rPr>
                <w:rFonts w:ascii="Times New Roman" w:cs="Times New Roman" w:eastAsia="Times New Roman" w:hAnsi="Times New Roman"/>
                <w:sz w:val="18"/>
                <w:szCs w:val="18"/>
                <w:color w:val="0000FF"/>
                <w:w w:val="98"/>
              </w:rPr>
            </w:pPr>
            <w:hyperlink r:id="rId63">
              <w:r>
                <w:rPr>
                  <w:rFonts w:ascii="Times New Roman" w:cs="Times New Roman" w:eastAsia="Times New Roman" w:hAnsi="Times New Roman"/>
                  <w:sz w:val="18"/>
                  <w:szCs w:val="18"/>
                  <w:color w:val="0000FF"/>
                  <w:w w:val="98"/>
                </w:rPr>
                <w:t>April 17, 2008.</w:t>
              </w:r>
            </w:hyperlink>
          </w:p>
        </w:tc>
        <w:tc>
          <w:tcPr>
            <w:tcW w:w="20" w:type="dxa"/>
            <w:vAlign w:val="bottom"/>
            <w:tcBorders>
              <w:bottom w:val="single" w:sz="8" w:color="0000EE"/>
            </w:tcBorders>
          </w:tcPr>
          <w:p>
            <w:pPr>
              <w:spacing w:after="0"/>
              <w:rPr>
                <w:sz w:val="16"/>
                <w:szCs w:val="16"/>
                <w:color w:val="auto"/>
              </w:rPr>
            </w:pPr>
          </w:p>
        </w:tc>
        <w:tc>
          <w:tcPr>
            <w:tcW w:w="3980" w:type="dxa"/>
            <w:vAlign w:val="bottom"/>
            <w:gridSpan w:val="15"/>
          </w:tcPr>
          <w:p>
            <w:pPr>
              <w:spacing w:after="0"/>
              <w:rPr>
                <w:sz w:val="16"/>
                <w:szCs w:val="16"/>
                <w:color w:val="auto"/>
              </w:rPr>
            </w:pPr>
          </w:p>
        </w:tc>
        <w:tc>
          <w:tcPr>
            <w:tcW w:w="9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9"/>
        </w:trPr>
        <w:tc>
          <w:tcPr>
            <w:tcW w:w="20" w:type="dxa"/>
            <w:vAlign w:val="bottom"/>
          </w:tcPr>
          <w:p>
            <w:pPr>
              <w:spacing w:after="0"/>
              <w:rPr>
                <w:sz w:val="24"/>
                <w:szCs w:val="24"/>
                <w:color w:val="auto"/>
              </w:rPr>
            </w:pPr>
          </w:p>
        </w:tc>
        <w:tc>
          <w:tcPr>
            <w:tcW w:w="510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64">
              <w:r>
                <w:rPr>
                  <w:rFonts w:ascii="Times New Roman" w:cs="Times New Roman" w:eastAsia="Times New Roman" w:hAnsi="Times New Roman"/>
                  <w:sz w:val="18"/>
                  <w:szCs w:val="18"/>
                  <w:color w:val="0000FF"/>
                  <w:w w:val="99"/>
                </w:rPr>
                <w:t>Certificate of Amendment of the Certificate of Incorporation, effective</w:t>
              </w:r>
            </w:hyperlink>
          </w:p>
        </w:tc>
        <w:tc>
          <w:tcPr>
            <w:tcW w:w="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8-K</w:t>
            </w:r>
          </w:p>
        </w:tc>
        <w:tc>
          <w:tcPr>
            <w:tcW w:w="12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002-31909</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740" w:type="dxa"/>
            <w:vAlign w:val="bottom"/>
          </w:tcPr>
          <w:p>
            <w:pPr>
              <w:jc w:val="center"/>
              <w:ind w:left="231"/>
              <w:spacing w:after="0"/>
              <w:rPr>
                <w:sz w:val="20"/>
                <w:szCs w:val="20"/>
                <w:color w:val="auto"/>
              </w:rPr>
            </w:pPr>
            <w:r>
              <w:rPr>
                <w:rFonts w:ascii="Times New Roman" w:cs="Times New Roman" w:eastAsia="Times New Roman" w:hAnsi="Times New Roman"/>
                <w:sz w:val="18"/>
                <w:szCs w:val="18"/>
                <w:color w:val="auto"/>
                <w:w w:val="98"/>
              </w:rPr>
              <w:t>November 13, 2009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100" w:type="dxa"/>
            <w:vAlign w:val="bottom"/>
            <w:gridSpan w:val="18"/>
          </w:tcPr>
          <w:p>
            <w:pPr>
              <w:spacing w:after="0" w:line="195"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November 9, 2009.</w:t>
              </w:r>
            </w:hyperlink>
          </w:p>
        </w:tc>
        <w:tc>
          <w:tcPr>
            <w:tcW w:w="9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220" w:type="dxa"/>
            <w:vAlign w:val="bottom"/>
            <w:tcBorders>
              <w:right w:val="single" w:sz="8" w:color="0000EE"/>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20" w:type="dxa"/>
            <w:vAlign w:val="bottom"/>
          </w:tcPr>
          <w:p>
            <w:pPr>
              <w:spacing w:after="0"/>
              <w:rPr>
                <w:sz w:val="24"/>
                <w:szCs w:val="24"/>
                <w:color w:val="auto"/>
              </w:rPr>
            </w:pPr>
          </w:p>
        </w:tc>
        <w:tc>
          <w:tcPr>
            <w:tcW w:w="510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65">
              <w:r>
                <w:rPr>
                  <w:rFonts w:ascii="Times New Roman" w:cs="Times New Roman" w:eastAsia="Times New Roman" w:hAnsi="Times New Roman"/>
                  <w:sz w:val="18"/>
                  <w:szCs w:val="18"/>
                  <w:color w:val="0000FF"/>
                  <w:w w:val="99"/>
                </w:rPr>
                <w:t>Certificate of Amendment of the Certificate of Incorporation, effective</w:t>
              </w:r>
            </w:hyperlink>
          </w:p>
        </w:tc>
        <w:tc>
          <w:tcPr>
            <w:tcW w:w="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8-K</w:t>
            </w:r>
          </w:p>
        </w:tc>
        <w:tc>
          <w:tcPr>
            <w:tcW w:w="12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001-34600</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74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w w:val="99"/>
              </w:rPr>
              <w:t>May 15, 2013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100" w:type="dxa"/>
            <w:vAlign w:val="bottom"/>
            <w:gridSpan w:val="18"/>
          </w:tcPr>
          <w:p>
            <w:pPr>
              <w:spacing w:after="0" w:line="195"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May 10, 2013.</w:t>
              </w:r>
            </w:hyperlink>
          </w:p>
        </w:tc>
        <w:tc>
          <w:tcPr>
            <w:tcW w:w="9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510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66">
              <w:r>
                <w:rPr>
                  <w:rFonts w:ascii="Times New Roman" w:cs="Times New Roman" w:eastAsia="Times New Roman" w:hAnsi="Times New Roman"/>
                  <w:sz w:val="18"/>
                  <w:szCs w:val="18"/>
                  <w:color w:val="0000FF"/>
                  <w:w w:val="99"/>
                </w:rPr>
                <w:t>Certificate of Amendment of the Certificate of Incorporation, effective</w:t>
              </w:r>
            </w:hyperlink>
          </w:p>
        </w:tc>
        <w:tc>
          <w:tcPr>
            <w:tcW w:w="20" w:type="dxa"/>
            <w:vAlign w:val="bottom"/>
          </w:tcPr>
          <w:p>
            <w:pPr>
              <w:spacing w:after="0"/>
              <w:rPr>
                <w:sz w:val="24"/>
                <w:szCs w:val="24"/>
                <w:color w:val="auto"/>
              </w:rPr>
            </w:pPr>
          </w:p>
        </w:tc>
        <w:tc>
          <w:tcPr>
            <w:tcW w:w="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10-Q</w:t>
            </w:r>
          </w:p>
        </w:tc>
        <w:tc>
          <w:tcPr>
            <w:tcW w:w="12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001-34600</w:t>
            </w:r>
          </w:p>
        </w:tc>
        <w:tc>
          <w:tcPr>
            <w:tcW w:w="90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3.4</w:t>
            </w:r>
          </w:p>
        </w:tc>
        <w:tc>
          <w:tcPr>
            <w:tcW w:w="1740" w:type="dxa"/>
            <w:vAlign w:val="bottom"/>
            <w:vMerge w:val="restart"/>
          </w:tcPr>
          <w:p>
            <w:pPr>
              <w:jc w:val="center"/>
              <w:ind w:left="211"/>
              <w:spacing w:after="0"/>
              <w:rPr>
                <w:sz w:val="20"/>
                <w:szCs w:val="20"/>
                <w:color w:val="auto"/>
              </w:rPr>
            </w:pPr>
            <w:r>
              <w:rPr>
                <w:rFonts w:ascii="Times New Roman" w:cs="Times New Roman" w:eastAsia="Times New Roman" w:hAnsi="Times New Roman"/>
                <w:sz w:val="18"/>
                <w:szCs w:val="18"/>
                <w:color w:val="auto"/>
                <w:w w:val="98"/>
              </w:rPr>
              <w:t>December 15, 2014</w:t>
            </w:r>
          </w:p>
        </w:tc>
        <w:tc>
          <w:tcPr>
            <w:tcW w:w="0" w:type="dxa"/>
            <w:vAlign w:val="bottom"/>
          </w:tcPr>
          <w:p>
            <w:pPr>
              <w:spacing w:after="0"/>
              <w:rPr>
                <w:sz w:val="1"/>
                <w:szCs w:val="1"/>
                <w:color w:val="auto"/>
              </w:rPr>
            </w:pPr>
          </w:p>
        </w:tc>
      </w:tr>
      <w:tr>
        <w:trPr>
          <w:trHeight w:val="128"/>
        </w:trPr>
        <w:tc>
          <w:tcPr>
            <w:tcW w:w="1480" w:type="dxa"/>
            <w:vAlign w:val="bottom"/>
            <w:gridSpan w:val="9"/>
            <w:vMerge w:val="restart"/>
          </w:tcPr>
          <w:p>
            <w:pPr>
              <w:spacing w:after="0" w:line="195" w:lineRule="exact"/>
              <w:rPr>
                <w:rFonts w:ascii="Times New Roman" w:cs="Times New Roman" w:eastAsia="Times New Roman" w:hAnsi="Times New Roman"/>
                <w:sz w:val="18"/>
                <w:szCs w:val="18"/>
                <w:color w:val="0000FF"/>
                <w:w w:val="97"/>
              </w:rPr>
            </w:pPr>
            <w:hyperlink r:id="rId66">
              <w:r>
                <w:rPr>
                  <w:rFonts w:ascii="Times New Roman" w:cs="Times New Roman" w:eastAsia="Times New Roman" w:hAnsi="Times New Roman"/>
                  <w:sz w:val="18"/>
                  <w:szCs w:val="18"/>
                  <w:color w:val="0000FF"/>
                  <w:w w:val="97"/>
                </w:rPr>
                <w:t>September 19, 2014.</w:t>
              </w:r>
            </w:hyperlink>
          </w:p>
        </w:tc>
        <w:tc>
          <w:tcPr>
            <w:tcW w:w="20" w:type="dxa"/>
            <w:vAlign w:val="bottom"/>
            <w:vMerge w:val="restart"/>
          </w:tcPr>
          <w:p>
            <w:pPr>
              <w:spacing w:after="0"/>
              <w:rPr>
                <w:sz w:val="11"/>
                <w:szCs w:val="11"/>
                <w:color w:val="auto"/>
              </w:rPr>
            </w:pPr>
          </w:p>
        </w:tc>
        <w:tc>
          <w:tcPr>
            <w:tcW w:w="3620" w:type="dxa"/>
            <w:vAlign w:val="bottom"/>
            <w:gridSpan w:val="9"/>
            <w:vMerge w:val="restart"/>
          </w:tcPr>
          <w:p>
            <w:pPr>
              <w:spacing w:after="0"/>
              <w:rPr>
                <w:sz w:val="11"/>
                <w:szCs w:val="11"/>
                <w:color w:val="auto"/>
              </w:rPr>
            </w:pPr>
          </w:p>
        </w:tc>
        <w:tc>
          <w:tcPr>
            <w:tcW w:w="9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1480" w:type="dxa"/>
            <w:vAlign w:val="bottom"/>
            <w:tcBorders>
              <w:bottom w:val="single" w:sz="8" w:color="0000FF"/>
            </w:tcBorders>
            <w:gridSpan w:val="9"/>
            <w:vMerge w:val="continue"/>
          </w:tcPr>
          <w:p>
            <w:pPr>
              <w:spacing w:after="0"/>
              <w:rPr>
                <w:sz w:val="5"/>
                <w:szCs w:val="5"/>
                <w:color w:val="auto"/>
              </w:rPr>
            </w:pPr>
          </w:p>
        </w:tc>
        <w:tc>
          <w:tcPr>
            <w:tcW w:w="20" w:type="dxa"/>
            <w:vAlign w:val="bottom"/>
            <w:tcBorders>
              <w:bottom w:val="single" w:sz="8" w:color="0000EE"/>
            </w:tcBorders>
            <w:vMerge w:val="continue"/>
          </w:tcPr>
          <w:p>
            <w:pPr>
              <w:spacing w:after="0"/>
              <w:rPr>
                <w:sz w:val="5"/>
                <w:szCs w:val="5"/>
                <w:color w:val="auto"/>
              </w:rPr>
            </w:pPr>
          </w:p>
        </w:tc>
        <w:tc>
          <w:tcPr>
            <w:tcW w:w="3620" w:type="dxa"/>
            <w:vAlign w:val="bottom"/>
            <w:gridSpan w:val="9"/>
            <w:vMerge w:val="continue"/>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9"/>
        </w:trPr>
        <w:tc>
          <w:tcPr>
            <w:tcW w:w="510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67">
              <w:r>
                <w:rPr>
                  <w:rFonts w:ascii="Times New Roman" w:cs="Times New Roman" w:eastAsia="Times New Roman" w:hAnsi="Times New Roman"/>
                  <w:sz w:val="18"/>
                  <w:szCs w:val="18"/>
                  <w:color w:val="0000FF"/>
                  <w:w w:val="99"/>
                </w:rPr>
                <w:t>Certificate of Amendment of the Certificate of Incorporation, effective</w:t>
              </w:r>
            </w:hyperlink>
          </w:p>
        </w:tc>
        <w:tc>
          <w:tcPr>
            <w:tcW w:w="20" w:type="dxa"/>
            <w:vAlign w:val="bottom"/>
          </w:tcPr>
          <w:p>
            <w:pPr>
              <w:spacing w:after="0"/>
              <w:rPr>
                <w:sz w:val="24"/>
                <w:szCs w:val="24"/>
                <w:color w:val="auto"/>
              </w:rPr>
            </w:pPr>
          </w:p>
        </w:tc>
        <w:tc>
          <w:tcPr>
            <w:tcW w:w="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8-K</w:t>
            </w:r>
          </w:p>
        </w:tc>
        <w:tc>
          <w:tcPr>
            <w:tcW w:w="12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001-34600</w:t>
            </w:r>
          </w:p>
        </w:tc>
        <w:tc>
          <w:tcPr>
            <w:tcW w:w="90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3.1</w:t>
            </w:r>
          </w:p>
        </w:tc>
        <w:tc>
          <w:tcPr>
            <w:tcW w:w="1740" w:type="dxa"/>
            <w:vAlign w:val="bottom"/>
            <w:vMerge w:val="restart"/>
          </w:tcPr>
          <w:p>
            <w:pPr>
              <w:jc w:val="center"/>
              <w:ind w:left="211"/>
              <w:spacing w:after="0"/>
              <w:rPr>
                <w:sz w:val="20"/>
                <w:szCs w:val="20"/>
                <w:color w:val="auto"/>
              </w:rPr>
            </w:pPr>
            <w:r>
              <w:rPr>
                <w:rFonts w:ascii="Times New Roman" w:cs="Times New Roman" w:eastAsia="Times New Roman" w:hAnsi="Times New Roman"/>
                <w:sz w:val="18"/>
                <w:szCs w:val="18"/>
                <w:color w:val="auto"/>
                <w:w w:val="99"/>
              </w:rPr>
              <w:t>February 23, 2018</w:t>
            </w:r>
          </w:p>
        </w:tc>
        <w:tc>
          <w:tcPr>
            <w:tcW w:w="0" w:type="dxa"/>
            <w:vAlign w:val="bottom"/>
          </w:tcPr>
          <w:p>
            <w:pPr>
              <w:spacing w:after="0"/>
              <w:rPr>
                <w:sz w:val="1"/>
                <w:szCs w:val="1"/>
                <w:color w:val="auto"/>
              </w:rPr>
            </w:pPr>
          </w:p>
        </w:tc>
      </w:tr>
      <w:tr>
        <w:trPr>
          <w:trHeight w:val="128"/>
        </w:trPr>
        <w:tc>
          <w:tcPr>
            <w:tcW w:w="1400" w:type="dxa"/>
            <w:vAlign w:val="bottom"/>
            <w:gridSpan w:val="8"/>
            <w:vMerge w:val="restart"/>
          </w:tcPr>
          <w:p>
            <w:pPr>
              <w:spacing w:after="0" w:line="195" w:lineRule="exact"/>
              <w:rPr>
                <w:rFonts w:ascii="Times New Roman" w:cs="Times New Roman" w:eastAsia="Times New Roman" w:hAnsi="Times New Roman"/>
                <w:sz w:val="18"/>
                <w:szCs w:val="18"/>
                <w:color w:val="0000FF"/>
                <w:w w:val="99"/>
              </w:rPr>
            </w:pPr>
            <w:hyperlink r:id="rId67">
              <w:r>
                <w:rPr>
                  <w:rFonts w:ascii="Times New Roman" w:cs="Times New Roman" w:eastAsia="Times New Roman" w:hAnsi="Times New Roman"/>
                  <w:sz w:val="18"/>
                  <w:szCs w:val="18"/>
                  <w:color w:val="0000FF"/>
                  <w:w w:val="99"/>
                </w:rPr>
                <w:t>February 23, 2018.</w:t>
              </w:r>
            </w:hyperlink>
          </w:p>
        </w:tc>
        <w:tc>
          <w:tcPr>
            <w:tcW w:w="3720" w:type="dxa"/>
            <w:vAlign w:val="bottom"/>
            <w:gridSpan w:val="11"/>
            <w:vMerge w:val="restart"/>
          </w:tcPr>
          <w:p>
            <w:pPr>
              <w:spacing w:after="0"/>
              <w:rPr>
                <w:sz w:val="11"/>
                <w:szCs w:val="11"/>
                <w:color w:val="auto"/>
              </w:rPr>
            </w:pPr>
          </w:p>
        </w:tc>
        <w:tc>
          <w:tcPr>
            <w:tcW w:w="9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1400" w:type="dxa"/>
            <w:vAlign w:val="bottom"/>
            <w:tcBorders>
              <w:bottom w:val="single" w:sz="8" w:color="0000FF"/>
            </w:tcBorders>
            <w:gridSpan w:val="8"/>
            <w:vMerge w:val="continue"/>
          </w:tcPr>
          <w:p>
            <w:pPr>
              <w:spacing w:after="0"/>
              <w:rPr>
                <w:sz w:val="5"/>
                <w:szCs w:val="5"/>
                <w:color w:val="auto"/>
              </w:rPr>
            </w:pPr>
          </w:p>
        </w:tc>
        <w:tc>
          <w:tcPr>
            <w:tcW w:w="3720" w:type="dxa"/>
            <w:vAlign w:val="bottom"/>
            <w:gridSpan w:val="11"/>
            <w:vMerge w:val="continue"/>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9"/>
        </w:trPr>
        <w:tc>
          <w:tcPr>
            <w:tcW w:w="510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67">
              <w:r>
                <w:rPr>
                  <w:rFonts w:ascii="Times New Roman" w:cs="Times New Roman" w:eastAsia="Times New Roman" w:hAnsi="Times New Roman"/>
                  <w:sz w:val="18"/>
                  <w:szCs w:val="18"/>
                  <w:color w:val="0000FF"/>
                  <w:w w:val="99"/>
                </w:rPr>
                <w:t>Certificate of Amendment of the Certificate of Incorporation, effective</w:t>
              </w:r>
            </w:hyperlink>
          </w:p>
        </w:tc>
        <w:tc>
          <w:tcPr>
            <w:tcW w:w="20" w:type="dxa"/>
            <w:vAlign w:val="bottom"/>
          </w:tcPr>
          <w:p>
            <w:pPr>
              <w:spacing w:after="0"/>
              <w:rPr>
                <w:sz w:val="24"/>
                <w:szCs w:val="24"/>
                <w:color w:val="auto"/>
              </w:rPr>
            </w:pPr>
          </w:p>
        </w:tc>
        <w:tc>
          <w:tcPr>
            <w:tcW w:w="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8-K</w:t>
            </w:r>
          </w:p>
        </w:tc>
        <w:tc>
          <w:tcPr>
            <w:tcW w:w="12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001-34600</w:t>
            </w:r>
          </w:p>
        </w:tc>
        <w:tc>
          <w:tcPr>
            <w:tcW w:w="90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3.1</w:t>
            </w:r>
          </w:p>
        </w:tc>
        <w:tc>
          <w:tcPr>
            <w:tcW w:w="1740" w:type="dxa"/>
            <w:vAlign w:val="bottom"/>
            <w:vMerge w:val="restart"/>
          </w:tcPr>
          <w:p>
            <w:pPr>
              <w:jc w:val="center"/>
              <w:ind w:left="191"/>
              <w:spacing w:after="0"/>
              <w:rPr>
                <w:sz w:val="20"/>
                <w:szCs w:val="20"/>
                <w:color w:val="auto"/>
              </w:rPr>
            </w:pPr>
            <w:r>
              <w:rPr>
                <w:rFonts w:ascii="Times New Roman" w:cs="Times New Roman" w:eastAsia="Times New Roman" w:hAnsi="Times New Roman"/>
                <w:sz w:val="18"/>
                <w:szCs w:val="18"/>
                <w:color w:val="auto"/>
                <w:w w:val="99"/>
              </w:rPr>
              <w:t>January 4, 2023</w:t>
            </w:r>
          </w:p>
        </w:tc>
        <w:tc>
          <w:tcPr>
            <w:tcW w:w="0" w:type="dxa"/>
            <w:vAlign w:val="bottom"/>
          </w:tcPr>
          <w:p>
            <w:pPr>
              <w:spacing w:after="0"/>
              <w:rPr>
                <w:sz w:val="1"/>
                <w:szCs w:val="1"/>
                <w:color w:val="auto"/>
              </w:rPr>
            </w:pPr>
          </w:p>
        </w:tc>
      </w:tr>
      <w:tr>
        <w:trPr>
          <w:trHeight w:val="128"/>
        </w:trPr>
        <w:tc>
          <w:tcPr>
            <w:tcW w:w="1180" w:type="dxa"/>
            <w:vAlign w:val="bottom"/>
            <w:gridSpan w:val="5"/>
            <w:vMerge w:val="restart"/>
          </w:tcPr>
          <w:p>
            <w:pPr>
              <w:spacing w:after="0" w:line="195" w:lineRule="exact"/>
              <w:rPr>
                <w:rFonts w:ascii="Times New Roman" w:cs="Times New Roman" w:eastAsia="Times New Roman" w:hAnsi="Times New Roman"/>
                <w:sz w:val="18"/>
                <w:szCs w:val="18"/>
                <w:color w:val="0000FF"/>
                <w:w w:val="97"/>
              </w:rPr>
            </w:pPr>
            <w:hyperlink r:id="rId67">
              <w:r>
                <w:rPr>
                  <w:rFonts w:ascii="Times New Roman" w:cs="Times New Roman" w:eastAsia="Times New Roman" w:hAnsi="Times New Roman"/>
                  <w:sz w:val="18"/>
                  <w:szCs w:val="18"/>
                  <w:color w:val="0000FF"/>
                  <w:w w:val="97"/>
                </w:rPr>
                <w:t>January 4, 2023.</w:t>
              </w:r>
            </w:hyperlink>
          </w:p>
        </w:tc>
        <w:tc>
          <w:tcPr>
            <w:tcW w:w="3940" w:type="dxa"/>
            <w:vAlign w:val="bottom"/>
            <w:gridSpan w:val="14"/>
            <w:vMerge w:val="restart"/>
          </w:tcPr>
          <w:p>
            <w:pPr>
              <w:spacing w:after="0"/>
              <w:rPr>
                <w:sz w:val="11"/>
                <w:szCs w:val="11"/>
                <w:color w:val="auto"/>
              </w:rPr>
            </w:pPr>
          </w:p>
        </w:tc>
        <w:tc>
          <w:tcPr>
            <w:tcW w:w="9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1180" w:type="dxa"/>
            <w:vAlign w:val="bottom"/>
            <w:tcBorders>
              <w:bottom w:val="single" w:sz="8" w:color="0000FF"/>
            </w:tcBorders>
            <w:gridSpan w:val="5"/>
            <w:vMerge w:val="continue"/>
          </w:tcPr>
          <w:p>
            <w:pPr>
              <w:spacing w:after="0"/>
              <w:rPr>
                <w:sz w:val="5"/>
                <w:szCs w:val="5"/>
                <w:color w:val="auto"/>
              </w:rPr>
            </w:pPr>
          </w:p>
        </w:tc>
        <w:tc>
          <w:tcPr>
            <w:tcW w:w="3940" w:type="dxa"/>
            <w:vAlign w:val="bottom"/>
            <w:gridSpan w:val="14"/>
            <w:vMerge w:val="continue"/>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9"/>
        </w:trPr>
        <w:tc>
          <w:tcPr>
            <w:tcW w:w="510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68">
              <w:r>
                <w:rPr>
                  <w:rFonts w:ascii="Times New Roman" w:cs="Times New Roman" w:eastAsia="Times New Roman" w:hAnsi="Times New Roman"/>
                  <w:sz w:val="18"/>
                  <w:szCs w:val="18"/>
                  <w:color w:val="0000FF"/>
                  <w:w w:val="99"/>
                </w:rPr>
                <w:t>Certificate of Amendment of the Certificate of Incorporation, effective</w:t>
              </w:r>
            </w:hyperlink>
          </w:p>
        </w:tc>
        <w:tc>
          <w:tcPr>
            <w:tcW w:w="20" w:type="dxa"/>
            <w:vAlign w:val="bottom"/>
          </w:tcPr>
          <w:p>
            <w:pPr>
              <w:spacing w:after="0"/>
              <w:rPr>
                <w:sz w:val="24"/>
                <w:szCs w:val="24"/>
                <w:color w:val="auto"/>
              </w:rPr>
            </w:pPr>
          </w:p>
        </w:tc>
        <w:tc>
          <w:tcPr>
            <w:tcW w:w="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8-K</w:t>
            </w:r>
          </w:p>
        </w:tc>
        <w:tc>
          <w:tcPr>
            <w:tcW w:w="12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001-34600</w:t>
            </w:r>
          </w:p>
        </w:tc>
        <w:tc>
          <w:tcPr>
            <w:tcW w:w="90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3.1</w:t>
            </w:r>
          </w:p>
        </w:tc>
        <w:tc>
          <w:tcPr>
            <w:tcW w:w="1740" w:type="dxa"/>
            <w:vAlign w:val="bottom"/>
            <w:vMerge w:val="restart"/>
          </w:tcPr>
          <w:p>
            <w:pPr>
              <w:jc w:val="center"/>
              <w:ind w:left="191"/>
              <w:spacing w:after="0"/>
              <w:rPr>
                <w:sz w:val="20"/>
                <w:szCs w:val="20"/>
                <w:color w:val="auto"/>
              </w:rPr>
            </w:pPr>
            <w:r>
              <w:rPr>
                <w:rFonts w:ascii="Times New Roman" w:cs="Times New Roman" w:eastAsia="Times New Roman" w:hAnsi="Times New Roman"/>
                <w:sz w:val="18"/>
                <w:szCs w:val="18"/>
                <w:color w:val="auto"/>
                <w:w w:val="99"/>
              </w:rPr>
              <w:t>January 5, 2024</w:t>
            </w:r>
          </w:p>
        </w:tc>
        <w:tc>
          <w:tcPr>
            <w:tcW w:w="0" w:type="dxa"/>
            <w:vAlign w:val="bottom"/>
          </w:tcPr>
          <w:p>
            <w:pPr>
              <w:spacing w:after="0"/>
              <w:rPr>
                <w:sz w:val="1"/>
                <w:szCs w:val="1"/>
                <w:color w:val="auto"/>
              </w:rPr>
            </w:pPr>
          </w:p>
        </w:tc>
      </w:tr>
      <w:tr>
        <w:trPr>
          <w:trHeight w:val="128"/>
        </w:trPr>
        <w:tc>
          <w:tcPr>
            <w:tcW w:w="1180" w:type="dxa"/>
            <w:vAlign w:val="bottom"/>
            <w:gridSpan w:val="5"/>
            <w:vMerge w:val="restart"/>
          </w:tcPr>
          <w:p>
            <w:pPr>
              <w:spacing w:after="0" w:line="195" w:lineRule="exact"/>
              <w:rPr>
                <w:rFonts w:ascii="Times New Roman" w:cs="Times New Roman" w:eastAsia="Times New Roman" w:hAnsi="Times New Roman"/>
                <w:sz w:val="18"/>
                <w:szCs w:val="18"/>
                <w:color w:val="0000FF"/>
                <w:w w:val="97"/>
              </w:rPr>
            </w:pPr>
            <w:hyperlink r:id="rId68">
              <w:r>
                <w:rPr>
                  <w:rFonts w:ascii="Times New Roman" w:cs="Times New Roman" w:eastAsia="Times New Roman" w:hAnsi="Times New Roman"/>
                  <w:sz w:val="18"/>
                  <w:szCs w:val="18"/>
                  <w:color w:val="0000FF"/>
                  <w:w w:val="97"/>
                </w:rPr>
                <w:t>January 2, 2024.</w:t>
              </w:r>
            </w:hyperlink>
          </w:p>
        </w:tc>
        <w:tc>
          <w:tcPr>
            <w:tcW w:w="3940" w:type="dxa"/>
            <w:vAlign w:val="bottom"/>
            <w:gridSpan w:val="14"/>
            <w:vMerge w:val="restart"/>
          </w:tcPr>
          <w:p>
            <w:pPr>
              <w:spacing w:after="0"/>
              <w:rPr>
                <w:sz w:val="11"/>
                <w:szCs w:val="11"/>
                <w:color w:val="auto"/>
              </w:rPr>
            </w:pPr>
          </w:p>
        </w:tc>
        <w:tc>
          <w:tcPr>
            <w:tcW w:w="9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1180" w:type="dxa"/>
            <w:vAlign w:val="bottom"/>
            <w:tcBorders>
              <w:bottom w:val="single" w:sz="8" w:color="0000FF"/>
            </w:tcBorders>
            <w:gridSpan w:val="5"/>
            <w:vMerge w:val="continue"/>
          </w:tcPr>
          <w:p>
            <w:pPr>
              <w:spacing w:after="0"/>
              <w:rPr>
                <w:sz w:val="5"/>
                <w:szCs w:val="5"/>
                <w:color w:val="auto"/>
              </w:rPr>
            </w:pPr>
          </w:p>
        </w:tc>
        <w:tc>
          <w:tcPr>
            <w:tcW w:w="3940" w:type="dxa"/>
            <w:vAlign w:val="bottom"/>
            <w:gridSpan w:val="14"/>
            <w:vMerge w:val="continue"/>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-642620</wp:posOffset>
            </wp:positionH>
            <wp:positionV relativeFrom="paragraph">
              <wp:posOffset>-3800475</wp:posOffset>
            </wp:positionV>
            <wp:extent cx="7132955" cy="408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7132955" cy="408940"/>
                    </a:xfrm>
                    <a:prstGeom prst="rect">
                      <a:avLst/>
                    </a:prstGeom>
                    <a:noFill/>
                  </pic:spPr>
                </pic:pic>
              </a:graphicData>
            </a:graphic>
          </wp:anchor>
        </w:drawing>
        <w:drawing>
          <wp:anchor simplePos="0" relativeHeight="251657728" behindDoc="1" locked="0" layoutInCell="0" allowOverlap="1">
            <wp:simplePos x="0" y="0"/>
            <wp:positionH relativeFrom="column">
              <wp:posOffset>-642620</wp:posOffset>
            </wp:positionH>
            <wp:positionV relativeFrom="paragraph">
              <wp:posOffset>-3255010</wp:posOffset>
            </wp:positionV>
            <wp:extent cx="7132955" cy="408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7132955" cy="408940"/>
                    </a:xfrm>
                    <a:prstGeom prst="rect">
                      <a:avLst/>
                    </a:prstGeom>
                    <a:noFill/>
                  </pic:spPr>
                </pic:pic>
              </a:graphicData>
            </a:graphic>
          </wp:anchor>
        </w:drawing>
        <w:drawing>
          <wp:anchor simplePos="0" relativeHeight="251657728" behindDoc="1" locked="0" layoutInCell="0" allowOverlap="1">
            <wp:simplePos x="0" y="0"/>
            <wp:positionH relativeFrom="column">
              <wp:posOffset>-642620</wp:posOffset>
            </wp:positionH>
            <wp:positionV relativeFrom="paragraph">
              <wp:posOffset>-2709545</wp:posOffset>
            </wp:positionV>
            <wp:extent cx="7132955" cy="272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7132955" cy="272415"/>
                    </a:xfrm>
                    <a:prstGeom prst="rect">
                      <a:avLst/>
                    </a:prstGeom>
                    <a:noFill/>
                  </pic:spPr>
                </pic:pic>
              </a:graphicData>
            </a:graphic>
          </wp:anchor>
        </w:drawing>
        <w:drawing>
          <wp:anchor simplePos="0" relativeHeight="251657728" behindDoc="1" locked="0" layoutInCell="0" allowOverlap="1">
            <wp:simplePos x="0" y="0"/>
            <wp:positionH relativeFrom="column">
              <wp:posOffset>-642620</wp:posOffset>
            </wp:positionH>
            <wp:positionV relativeFrom="paragraph">
              <wp:posOffset>-2300605</wp:posOffset>
            </wp:positionV>
            <wp:extent cx="7132955" cy="272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7132955" cy="272415"/>
                    </a:xfrm>
                    <a:prstGeom prst="rect">
                      <a:avLst/>
                    </a:prstGeom>
                    <a:noFill/>
                  </pic:spPr>
                </pic:pic>
              </a:graphicData>
            </a:graphic>
          </wp:anchor>
        </w:drawing>
        <w:drawing>
          <wp:anchor simplePos="0" relativeHeight="251657728" behindDoc="1" locked="0" layoutInCell="0" allowOverlap="1">
            <wp:simplePos x="0" y="0"/>
            <wp:positionH relativeFrom="column">
              <wp:posOffset>-642620</wp:posOffset>
            </wp:positionH>
            <wp:positionV relativeFrom="paragraph">
              <wp:posOffset>-1891030</wp:posOffset>
            </wp:positionV>
            <wp:extent cx="7132955" cy="272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7132955" cy="272415"/>
                    </a:xfrm>
                    <a:prstGeom prst="rect">
                      <a:avLst/>
                    </a:prstGeom>
                    <a:noFill/>
                  </pic:spPr>
                </pic:pic>
              </a:graphicData>
            </a:graphic>
          </wp:anchor>
        </w:drawing>
        <w:drawing>
          <wp:anchor simplePos="0" relativeHeight="251657728" behindDoc="1" locked="0" layoutInCell="0" allowOverlap="1">
            <wp:simplePos x="0" y="0"/>
            <wp:positionH relativeFrom="column">
              <wp:posOffset>-642620</wp:posOffset>
            </wp:positionH>
            <wp:positionV relativeFrom="paragraph">
              <wp:posOffset>-1482090</wp:posOffset>
            </wp:positionV>
            <wp:extent cx="7132955" cy="272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7132955" cy="272415"/>
                    </a:xfrm>
                    <a:prstGeom prst="rect">
                      <a:avLst/>
                    </a:prstGeom>
                    <a:noFill/>
                  </pic:spPr>
                </pic:pic>
              </a:graphicData>
            </a:graphic>
          </wp:anchor>
        </w:drawing>
        <w:drawing>
          <wp:anchor simplePos="0" relativeHeight="251657728" behindDoc="1" locked="0" layoutInCell="0" allowOverlap="1">
            <wp:simplePos x="0" y="0"/>
            <wp:positionH relativeFrom="column">
              <wp:posOffset>-642620</wp:posOffset>
            </wp:positionH>
            <wp:positionV relativeFrom="paragraph">
              <wp:posOffset>-1073150</wp:posOffset>
            </wp:positionV>
            <wp:extent cx="7132955" cy="272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7132955" cy="272415"/>
                    </a:xfrm>
                    <a:prstGeom prst="rect">
                      <a:avLst/>
                    </a:prstGeom>
                    <a:noFill/>
                  </pic:spPr>
                </pic:pic>
              </a:graphicData>
            </a:graphic>
          </wp:anchor>
        </w:drawing>
        <w:drawing>
          <wp:anchor simplePos="0" relativeHeight="251657728" behindDoc="1" locked="0" layoutInCell="0" allowOverlap="1">
            <wp:simplePos x="0" y="0"/>
            <wp:positionH relativeFrom="column">
              <wp:posOffset>-642620</wp:posOffset>
            </wp:positionH>
            <wp:positionV relativeFrom="paragraph">
              <wp:posOffset>-664210</wp:posOffset>
            </wp:positionV>
            <wp:extent cx="7132955" cy="272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7132955" cy="272415"/>
                    </a:xfrm>
                    <a:prstGeom prst="rect">
                      <a:avLst/>
                    </a:prstGeom>
                    <a:noFill/>
                  </pic:spPr>
                </pic:pic>
              </a:graphicData>
            </a:graphic>
          </wp:anchor>
        </w:drawing>
        <w:drawing>
          <wp:anchor simplePos="0" relativeHeight="251657728" behindDoc="1" locked="0" layoutInCell="0" allowOverlap="1">
            <wp:simplePos x="0" y="0"/>
            <wp:positionH relativeFrom="column">
              <wp:posOffset>-642620</wp:posOffset>
            </wp:positionH>
            <wp:positionV relativeFrom="paragraph">
              <wp:posOffset>-255270</wp:posOffset>
            </wp:positionV>
            <wp:extent cx="7132955" cy="272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7132955" cy="272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0" w:space="640"/>
            <w:col w:w="10220"/>
          </w:cols>
          <w:pgMar w:left="320" w:top="117" w:right="339" w:bottom="1440" w:gutter="0" w:footer="0" w:header="0"/>
          <w:type w:val="continuous"/>
        </w:sect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spacing w:after="0"/>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700" w:type="dxa"/>
            <w:vAlign w:val="bottom"/>
            <w:shd w:val="clear" w:color="auto" w:fill="CCEEFF"/>
          </w:tcPr>
          <w:p>
            <w:pPr>
              <w:spacing w:after="0"/>
              <w:rPr>
                <w:sz w:val="17"/>
                <w:szCs w:val="17"/>
                <w:color w:val="auto"/>
              </w:rPr>
            </w:pPr>
          </w:p>
        </w:tc>
        <w:tc>
          <w:tcPr>
            <w:tcW w:w="5120" w:type="dxa"/>
            <w:vAlign w:val="bottom"/>
            <w:gridSpan w:val="26"/>
            <w:shd w:val="clear" w:color="auto" w:fill="CCEEFF"/>
          </w:tcPr>
          <w:p>
            <w:pPr>
              <w:spacing w:after="0"/>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Certificate of Designation of Series A Convertible Preferred Stock,</w:t>
              </w:r>
            </w:hyperlink>
          </w:p>
        </w:tc>
        <w:tc>
          <w:tcPr>
            <w:tcW w:w="40" w:type="dxa"/>
            <w:vAlign w:val="bottom"/>
            <w:shd w:val="clear" w:color="auto" w:fill="CCEEFF"/>
          </w:tcPr>
          <w:p>
            <w:pPr>
              <w:spacing w:after="0"/>
              <w:rPr>
                <w:sz w:val="17"/>
                <w:szCs w:val="17"/>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001-34600</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2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December 11, 2018</w:t>
            </w:r>
          </w:p>
        </w:tc>
        <w:tc>
          <w:tcPr>
            <w:tcW w:w="0" w:type="dxa"/>
            <w:vAlign w:val="bottom"/>
          </w:tcPr>
          <w:p>
            <w:pPr>
              <w:spacing w:after="0"/>
              <w:rPr>
                <w:sz w:val="1"/>
                <w:szCs w:val="1"/>
                <w:color w:val="auto"/>
              </w:rPr>
            </w:pPr>
          </w:p>
        </w:tc>
      </w:tr>
      <w:tr>
        <w:trPr>
          <w:trHeight w:val="128"/>
        </w:trPr>
        <w:tc>
          <w:tcPr>
            <w:tcW w:w="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0000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CCEEFF"/>
            </w:tcBorders>
            <w:shd w:val="clear" w:color="auto" w:fill="CCEEFF"/>
          </w:tcPr>
          <w:p>
            <w:pPr>
              <w:spacing w:after="0"/>
              <w:rPr>
                <w:sz w:val="11"/>
                <w:szCs w:val="11"/>
                <w:color w:val="auto"/>
              </w:rPr>
            </w:pPr>
          </w:p>
        </w:tc>
        <w:tc>
          <w:tcPr>
            <w:tcW w:w="4840" w:type="dxa"/>
            <w:vAlign w:val="bottom"/>
            <w:tcBorders>
              <w:top w:val="single" w:sz="8" w:color="0000FF"/>
            </w:tcBorders>
            <w:gridSpan w:val="21"/>
            <w:vMerge w:val="restart"/>
            <w:shd w:val="clear" w:color="auto" w:fill="CCEEFF"/>
          </w:tcPr>
          <w:p>
            <w:pPr>
              <w:spacing w:after="0" w:line="195"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dated December 10, 2018.</w:t>
              </w:r>
            </w:hyperlink>
          </w:p>
        </w:tc>
        <w:tc>
          <w:tcPr>
            <w:tcW w:w="280" w:type="dxa"/>
            <w:vAlign w:val="bottom"/>
            <w:tcBorders>
              <w:top w:val="single" w:sz="8" w:color="CCEEFF"/>
            </w:tcBorders>
            <w:gridSpan w:val="5"/>
            <w:vMerge w:val="restart"/>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CCEEFF"/>
            </w:tcBorders>
            <w:shd w:val="clear" w:color="auto" w:fill="CCEEFF"/>
          </w:tcPr>
          <w:p>
            <w:pPr>
              <w:spacing w:after="0"/>
              <w:rPr>
                <w:sz w:val="11"/>
                <w:szCs w:val="11"/>
                <w:color w:val="auto"/>
              </w:rPr>
            </w:pPr>
          </w:p>
        </w:tc>
        <w:tc>
          <w:tcPr>
            <w:tcW w:w="2040" w:type="dxa"/>
            <w:vAlign w:val="bottom"/>
            <w:tcBorders>
              <w:top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4840" w:type="dxa"/>
            <w:vAlign w:val="bottom"/>
            <w:gridSpan w:val="21"/>
            <w:vMerge w:val="continue"/>
            <w:shd w:val="clear" w:color="auto" w:fill="CCEEFF"/>
          </w:tcPr>
          <w:p>
            <w:pPr>
              <w:spacing w:after="0"/>
              <w:rPr>
                <w:sz w:val="7"/>
                <w:szCs w:val="7"/>
                <w:color w:val="auto"/>
              </w:rPr>
            </w:pPr>
          </w:p>
        </w:tc>
        <w:tc>
          <w:tcPr>
            <w:tcW w:w="280" w:type="dxa"/>
            <w:vAlign w:val="bottom"/>
            <w:gridSpan w:val="5"/>
            <w:vMerge w:val="continue"/>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20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20" w:type="dxa"/>
            <w:vAlign w:val="bottom"/>
            <w:tcBorders>
              <w:top w:val="single" w:sz="8" w:color="0000FF"/>
            </w:tcBorders>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40" w:type="dxa"/>
            <w:vAlign w:val="bottom"/>
            <w:gridSpan w:val="3"/>
            <w:shd w:val="clear" w:color="auto" w:fill="CCEEFF"/>
          </w:tcPr>
          <w:p>
            <w:pPr>
              <w:ind w:left="20"/>
              <w:spacing w:after="0" w:line="175"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3</w:t>
              </w:r>
            </w:hyperlink>
          </w:p>
        </w:tc>
        <w:tc>
          <w:tcPr>
            <w:tcW w:w="700" w:type="dxa"/>
            <w:vAlign w:val="bottom"/>
            <w:shd w:val="clear" w:color="auto" w:fill="CCEEFF"/>
          </w:tcPr>
          <w:p>
            <w:pPr>
              <w:spacing w:after="0"/>
              <w:rPr>
                <w:sz w:val="16"/>
                <w:szCs w:val="16"/>
                <w:color w:val="auto"/>
              </w:rPr>
            </w:pPr>
          </w:p>
        </w:tc>
        <w:tc>
          <w:tcPr>
            <w:tcW w:w="5120" w:type="dxa"/>
            <w:vAlign w:val="bottom"/>
            <w:gridSpan w:val="26"/>
            <w:shd w:val="clear" w:color="auto" w:fill="CCEEFF"/>
          </w:tcPr>
          <w:p>
            <w:pPr>
              <w:spacing w:after="0" w:line="175"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Fourth Amended and Restated Bylaws.</w:t>
              </w:r>
            </w:hyperlink>
          </w:p>
        </w:tc>
        <w:tc>
          <w:tcPr>
            <w:tcW w:w="40" w:type="dxa"/>
            <w:vAlign w:val="bottom"/>
            <w:shd w:val="clear" w:color="auto" w:fill="CCEEFF"/>
          </w:tcPr>
          <w:p>
            <w:pPr>
              <w:spacing w:after="0"/>
              <w:rPr>
                <w:sz w:val="16"/>
                <w:szCs w:val="16"/>
                <w:color w:val="auto"/>
              </w:rPr>
            </w:pPr>
          </w:p>
        </w:tc>
        <w:tc>
          <w:tcPr>
            <w:tcW w:w="8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rPr>
              <w:t>10-Q</w:t>
            </w:r>
          </w:p>
        </w:tc>
        <w:tc>
          <w:tcPr>
            <w:tcW w:w="1240" w:type="dxa"/>
            <w:vAlign w:val="bottom"/>
            <w:shd w:val="clear" w:color="auto" w:fill="CCEEFF"/>
          </w:tcPr>
          <w:p>
            <w:pPr>
              <w:jc w:val="right"/>
              <w:ind w:right="171"/>
              <w:spacing w:after="0" w:line="175" w:lineRule="exact"/>
              <w:rPr>
                <w:sz w:val="20"/>
                <w:szCs w:val="20"/>
                <w:color w:val="auto"/>
              </w:rPr>
            </w:pPr>
            <w:r>
              <w:rPr>
                <w:rFonts w:ascii="Times New Roman" w:cs="Times New Roman" w:eastAsia="Times New Roman" w:hAnsi="Times New Roman"/>
                <w:sz w:val="18"/>
                <w:szCs w:val="18"/>
                <w:color w:val="auto"/>
              </w:rPr>
              <w:t>001-34600</w:t>
            </w:r>
          </w:p>
        </w:tc>
        <w:tc>
          <w:tcPr>
            <w:tcW w:w="8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7"/>
              </w:rPr>
              <w:t>3.1</w:t>
            </w:r>
          </w:p>
        </w:tc>
        <w:tc>
          <w:tcPr>
            <w:tcW w:w="20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8"/>
              </w:rPr>
              <w:t>August 15, 2023</w:t>
            </w:r>
          </w:p>
        </w:tc>
        <w:tc>
          <w:tcPr>
            <w:tcW w:w="0" w:type="dxa"/>
            <w:vAlign w:val="bottom"/>
          </w:tcPr>
          <w:p>
            <w:pPr>
              <w:spacing w:after="0"/>
              <w:rPr>
                <w:sz w:val="1"/>
                <w:szCs w:val="1"/>
                <w:color w:val="auto"/>
              </w:rPr>
            </w:pPr>
          </w:p>
        </w:tc>
      </w:tr>
      <w:tr>
        <w:trPr>
          <w:trHeight w:val="215"/>
        </w:trPr>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20" w:type="dxa"/>
            <w:vAlign w:val="bottom"/>
            <w:tcBorders>
              <w:top w:val="single" w:sz="8" w:color="0000FF"/>
            </w:tcBorders>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40" w:type="dxa"/>
            <w:vAlign w:val="bottom"/>
            <w:gridSpan w:val="3"/>
            <w:shd w:val="clear" w:color="auto" w:fill="CCEEFF"/>
          </w:tcPr>
          <w:p>
            <w:pPr>
              <w:ind w:left="20"/>
              <w:spacing w:after="0" w:line="175"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w:t>
              </w:r>
            </w:hyperlink>
          </w:p>
        </w:tc>
        <w:tc>
          <w:tcPr>
            <w:tcW w:w="700" w:type="dxa"/>
            <w:vAlign w:val="bottom"/>
            <w:shd w:val="clear" w:color="auto" w:fill="CCEEFF"/>
          </w:tcPr>
          <w:p>
            <w:pPr>
              <w:spacing w:after="0"/>
              <w:rPr>
                <w:sz w:val="16"/>
                <w:szCs w:val="16"/>
                <w:color w:val="auto"/>
              </w:rPr>
            </w:pPr>
          </w:p>
        </w:tc>
        <w:tc>
          <w:tcPr>
            <w:tcW w:w="5120" w:type="dxa"/>
            <w:vAlign w:val="bottom"/>
            <w:gridSpan w:val="26"/>
            <w:shd w:val="clear" w:color="auto" w:fill="CCEEFF"/>
          </w:tcPr>
          <w:p>
            <w:pPr>
              <w:spacing w:after="0" w:line="175"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Specimen Stock Certificate.</w:t>
              </w:r>
            </w:hyperlink>
          </w:p>
        </w:tc>
        <w:tc>
          <w:tcPr>
            <w:tcW w:w="40" w:type="dxa"/>
            <w:vAlign w:val="bottom"/>
            <w:shd w:val="clear" w:color="auto" w:fill="CCEEFF"/>
          </w:tcPr>
          <w:p>
            <w:pPr>
              <w:spacing w:after="0"/>
              <w:rPr>
                <w:sz w:val="16"/>
                <w:szCs w:val="16"/>
                <w:color w:val="auto"/>
              </w:rPr>
            </w:pPr>
          </w:p>
        </w:tc>
        <w:tc>
          <w:tcPr>
            <w:tcW w:w="8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rPr>
              <w:t>10-K</w:t>
            </w:r>
          </w:p>
        </w:tc>
        <w:tc>
          <w:tcPr>
            <w:tcW w:w="1240" w:type="dxa"/>
            <w:vAlign w:val="bottom"/>
            <w:shd w:val="clear" w:color="auto" w:fill="CCEEFF"/>
          </w:tcPr>
          <w:p>
            <w:pPr>
              <w:jc w:val="right"/>
              <w:ind w:right="171"/>
              <w:spacing w:after="0" w:line="175" w:lineRule="exact"/>
              <w:rPr>
                <w:sz w:val="20"/>
                <w:szCs w:val="20"/>
                <w:color w:val="auto"/>
              </w:rPr>
            </w:pPr>
            <w:r>
              <w:rPr>
                <w:rFonts w:ascii="Times New Roman" w:cs="Times New Roman" w:eastAsia="Times New Roman" w:hAnsi="Times New Roman"/>
                <w:sz w:val="18"/>
                <w:szCs w:val="18"/>
                <w:color w:val="auto"/>
              </w:rPr>
              <w:t>001-34600</w:t>
            </w:r>
          </w:p>
        </w:tc>
        <w:tc>
          <w:tcPr>
            <w:tcW w:w="8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7"/>
              </w:rPr>
              <w:t>4.1</w:t>
            </w:r>
          </w:p>
        </w:tc>
        <w:tc>
          <w:tcPr>
            <w:tcW w:w="20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rPr>
              <w:t>July 23, 2010</w:t>
            </w:r>
          </w:p>
        </w:tc>
        <w:tc>
          <w:tcPr>
            <w:tcW w:w="0" w:type="dxa"/>
            <w:vAlign w:val="bottom"/>
          </w:tcPr>
          <w:p>
            <w:pPr>
              <w:spacing w:after="0"/>
              <w:rPr>
                <w:sz w:val="1"/>
                <w:szCs w:val="1"/>
                <w:color w:val="auto"/>
              </w:rPr>
            </w:pPr>
          </w:p>
        </w:tc>
      </w:tr>
      <w:tr>
        <w:trPr>
          <w:trHeight w:val="215"/>
        </w:trPr>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20" w:type="dxa"/>
            <w:vAlign w:val="bottom"/>
            <w:tcBorders>
              <w:top w:val="single" w:sz="8" w:color="0000FF"/>
            </w:tcBorders>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spacing w:after="0" w:line="175"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2</w:t>
              </w:r>
            </w:hyperlink>
          </w:p>
        </w:tc>
        <w:tc>
          <w:tcPr>
            <w:tcW w:w="700" w:type="dxa"/>
            <w:vAlign w:val="bottom"/>
            <w:shd w:val="clear" w:color="auto" w:fill="CCEEFF"/>
          </w:tcPr>
          <w:p>
            <w:pPr>
              <w:spacing w:after="0"/>
              <w:rPr>
                <w:sz w:val="15"/>
                <w:szCs w:val="15"/>
                <w:color w:val="auto"/>
              </w:rPr>
            </w:pPr>
          </w:p>
        </w:tc>
        <w:tc>
          <w:tcPr>
            <w:tcW w:w="5120" w:type="dxa"/>
            <w:vAlign w:val="bottom"/>
            <w:gridSpan w:val="26"/>
            <w:shd w:val="clear" w:color="auto" w:fill="CCEEFF"/>
          </w:tcPr>
          <w:p>
            <w:pPr>
              <w:spacing w:after="0" w:line="175"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Form of Warrant to Purchase Shares of Common Stock, dated</w:t>
              </w:r>
            </w:hyperlink>
          </w:p>
        </w:tc>
        <w:tc>
          <w:tcPr>
            <w:tcW w:w="40" w:type="dxa"/>
            <w:vAlign w:val="bottom"/>
            <w:shd w:val="clear" w:color="auto" w:fill="CCEEFF"/>
          </w:tcPr>
          <w:p>
            <w:pPr>
              <w:spacing w:after="0"/>
              <w:rPr>
                <w:sz w:val="15"/>
                <w:szCs w:val="15"/>
                <w:color w:val="auto"/>
              </w:rPr>
            </w:pPr>
          </w:p>
        </w:tc>
        <w:tc>
          <w:tcPr>
            <w:tcW w:w="8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shd w:val="clear" w:color="auto" w:fill="CCEEFF"/>
          </w:tcPr>
          <w:p>
            <w:pPr>
              <w:jc w:val="right"/>
              <w:ind w:right="171"/>
              <w:spacing w:after="0" w:line="175" w:lineRule="exact"/>
              <w:rPr>
                <w:sz w:val="20"/>
                <w:szCs w:val="20"/>
                <w:color w:val="auto"/>
              </w:rPr>
            </w:pPr>
            <w:r>
              <w:rPr>
                <w:rFonts w:ascii="Times New Roman" w:cs="Times New Roman" w:eastAsia="Times New Roman" w:hAnsi="Times New Roman"/>
                <w:sz w:val="18"/>
                <w:szCs w:val="18"/>
                <w:color w:val="auto"/>
              </w:rPr>
              <w:t>001-34600</w:t>
            </w:r>
          </w:p>
        </w:tc>
        <w:tc>
          <w:tcPr>
            <w:tcW w:w="8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7"/>
              </w:rPr>
              <w:t>4.3</w:t>
            </w:r>
          </w:p>
        </w:tc>
        <w:tc>
          <w:tcPr>
            <w:tcW w:w="20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8"/>
              </w:rPr>
              <w:t>December 11, 2018</w:t>
            </w:r>
          </w:p>
        </w:tc>
        <w:tc>
          <w:tcPr>
            <w:tcW w:w="0" w:type="dxa"/>
            <w:vAlign w:val="bottom"/>
          </w:tcPr>
          <w:p>
            <w:pPr>
              <w:spacing w:after="0"/>
              <w:rPr>
                <w:sz w:val="1"/>
                <w:szCs w:val="1"/>
                <w:color w:val="auto"/>
              </w:rPr>
            </w:pPr>
          </w:p>
        </w:tc>
      </w:tr>
      <w:tr>
        <w:trPr>
          <w:trHeight w:val="215"/>
        </w:trPr>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4480" w:type="dxa"/>
            <w:vAlign w:val="bottom"/>
            <w:tcBorders>
              <w:top w:val="single" w:sz="8" w:color="0000FF"/>
            </w:tcBorders>
            <w:gridSpan w:val="18"/>
            <w:shd w:val="clear" w:color="auto" w:fill="CCEEFF"/>
          </w:tcPr>
          <w:p>
            <w:pPr>
              <w:spacing w:after="0" w:line="195"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December 11, 2018.</w:t>
              </w:r>
            </w:hyperlink>
          </w:p>
        </w:tc>
        <w:tc>
          <w:tcPr>
            <w:tcW w:w="640" w:type="dxa"/>
            <w:vAlign w:val="bottom"/>
            <w:tcBorders>
              <w:top w:val="single" w:sz="8" w:color="CCEEFF"/>
            </w:tcBorders>
            <w:gridSpan w:val="8"/>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20" w:type="dxa"/>
            <w:vAlign w:val="bottom"/>
            <w:tcBorders>
              <w:top w:val="single" w:sz="8" w:color="0000FF"/>
            </w:tcBorders>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40" w:type="dxa"/>
            <w:vAlign w:val="bottom"/>
            <w:gridSpan w:val="3"/>
            <w:shd w:val="clear" w:color="auto" w:fill="CCEEFF"/>
          </w:tcPr>
          <w:p>
            <w:pPr>
              <w:ind w:left="20"/>
              <w:spacing w:after="0" w:line="175"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3</w:t>
              </w:r>
            </w:hyperlink>
          </w:p>
        </w:tc>
        <w:tc>
          <w:tcPr>
            <w:tcW w:w="700" w:type="dxa"/>
            <w:vAlign w:val="bottom"/>
            <w:shd w:val="clear" w:color="auto" w:fill="CCEEFF"/>
          </w:tcPr>
          <w:p>
            <w:pPr>
              <w:spacing w:after="0"/>
              <w:rPr>
                <w:sz w:val="16"/>
                <w:szCs w:val="16"/>
                <w:color w:val="auto"/>
              </w:rPr>
            </w:pPr>
          </w:p>
        </w:tc>
        <w:tc>
          <w:tcPr>
            <w:tcW w:w="5120" w:type="dxa"/>
            <w:vAlign w:val="bottom"/>
            <w:gridSpan w:val="26"/>
            <w:shd w:val="clear" w:color="auto" w:fill="CCEEFF"/>
          </w:tcPr>
          <w:p>
            <w:pPr>
              <w:spacing w:after="0" w:line="175"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Form of Unregistered Warrant, dated March 13, 2020.</w:t>
              </w:r>
            </w:hyperlink>
          </w:p>
        </w:tc>
        <w:tc>
          <w:tcPr>
            <w:tcW w:w="40" w:type="dxa"/>
            <w:vAlign w:val="bottom"/>
            <w:shd w:val="clear" w:color="auto" w:fill="CCEEFF"/>
          </w:tcPr>
          <w:p>
            <w:pPr>
              <w:spacing w:after="0"/>
              <w:rPr>
                <w:sz w:val="16"/>
                <w:szCs w:val="16"/>
                <w:color w:val="auto"/>
              </w:rPr>
            </w:pPr>
          </w:p>
        </w:tc>
        <w:tc>
          <w:tcPr>
            <w:tcW w:w="8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shd w:val="clear" w:color="auto" w:fill="CCEEFF"/>
          </w:tcPr>
          <w:p>
            <w:pPr>
              <w:jc w:val="right"/>
              <w:ind w:right="171"/>
              <w:spacing w:after="0" w:line="175" w:lineRule="exact"/>
              <w:rPr>
                <w:sz w:val="20"/>
                <w:szCs w:val="20"/>
                <w:color w:val="auto"/>
              </w:rPr>
            </w:pPr>
            <w:r>
              <w:rPr>
                <w:rFonts w:ascii="Times New Roman" w:cs="Times New Roman" w:eastAsia="Times New Roman" w:hAnsi="Times New Roman"/>
                <w:sz w:val="18"/>
                <w:szCs w:val="18"/>
                <w:color w:val="auto"/>
              </w:rPr>
              <w:t>001-34600</w:t>
            </w:r>
          </w:p>
        </w:tc>
        <w:tc>
          <w:tcPr>
            <w:tcW w:w="8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7"/>
              </w:rPr>
              <w:t>4.2</w:t>
            </w:r>
          </w:p>
        </w:tc>
        <w:tc>
          <w:tcPr>
            <w:tcW w:w="20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7"/>
              </w:rPr>
              <w:t>March 13, 2020</w:t>
            </w:r>
          </w:p>
        </w:tc>
        <w:tc>
          <w:tcPr>
            <w:tcW w:w="0" w:type="dxa"/>
            <w:vAlign w:val="bottom"/>
          </w:tcPr>
          <w:p>
            <w:pPr>
              <w:spacing w:after="0"/>
              <w:rPr>
                <w:sz w:val="1"/>
                <w:szCs w:val="1"/>
                <w:color w:val="auto"/>
              </w:rPr>
            </w:pPr>
          </w:p>
        </w:tc>
      </w:tr>
      <w:tr>
        <w:trPr>
          <w:trHeight w:val="215"/>
        </w:trPr>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20" w:type="dxa"/>
            <w:vAlign w:val="bottom"/>
            <w:tcBorders>
              <w:top w:val="single" w:sz="8" w:color="0000FF"/>
            </w:tcBorders>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40" w:type="dxa"/>
            <w:vAlign w:val="bottom"/>
            <w:gridSpan w:val="3"/>
            <w:shd w:val="clear" w:color="auto" w:fill="CCEEFF"/>
          </w:tcPr>
          <w:p>
            <w:pPr>
              <w:ind w:left="20"/>
              <w:spacing w:after="0" w:line="175"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4</w:t>
              </w:r>
            </w:hyperlink>
          </w:p>
        </w:tc>
        <w:tc>
          <w:tcPr>
            <w:tcW w:w="700" w:type="dxa"/>
            <w:vAlign w:val="bottom"/>
            <w:shd w:val="clear" w:color="auto" w:fill="CCEEFF"/>
          </w:tcPr>
          <w:p>
            <w:pPr>
              <w:spacing w:after="0"/>
              <w:rPr>
                <w:sz w:val="16"/>
                <w:szCs w:val="16"/>
                <w:color w:val="auto"/>
              </w:rPr>
            </w:pPr>
          </w:p>
        </w:tc>
        <w:tc>
          <w:tcPr>
            <w:tcW w:w="5120" w:type="dxa"/>
            <w:vAlign w:val="bottom"/>
            <w:gridSpan w:val="26"/>
            <w:shd w:val="clear" w:color="auto" w:fill="CCEEFF"/>
          </w:tcPr>
          <w:p>
            <w:pPr>
              <w:spacing w:after="0" w:line="175"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Form of Placement Agent Warrant, dated March 13, 2020.</w:t>
              </w:r>
            </w:hyperlink>
          </w:p>
        </w:tc>
        <w:tc>
          <w:tcPr>
            <w:tcW w:w="40" w:type="dxa"/>
            <w:vAlign w:val="bottom"/>
            <w:shd w:val="clear" w:color="auto" w:fill="CCEEFF"/>
          </w:tcPr>
          <w:p>
            <w:pPr>
              <w:spacing w:after="0"/>
              <w:rPr>
                <w:sz w:val="16"/>
                <w:szCs w:val="16"/>
                <w:color w:val="auto"/>
              </w:rPr>
            </w:pPr>
          </w:p>
        </w:tc>
        <w:tc>
          <w:tcPr>
            <w:tcW w:w="8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shd w:val="clear" w:color="auto" w:fill="CCEEFF"/>
          </w:tcPr>
          <w:p>
            <w:pPr>
              <w:jc w:val="right"/>
              <w:ind w:right="171"/>
              <w:spacing w:after="0" w:line="175" w:lineRule="exact"/>
              <w:rPr>
                <w:sz w:val="20"/>
                <w:szCs w:val="20"/>
                <w:color w:val="auto"/>
              </w:rPr>
            </w:pPr>
            <w:r>
              <w:rPr>
                <w:rFonts w:ascii="Times New Roman" w:cs="Times New Roman" w:eastAsia="Times New Roman" w:hAnsi="Times New Roman"/>
                <w:sz w:val="18"/>
                <w:szCs w:val="18"/>
                <w:color w:val="auto"/>
              </w:rPr>
              <w:t>001-34600</w:t>
            </w:r>
          </w:p>
        </w:tc>
        <w:tc>
          <w:tcPr>
            <w:tcW w:w="8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7"/>
              </w:rPr>
              <w:t>4.3</w:t>
            </w:r>
          </w:p>
        </w:tc>
        <w:tc>
          <w:tcPr>
            <w:tcW w:w="20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7"/>
              </w:rPr>
              <w:t>March 13, 2020</w:t>
            </w:r>
          </w:p>
        </w:tc>
        <w:tc>
          <w:tcPr>
            <w:tcW w:w="0" w:type="dxa"/>
            <w:vAlign w:val="bottom"/>
          </w:tcPr>
          <w:p>
            <w:pPr>
              <w:spacing w:after="0"/>
              <w:rPr>
                <w:sz w:val="1"/>
                <w:szCs w:val="1"/>
                <w:color w:val="auto"/>
              </w:rPr>
            </w:pPr>
          </w:p>
        </w:tc>
      </w:tr>
      <w:tr>
        <w:trPr>
          <w:trHeight w:val="215"/>
        </w:trPr>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20" w:type="dxa"/>
            <w:vAlign w:val="bottom"/>
            <w:tcBorders>
              <w:top w:val="single" w:sz="8" w:color="0000FF"/>
            </w:tcBorders>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40" w:type="dxa"/>
            <w:vAlign w:val="bottom"/>
            <w:gridSpan w:val="3"/>
            <w:shd w:val="clear" w:color="auto" w:fill="CCEEFF"/>
          </w:tcPr>
          <w:p>
            <w:pPr>
              <w:ind w:left="20"/>
              <w:spacing w:after="0" w:line="175"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5</w:t>
              </w:r>
            </w:hyperlink>
          </w:p>
        </w:tc>
        <w:tc>
          <w:tcPr>
            <w:tcW w:w="700" w:type="dxa"/>
            <w:vAlign w:val="bottom"/>
            <w:shd w:val="clear" w:color="auto" w:fill="CCEEFF"/>
          </w:tcPr>
          <w:p>
            <w:pPr>
              <w:spacing w:after="0"/>
              <w:rPr>
                <w:sz w:val="16"/>
                <w:szCs w:val="16"/>
                <w:color w:val="auto"/>
              </w:rPr>
            </w:pPr>
          </w:p>
        </w:tc>
        <w:tc>
          <w:tcPr>
            <w:tcW w:w="5120" w:type="dxa"/>
            <w:vAlign w:val="bottom"/>
            <w:gridSpan w:val="26"/>
            <w:shd w:val="clear" w:color="auto" w:fill="CCEEFF"/>
          </w:tcPr>
          <w:p>
            <w:pPr>
              <w:spacing w:after="0" w:line="175"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Form of Unregistered Warrant, dated July 6, 2020.</w:t>
              </w:r>
            </w:hyperlink>
          </w:p>
        </w:tc>
        <w:tc>
          <w:tcPr>
            <w:tcW w:w="40" w:type="dxa"/>
            <w:vAlign w:val="bottom"/>
            <w:shd w:val="clear" w:color="auto" w:fill="CCEEFF"/>
          </w:tcPr>
          <w:p>
            <w:pPr>
              <w:spacing w:after="0"/>
              <w:rPr>
                <w:sz w:val="16"/>
                <w:szCs w:val="16"/>
                <w:color w:val="auto"/>
              </w:rPr>
            </w:pPr>
          </w:p>
        </w:tc>
        <w:tc>
          <w:tcPr>
            <w:tcW w:w="8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shd w:val="clear" w:color="auto" w:fill="CCEEFF"/>
          </w:tcPr>
          <w:p>
            <w:pPr>
              <w:jc w:val="right"/>
              <w:ind w:right="171"/>
              <w:spacing w:after="0" w:line="175" w:lineRule="exact"/>
              <w:rPr>
                <w:sz w:val="20"/>
                <w:szCs w:val="20"/>
                <w:color w:val="auto"/>
              </w:rPr>
            </w:pPr>
            <w:r>
              <w:rPr>
                <w:rFonts w:ascii="Times New Roman" w:cs="Times New Roman" w:eastAsia="Times New Roman" w:hAnsi="Times New Roman"/>
                <w:sz w:val="18"/>
                <w:szCs w:val="18"/>
                <w:color w:val="auto"/>
              </w:rPr>
              <w:t>001-34600</w:t>
            </w:r>
          </w:p>
        </w:tc>
        <w:tc>
          <w:tcPr>
            <w:tcW w:w="8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7"/>
              </w:rPr>
              <w:t>4.2</w:t>
            </w:r>
          </w:p>
        </w:tc>
        <w:tc>
          <w:tcPr>
            <w:tcW w:w="20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July 8, 2020</w:t>
            </w:r>
          </w:p>
        </w:tc>
        <w:tc>
          <w:tcPr>
            <w:tcW w:w="0" w:type="dxa"/>
            <w:vAlign w:val="bottom"/>
          </w:tcPr>
          <w:p>
            <w:pPr>
              <w:spacing w:after="0"/>
              <w:rPr>
                <w:sz w:val="1"/>
                <w:szCs w:val="1"/>
                <w:color w:val="auto"/>
              </w:rPr>
            </w:pPr>
          </w:p>
        </w:tc>
      </w:tr>
      <w:tr>
        <w:trPr>
          <w:trHeight w:val="215"/>
        </w:trPr>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20" w:type="dxa"/>
            <w:vAlign w:val="bottom"/>
            <w:tcBorders>
              <w:top w:val="single" w:sz="8" w:color="0000FF"/>
            </w:tcBorders>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40" w:type="dxa"/>
            <w:vAlign w:val="bottom"/>
            <w:gridSpan w:val="3"/>
            <w:shd w:val="clear" w:color="auto" w:fill="CCEEFF"/>
          </w:tcPr>
          <w:p>
            <w:pPr>
              <w:ind w:left="20"/>
              <w:spacing w:after="0" w:line="175"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6</w:t>
              </w:r>
            </w:hyperlink>
          </w:p>
        </w:tc>
        <w:tc>
          <w:tcPr>
            <w:tcW w:w="700" w:type="dxa"/>
            <w:vAlign w:val="bottom"/>
            <w:shd w:val="clear" w:color="auto" w:fill="CCEEFF"/>
          </w:tcPr>
          <w:p>
            <w:pPr>
              <w:spacing w:after="0"/>
              <w:rPr>
                <w:sz w:val="16"/>
                <w:szCs w:val="16"/>
                <w:color w:val="auto"/>
              </w:rPr>
            </w:pPr>
          </w:p>
        </w:tc>
        <w:tc>
          <w:tcPr>
            <w:tcW w:w="5120" w:type="dxa"/>
            <w:vAlign w:val="bottom"/>
            <w:gridSpan w:val="26"/>
            <w:shd w:val="clear" w:color="auto" w:fill="CCEEFF"/>
          </w:tcPr>
          <w:p>
            <w:pPr>
              <w:spacing w:after="0" w:line="175"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Form of Placement Agent Warrant, dated July 8, 2020.</w:t>
              </w:r>
            </w:hyperlink>
          </w:p>
        </w:tc>
        <w:tc>
          <w:tcPr>
            <w:tcW w:w="40" w:type="dxa"/>
            <w:vAlign w:val="bottom"/>
            <w:shd w:val="clear" w:color="auto" w:fill="CCEEFF"/>
          </w:tcPr>
          <w:p>
            <w:pPr>
              <w:spacing w:after="0"/>
              <w:rPr>
                <w:sz w:val="16"/>
                <w:szCs w:val="16"/>
                <w:color w:val="auto"/>
              </w:rPr>
            </w:pPr>
          </w:p>
        </w:tc>
        <w:tc>
          <w:tcPr>
            <w:tcW w:w="8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shd w:val="clear" w:color="auto" w:fill="CCEEFF"/>
          </w:tcPr>
          <w:p>
            <w:pPr>
              <w:jc w:val="right"/>
              <w:ind w:right="171"/>
              <w:spacing w:after="0" w:line="175" w:lineRule="exact"/>
              <w:rPr>
                <w:sz w:val="20"/>
                <w:szCs w:val="20"/>
                <w:color w:val="auto"/>
              </w:rPr>
            </w:pPr>
            <w:r>
              <w:rPr>
                <w:rFonts w:ascii="Times New Roman" w:cs="Times New Roman" w:eastAsia="Times New Roman" w:hAnsi="Times New Roman"/>
                <w:sz w:val="18"/>
                <w:szCs w:val="18"/>
                <w:color w:val="auto"/>
              </w:rPr>
              <w:t>001-34600</w:t>
            </w:r>
          </w:p>
        </w:tc>
        <w:tc>
          <w:tcPr>
            <w:tcW w:w="8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7"/>
              </w:rPr>
              <w:t>4.3</w:t>
            </w:r>
          </w:p>
        </w:tc>
        <w:tc>
          <w:tcPr>
            <w:tcW w:w="20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July 8, 2020</w:t>
            </w:r>
          </w:p>
        </w:tc>
        <w:tc>
          <w:tcPr>
            <w:tcW w:w="0" w:type="dxa"/>
            <w:vAlign w:val="bottom"/>
          </w:tcPr>
          <w:p>
            <w:pPr>
              <w:spacing w:after="0"/>
              <w:rPr>
                <w:sz w:val="1"/>
                <w:szCs w:val="1"/>
                <w:color w:val="auto"/>
              </w:rPr>
            </w:pPr>
          </w:p>
        </w:tc>
      </w:tr>
      <w:tr>
        <w:trPr>
          <w:trHeight w:val="215"/>
        </w:trPr>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20" w:type="dxa"/>
            <w:vAlign w:val="bottom"/>
            <w:tcBorders>
              <w:top w:val="single" w:sz="8" w:color="0000FF"/>
            </w:tcBorders>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40" w:type="dxa"/>
            <w:vAlign w:val="bottom"/>
            <w:gridSpan w:val="3"/>
            <w:shd w:val="clear" w:color="auto" w:fill="CCEEFF"/>
          </w:tcPr>
          <w:p>
            <w:pPr>
              <w:ind w:left="20"/>
              <w:spacing w:after="0" w:line="175"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7</w:t>
              </w:r>
            </w:hyperlink>
          </w:p>
        </w:tc>
        <w:tc>
          <w:tcPr>
            <w:tcW w:w="700" w:type="dxa"/>
            <w:vAlign w:val="bottom"/>
            <w:shd w:val="clear" w:color="auto" w:fill="CCEEFF"/>
          </w:tcPr>
          <w:p>
            <w:pPr>
              <w:spacing w:after="0"/>
              <w:rPr>
                <w:sz w:val="16"/>
                <w:szCs w:val="16"/>
                <w:color w:val="auto"/>
              </w:rPr>
            </w:pPr>
          </w:p>
        </w:tc>
        <w:tc>
          <w:tcPr>
            <w:tcW w:w="5120" w:type="dxa"/>
            <w:vAlign w:val="bottom"/>
            <w:gridSpan w:val="26"/>
            <w:shd w:val="clear" w:color="auto" w:fill="CCEEFF"/>
          </w:tcPr>
          <w:p>
            <w:pPr>
              <w:spacing w:after="0" w:line="175"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Form of Unregistered Warrant, dated July 6, 2021.</w:t>
              </w:r>
            </w:hyperlink>
          </w:p>
        </w:tc>
        <w:tc>
          <w:tcPr>
            <w:tcW w:w="40" w:type="dxa"/>
            <w:vAlign w:val="bottom"/>
            <w:shd w:val="clear" w:color="auto" w:fill="CCEEFF"/>
          </w:tcPr>
          <w:p>
            <w:pPr>
              <w:spacing w:after="0"/>
              <w:rPr>
                <w:sz w:val="16"/>
                <w:szCs w:val="16"/>
                <w:color w:val="auto"/>
              </w:rPr>
            </w:pPr>
          </w:p>
        </w:tc>
        <w:tc>
          <w:tcPr>
            <w:tcW w:w="8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shd w:val="clear" w:color="auto" w:fill="CCEEFF"/>
          </w:tcPr>
          <w:p>
            <w:pPr>
              <w:jc w:val="right"/>
              <w:ind w:right="171"/>
              <w:spacing w:after="0" w:line="175" w:lineRule="exact"/>
              <w:rPr>
                <w:sz w:val="20"/>
                <w:szCs w:val="20"/>
                <w:color w:val="auto"/>
              </w:rPr>
            </w:pPr>
            <w:r>
              <w:rPr>
                <w:rFonts w:ascii="Times New Roman" w:cs="Times New Roman" w:eastAsia="Times New Roman" w:hAnsi="Times New Roman"/>
                <w:sz w:val="18"/>
                <w:szCs w:val="18"/>
                <w:color w:val="auto"/>
              </w:rPr>
              <w:t>001-34600</w:t>
            </w:r>
          </w:p>
        </w:tc>
        <w:tc>
          <w:tcPr>
            <w:tcW w:w="8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7"/>
              </w:rPr>
              <w:t>4.2</w:t>
            </w:r>
          </w:p>
        </w:tc>
        <w:tc>
          <w:tcPr>
            <w:tcW w:w="20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July 8, 2021</w:t>
            </w:r>
          </w:p>
        </w:tc>
        <w:tc>
          <w:tcPr>
            <w:tcW w:w="0" w:type="dxa"/>
            <w:vAlign w:val="bottom"/>
          </w:tcPr>
          <w:p>
            <w:pPr>
              <w:spacing w:after="0"/>
              <w:rPr>
                <w:sz w:val="1"/>
                <w:szCs w:val="1"/>
                <w:color w:val="auto"/>
              </w:rPr>
            </w:pPr>
          </w:p>
        </w:tc>
      </w:tr>
      <w:tr>
        <w:trPr>
          <w:trHeight w:val="215"/>
        </w:trPr>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20" w:type="dxa"/>
            <w:vAlign w:val="bottom"/>
            <w:tcBorders>
              <w:top w:val="single" w:sz="8" w:color="0000FF"/>
            </w:tcBorders>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40" w:type="dxa"/>
            <w:vAlign w:val="bottom"/>
            <w:gridSpan w:val="3"/>
            <w:shd w:val="clear" w:color="auto" w:fill="CCEEFF"/>
          </w:tcPr>
          <w:p>
            <w:pPr>
              <w:ind w:left="20"/>
              <w:spacing w:after="0" w:line="175"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8</w:t>
              </w:r>
            </w:hyperlink>
          </w:p>
        </w:tc>
        <w:tc>
          <w:tcPr>
            <w:tcW w:w="700" w:type="dxa"/>
            <w:vAlign w:val="bottom"/>
            <w:shd w:val="clear" w:color="auto" w:fill="CCEEFF"/>
          </w:tcPr>
          <w:p>
            <w:pPr>
              <w:spacing w:after="0"/>
              <w:rPr>
                <w:sz w:val="16"/>
                <w:szCs w:val="16"/>
                <w:color w:val="auto"/>
              </w:rPr>
            </w:pPr>
          </w:p>
        </w:tc>
        <w:tc>
          <w:tcPr>
            <w:tcW w:w="5120" w:type="dxa"/>
            <w:vAlign w:val="bottom"/>
            <w:gridSpan w:val="26"/>
            <w:shd w:val="clear" w:color="auto" w:fill="CCEEFF"/>
          </w:tcPr>
          <w:p>
            <w:pPr>
              <w:spacing w:after="0" w:line="175"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Form of HCW Warrant, dated July 6, 2021.</w:t>
              </w:r>
            </w:hyperlink>
          </w:p>
        </w:tc>
        <w:tc>
          <w:tcPr>
            <w:tcW w:w="40" w:type="dxa"/>
            <w:vAlign w:val="bottom"/>
            <w:shd w:val="clear" w:color="auto" w:fill="CCEEFF"/>
          </w:tcPr>
          <w:p>
            <w:pPr>
              <w:spacing w:after="0"/>
              <w:rPr>
                <w:sz w:val="16"/>
                <w:szCs w:val="16"/>
                <w:color w:val="auto"/>
              </w:rPr>
            </w:pPr>
          </w:p>
        </w:tc>
        <w:tc>
          <w:tcPr>
            <w:tcW w:w="8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shd w:val="clear" w:color="auto" w:fill="CCEEFF"/>
          </w:tcPr>
          <w:p>
            <w:pPr>
              <w:jc w:val="right"/>
              <w:ind w:right="171"/>
              <w:spacing w:after="0" w:line="175" w:lineRule="exact"/>
              <w:rPr>
                <w:sz w:val="20"/>
                <w:szCs w:val="20"/>
                <w:color w:val="auto"/>
              </w:rPr>
            </w:pPr>
            <w:r>
              <w:rPr>
                <w:rFonts w:ascii="Times New Roman" w:cs="Times New Roman" w:eastAsia="Times New Roman" w:hAnsi="Times New Roman"/>
                <w:sz w:val="18"/>
                <w:szCs w:val="18"/>
                <w:color w:val="auto"/>
              </w:rPr>
              <w:t>001-34600</w:t>
            </w:r>
          </w:p>
        </w:tc>
        <w:tc>
          <w:tcPr>
            <w:tcW w:w="8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7"/>
              </w:rPr>
              <w:t>4.3</w:t>
            </w:r>
          </w:p>
        </w:tc>
        <w:tc>
          <w:tcPr>
            <w:tcW w:w="20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July 8, 2021</w:t>
            </w:r>
          </w:p>
        </w:tc>
        <w:tc>
          <w:tcPr>
            <w:tcW w:w="0" w:type="dxa"/>
            <w:vAlign w:val="bottom"/>
          </w:tcPr>
          <w:p>
            <w:pPr>
              <w:spacing w:after="0"/>
              <w:rPr>
                <w:sz w:val="1"/>
                <w:szCs w:val="1"/>
                <w:color w:val="auto"/>
              </w:rPr>
            </w:pPr>
          </w:p>
        </w:tc>
      </w:tr>
      <w:tr>
        <w:trPr>
          <w:trHeight w:val="215"/>
        </w:trPr>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20" w:type="dxa"/>
            <w:vAlign w:val="bottom"/>
            <w:tcBorders>
              <w:top w:val="single" w:sz="8" w:color="0000FF"/>
            </w:tcBorders>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40" w:type="dxa"/>
            <w:vAlign w:val="bottom"/>
            <w:gridSpan w:val="3"/>
            <w:shd w:val="clear" w:color="auto" w:fill="CCEEFF"/>
          </w:tcPr>
          <w:p>
            <w:pPr>
              <w:ind w:left="20"/>
              <w:spacing w:after="0" w:line="175"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9</w:t>
              </w:r>
            </w:hyperlink>
          </w:p>
        </w:tc>
        <w:tc>
          <w:tcPr>
            <w:tcW w:w="700" w:type="dxa"/>
            <w:vAlign w:val="bottom"/>
            <w:shd w:val="clear" w:color="auto" w:fill="CCEEFF"/>
          </w:tcPr>
          <w:p>
            <w:pPr>
              <w:spacing w:after="0"/>
              <w:rPr>
                <w:sz w:val="16"/>
                <w:szCs w:val="16"/>
                <w:color w:val="auto"/>
              </w:rPr>
            </w:pPr>
          </w:p>
        </w:tc>
        <w:tc>
          <w:tcPr>
            <w:tcW w:w="5120" w:type="dxa"/>
            <w:vAlign w:val="bottom"/>
            <w:gridSpan w:val="26"/>
            <w:shd w:val="clear" w:color="auto" w:fill="CCEEFF"/>
          </w:tcPr>
          <w:p>
            <w:pPr>
              <w:spacing w:after="0" w:line="175"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Form of Common Stock Warrant, dated May 19, 2022</w:t>
              </w:r>
            </w:hyperlink>
            <w:r>
              <w:rPr>
                <w:rFonts w:ascii="Times New Roman" w:cs="Times New Roman" w:eastAsia="Times New Roman" w:hAnsi="Times New Roman"/>
                <w:sz w:val="18"/>
                <w:szCs w:val="18"/>
                <w:color w:val="000000"/>
              </w:rPr>
              <w:t>.</w:t>
            </w:r>
          </w:p>
        </w:tc>
        <w:tc>
          <w:tcPr>
            <w:tcW w:w="40" w:type="dxa"/>
            <w:vAlign w:val="bottom"/>
            <w:shd w:val="clear" w:color="auto" w:fill="CCEEFF"/>
          </w:tcPr>
          <w:p>
            <w:pPr>
              <w:spacing w:after="0"/>
              <w:rPr>
                <w:sz w:val="16"/>
                <w:szCs w:val="16"/>
                <w:color w:val="auto"/>
              </w:rPr>
            </w:pPr>
          </w:p>
        </w:tc>
        <w:tc>
          <w:tcPr>
            <w:tcW w:w="8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shd w:val="clear" w:color="auto" w:fill="CCEEFF"/>
          </w:tcPr>
          <w:p>
            <w:pPr>
              <w:jc w:val="right"/>
              <w:ind w:right="171"/>
              <w:spacing w:after="0" w:line="175" w:lineRule="exact"/>
              <w:rPr>
                <w:sz w:val="20"/>
                <w:szCs w:val="20"/>
                <w:color w:val="auto"/>
              </w:rPr>
            </w:pPr>
            <w:r>
              <w:rPr>
                <w:rFonts w:ascii="Times New Roman" w:cs="Times New Roman" w:eastAsia="Times New Roman" w:hAnsi="Times New Roman"/>
                <w:sz w:val="18"/>
                <w:szCs w:val="18"/>
                <w:color w:val="auto"/>
              </w:rPr>
              <w:t>001-34600</w:t>
            </w:r>
          </w:p>
        </w:tc>
        <w:tc>
          <w:tcPr>
            <w:tcW w:w="8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7"/>
              </w:rPr>
              <w:t>4.2</w:t>
            </w:r>
          </w:p>
        </w:tc>
        <w:tc>
          <w:tcPr>
            <w:tcW w:w="20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May 20, 2022</w:t>
            </w:r>
          </w:p>
        </w:tc>
        <w:tc>
          <w:tcPr>
            <w:tcW w:w="0" w:type="dxa"/>
            <w:vAlign w:val="bottom"/>
          </w:tcPr>
          <w:p>
            <w:pPr>
              <w:spacing w:after="0"/>
              <w:rPr>
                <w:sz w:val="1"/>
                <w:szCs w:val="1"/>
                <w:color w:val="auto"/>
              </w:rPr>
            </w:pPr>
          </w:p>
        </w:tc>
      </w:tr>
      <w:tr>
        <w:trPr>
          <w:trHeight w:val="215"/>
        </w:trPr>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20" w:type="dxa"/>
            <w:vAlign w:val="bottom"/>
            <w:tcBorders>
              <w:top w:val="single" w:sz="8" w:color="0000FF"/>
            </w:tcBorders>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0000FF"/>
            </w:tcBorders>
            <w:gridSpan w:val="2"/>
            <w:shd w:val="clear" w:color="auto" w:fill="CCEEFF"/>
          </w:tcPr>
          <w:p>
            <w:pPr>
              <w:spacing w:after="0" w:line="175" w:lineRule="exact"/>
              <w:rPr>
                <w:rFonts w:ascii="Times New Roman" w:cs="Times New Roman" w:eastAsia="Times New Roman" w:hAnsi="Times New Roman"/>
                <w:sz w:val="18"/>
                <w:szCs w:val="18"/>
                <w:color w:val="0000FF"/>
                <w:w w:val="95"/>
              </w:rPr>
            </w:pPr>
            <w:hyperlink r:id="rId90">
              <w:r>
                <w:rPr>
                  <w:rFonts w:ascii="Times New Roman" w:cs="Times New Roman" w:eastAsia="Times New Roman" w:hAnsi="Times New Roman"/>
                  <w:sz w:val="18"/>
                  <w:szCs w:val="18"/>
                  <w:color w:val="0000FF"/>
                  <w:w w:val="95"/>
                </w:rPr>
                <w:t>4.</w:t>
              </w:r>
              <w:r>
                <w:rPr>
                  <w:rFonts w:ascii="Times New Roman" w:cs="Times New Roman" w:eastAsia="Times New Roman" w:hAnsi="Times New Roman"/>
                  <w:sz w:val="18"/>
                  <w:szCs w:val="18"/>
                  <w:u w:val="single" w:color="auto"/>
                  <w:color w:val="0000FF"/>
                  <w:w w:val="95"/>
                </w:rPr>
                <w:t>10</w:t>
              </w:r>
            </w:hyperlink>
          </w:p>
        </w:tc>
        <w:tc>
          <w:tcPr>
            <w:tcW w:w="700" w:type="dxa"/>
            <w:vAlign w:val="bottom"/>
            <w:tcBorders>
              <w:bottom w:val="single" w:sz="8" w:color="CCEEFF"/>
            </w:tcBorders>
            <w:shd w:val="clear" w:color="auto" w:fill="CCEEFF"/>
          </w:tcPr>
          <w:p>
            <w:pPr>
              <w:spacing w:after="0"/>
              <w:rPr>
                <w:sz w:val="15"/>
                <w:szCs w:val="15"/>
                <w:color w:val="auto"/>
              </w:rPr>
            </w:pPr>
          </w:p>
        </w:tc>
        <w:tc>
          <w:tcPr>
            <w:tcW w:w="4880" w:type="dxa"/>
            <w:vAlign w:val="bottom"/>
            <w:tcBorders>
              <w:bottom w:val="single" w:sz="8" w:color="0000FF"/>
            </w:tcBorders>
            <w:gridSpan w:val="22"/>
            <w:shd w:val="clear" w:color="auto" w:fill="CCEEFF"/>
          </w:tcPr>
          <w:p>
            <w:pPr>
              <w:spacing w:after="0" w:line="175" w:lineRule="exact"/>
              <w:rPr>
                <w:rFonts w:ascii="Times New Roman" w:cs="Times New Roman" w:eastAsia="Times New Roman" w:hAnsi="Times New Roman"/>
                <w:sz w:val="18"/>
                <w:szCs w:val="18"/>
                <w:color w:val="0000FF"/>
                <w:w w:val="99"/>
              </w:rPr>
            </w:pPr>
            <w:hyperlink r:id="rId90">
              <w:r>
                <w:rPr>
                  <w:rFonts w:ascii="Times New Roman" w:cs="Times New Roman" w:eastAsia="Times New Roman" w:hAnsi="Times New Roman"/>
                  <w:sz w:val="18"/>
                  <w:szCs w:val="18"/>
                  <w:color w:val="0000FF"/>
                  <w:w w:val="99"/>
                </w:rPr>
                <w:t>Warrant Amendment Agreement, dated as of May 17, 2022, by and</w:t>
              </w:r>
            </w:hyperlink>
          </w:p>
        </w:tc>
        <w:tc>
          <w:tcPr>
            <w:tcW w:w="240" w:type="dxa"/>
            <w:vAlign w:val="bottom"/>
            <w:tcBorders>
              <w:bottom w:val="single" w:sz="8" w:color="CCEEFF"/>
            </w:tcBorders>
            <w:gridSpan w:val="4"/>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Borders>
              <w:bottom w:val="single" w:sz="8" w:color="CCEEFF"/>
            </w:tcBorders>
            <w:shd w:val="clear" w:color="auto" w:fill="CCEEFF"/>
          </w:tcPr>
          <w:p>
            <w:pPr>
              <w:jc w:val="right"/>
              <w:ind w:right="171"/>
              <w:spacing w:after="0" w:line="175" w:lineRule="exact"/>
              <w:rPr>
                <w:sz w:val="20"/>
                <w:szCs w:val="20"/>
                <w:color w:val="auto"/>
              </w:rPr>
            </w:pPr>
            <w:r>
              <w:rPr>
                <w:rFonts w:ascii="Times New Roman" w:cs="Times New Roman" w:eastAsia="Times New Roman" w:hAnsi="Times New Roman"/>
                <w:sz w:val="18"/>
                <w:szCs w:val="18"/>
                <w:color w:val="auto"/>
              </w:rPr>
              <w:t>001-34600</w:t>
            </w:r>
          </w:p>
        </w:tc>
        <w:tc>
          <w:tcPr>
            <w:tcW w:w="88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7"/>
              </w:rPr>
              <w:t>4.3</w:t>
            </w:r>
          </w:p>
        </w:tc>
        <w:tc>
          <w:tcPr>
            <w:tcW w:w="204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May 20, 2022</w:t>
            </w: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120" w:type="dxa"/>
            <w:vAlign w:val="bottom"/>
            <w:gridSpan w:val="26"/>
            <w:shd w:val="clear" w:color="auto" w:fill="CCEEFF"/>
          </w:tcPr>
          <w:p>
            <w:pPr>
              <w:spacing w:after="0" w:line="195"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between the Company and the Investor.</w:t>
              </w:r>
            </w:hyperlink>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20" w:type="dxa"/>
            <w:vAlign w:val="bottom"/>
            <w:tcBorders>
              <w:top w:val="single" w:sz="8" w:color="0000FF"/>
            </w:tcBorders>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0000FF"/>
            </w:tcBorders>
            <w:gridSpan w:val="2"/>
            <w:shd w:val="clear" w:color="auto" w:fill="CFF0FC"/>
          </w:tcPr>
          <w:p>
            <w:pPr>
              <w:spacing w:after="0" w:line="175" w:lineRule="exact"/>
              <w:rPr>
                <w:rFonts w:ascii="Times New Roman" w:cs="Times New Roman" w:eastAsia="Times New Roman" w:hAnsi="Times New Roman"/>
                <w:sz w:val="18"/>
                <w:szCs w:val="18"/>
                <w:color w:val="0000FF"/>
                <w:w w:val="95"/>
              </w:rPr>
            </w:pPr>
            <w:hyperlink r:id="rId91">
              <w:r>
                <w:rPr>
                  <w:rFonts w:ascii="Times New Roman" w:cs="Times New Roman" w:eastAsia="Times New Roman" w:hAnsi="Times New Roman"/>
                  <w:sz w:val="18"/>
                  <w:szCs w:val="18"/>
                  <w:color w:val="0000FF"/>
                  <w:w w:val="95"/>
                </w:rPr>
                <w:t>4.</w:t>
              </w:r>
              <w:r>
                <w:rPr>
                  <w:rFonts w:ascii="Times New Roman" w:cs="Times New Roman" w:eastAsia="Times New Roman" w:hAnsi="Times New Roman"/>
                  <w:sz w:val="18"/>
                  <w:szCs w:val="18"/>
                  <w:u w:val="single" w:color="auto"/>
                  <w:color w:val="0000FF"/>
                  <w:w w:val="95"/>
                </w:rPr>
                <w:t>11</w:t>
              </w:r>
            </w:hyperlink>
          </w:p>
        </w:tc>
        <w:tc>
          <w:tcPr>
            <w:tcW w:w="700" w:type="dxa"/>
            <w:vAlign w:val="bottom"/>
            <w:tcBorders>
              <w:bottom w:val="single" w:sz="8" w:color="CFF0FC"/>
            </w:tcBorders>
            <w:shd w:val="clear" w:color="auto" w:fill="CFF0FC"/>
          </w:tcPr>
          <w:p>
            <w:pPr>
              <w:spacing w:after="0"/>
              <w:rPr>
                <w:sz w:val="15"/>
                <w:szCs w:val="15"/>
                <w:color w:val="auto"/>
              </w:rPr>
            </w:pPr>
          </w:p>
        </w:tc>
        <w:tc>
          <w:tcPr>
            <w:tcW w:w="5040" w:type="dxa"/>
            <w:vAlign w:val="bottom"/>
            <w:tcBorders>
              <w:bottom w:val="single" w:sz="8" w:color="0000FF"/>
            </w:tcBorders>
            <w:gridSpan w:val="24"/>
            <w:shd w:val="clear" w:color="auto" w:fill="CFF0FC"/>
          </w:tcPr>
          <w:p>
            <w:pPr>
              <w:spacing w:after="0" w:line="175" w:lineRule="exact"/>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Warrant Agency Agreement, dated February 3, 2023, by and between</w:t>
              </w:r>
            </w:hyperlink>
          </w:p>
        </w:tc>
        <w:tc>
          <w:tcPr>
            <w:tcW w:w="80" w:type="dxa"/>
            <w:vAlign w:val="bottom"/>
            <w:tcBorders>
              <w:bottom w:val="single" w:sz="8" w:color="CFF0FC"/>
            </w:tcBorders>
            <w:gridSpan w:val="2"/>
            <w:shd w:val="clear" w:color="auto" w:fill="CFF0FC"/>
          </w:tcPr>
          <w:p>
            <w:pPr>
              <w:spacing w:after="0"/>
              <w:rPr>
                <w:sz w:val="15"/>
                <w:szCs w:val="15"/>
                <w:color w:val="auto"/>
              </w:rPr>
            </w:pPr>
          </w:p>
        </w:tc>
        <w:tc>
          <w:tcPr>
            <w:tcW w:w="4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CFF0FC"/>
            </w:tcBorders>
            <w:shd w:val="clear" w:color="auto" w:fill="CFF0FC"/>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Borders>
              <w:bottom w:val="single" w:sz="8" w:color="CFF0FC"/>
            </w:tcBorders>
            <w:shd w:val="clear" w:color="auto" w:fill="CFF0FC"/>
          </w:tcPr>
          <w:p>
            <w:pPr>
              <w:jc w:val="right"/>
              <w:ind w:right="171"/>
              <w:spacing w:after="0" w:line="175" w:lineRule="exact"/>
              <w:rPr>
                <w:sz w:val="20"/>
                <w:szCs w:val="20"/>
                <w:color w:val="auto"/>
              </w:rPr>
            </w:pPr>
            <w:r>
              <w:rPr>
                <w:rFonts w:ascii="Times New Roman" w:cs="Times New Roman" w:eastAsia="Times New Roman" w:hAnsi="Times New Roman"/>
                <w:sz w:val="18"/>
                <w:szCs w:val="18"/>
                <w:color w:val="auto"/>
              </w:rPr>
              <w:t>001-34600</w:t>
            </w:r>
          </w:p>
        </w:tc>
        <w:tc>
          <w:tcPr>
            <w:tcW w:w="880" w:type="dxa"/>
            <w:vAlign w:val="bottom"/>
            <w:tcBorders>
              <w:bottom w:val="single" w:sz="8" w:color="CFF0FC"/>
            </w:tcBorders>
            <w:shd w:val="clear" w:color="auto" w:fill="CFF0FC"/>
          </w:tcPr>
          <w:p>
            <w:pPr>
              <w:jc w:val="center"/>
              <w:spacing w:after="0" w:line="175" w:lineRule="exact"/>
              <w:rPr>
                <w:sz w:val="20"/>
                <w:szCs w:val="20"/>
                <w:color w:val="auto"/>
              </w:rPr>
            </w:pPr>
            <w:r>
              <w:rPr>
                <w:rFonts w:ascii="Times New Roman" w:cs="Times New Roman" w:eastAsia="Times New Roman" w:hAnsi="Times New Roman"/>
                <w:sz w:val="18"/>
                <w:szCs w:val="18"/>
                <w:color w:val="auto"/>
                <w:w w:val="97"/>
              </w:rPr>
              <w:t>4.1</w:t>
            </w:r>
          </w:p>
        </w:tc>
        <w:tc>
          <w:tcPr>
            <w:tcW w:w="2040" w:type="dxa"/>
            <w:vAlign w:val="bottom"/>
            <w:tcBorders>
              <w:bottom w:val="single" w:sz="8" w:color="CFF0FC"/>
            </w:tcBorders>
            <w:shd w:val="clear" w:color="auto" w:fill="CFF0FC"/>
          </w:tcPr>
          <w:p>
            <w:pPr>
              <w:jc w:val="center"/>
              <w:spacing w:after="0" w:line="175" w:lineRule="exact"/>
              <w:rPr>
                <w:sz w:val="20"/>
                <w:szCs w:val="20"/>
                <w:color w:val="auto"/>
              </w:rPr>
            </w:pPr>
            <w:r>
              <w:rPr>
                <w:rFonts w:ascii="Times New Roman" w:cs="Times New Roman" w:eastAsia="Times New Roman" w:hAnsi="Times New Roman"/>
                <w:sz w:val="18"/>
                <w:szCs w:val="18"/>
                <w:color w:val="auto"/>
                <w:w w:val="98"/>
              </w:rPr>
              <w:t>February 7, 2023</w:t>
            </w:r>
          </w:p>
        </w:tc>
        <w:tc>
          <w:tcPr>
            <w:tcW w:w="0" w:type="dxa"/>
            <w:vAlign w:val="bottom"/>
          </w:tcPr>
          <w:p>
            <w:pPr>
              <w:spacing w:after="0"/>
              <w:rPr>
                <w:sz w:val="1"/>
                <w:szCs w:val="1"/>
                <w:color w:val="auto"/>
              </w:rPr>
            </w:pPr>
          </w:p>
        </w:tc>
      </w:tr>
      <w:tr>
        <w:trPr>
          <w:trHeight w:val="215"/>
        </w:trPr>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120" w:type="dxa"/>
            <w:vAlign w:val="bottom"/>
            <w:gridSpan w:val="26"/>
            <w:shd w:val="clear" w:color="auto" w:fill="CFF0FC"/>
          </w:tcPr>
          <w:p>
            <w:pPr>
              <w:spacing w:after="0" w:line="195" w:lineRule="exact"/>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Tenax Therapeutics, Inc. and Direct Transfer LLC.</w:t>
              </w:r>
            </w:hyperlink>
          </w:p>
        </w:tc>
        <w:tc>
          <w:tcPr>
            <w:tcW w:w="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700" w:type="dxa"/>
            <w:vAlign w:val="bottom"/>
            <w:tcBorders>
              <w:top w:val="single" w:sz="8" w:color="CFF0FC"/>
            </w:tcBorders>
          </w:tcPr>
          <w:p>
            <w:pPr>
              <w:spacing w:after="0"/>
              <w:rPr>
                <w:sz w:val="18"/>
                <w:szCs w:val="18"/>
                <w:color w:val="auto"/>
              </w:rPr>
            </w:pPr>
          </w:p>
        </w:tc>
        <w:tc>
          <w:tcPr>
            <w:tcW w:w="620" w:type="dxa"/>
            <w:vAlign w:val="bottom"/>
            <w:tcBorders>
              <w:top w:val="single" w:sz="8" w:color="0000FF"/>
            </w:tcBorders>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880" w:type="dxa"/>
            <w:vAlign w:val="bottom"/>
            <w:tcBorders>
              <w:top w:val="single" w:sz="8" w:color="CFF0FC"/>
            </w:tcBorders>
          </w:tcPr>
          <w:p>
            <w:pPr>
              <w:spacing w:after="0"/>
              <w:rPr>
                <w:sz w:val="18"/>
                <w:szCs w:val="18"/>
                <w:color w:val="auto"/>
              </w:rPr>
            </w:pPr>
          </w:p>
        </w:tc>
        <w:tc>
          <w:tcPr>
            <w:tcW w:w="1240" w:type="dxa"/>
            <w:vAlign w:val="bottom"/>
            <w:tcBorders>
              <w:top w:val="single" w:sz="8" w:color="CFF0FC"/>
            </w:tcBorders>
          </w:tcPr>
          <w:p>
            <w:pPr>
              <w:spacing w:after="0"/>
              <w:rPr>
                <w:sz w:val="18"/>
                <w:szCs w:val="18"/>
                <w:color w:val="auto"/>
              </w:rPr>
            </w:pPr>
          </w:p>
        </w:tc>
        <w:tc>
          <w:tcPr>
            <w:tcW w:w="880" w:type="dxa"/>
            <w:vAlign w:val="bottom"/>
            <w:tcBorders>
              <w:top w:val="single" w:sz="8" w:color="CFF0FC"/>
            </w:tcBorders>
          </w:tcPr>
          <w:p>
            <w:pPr>
              <w:spacing w:after="0"/>
              <w:rPr>
                <w:sz w:val="18"/>
                <w:szCs w:val="18"/>
                <w:color w:val="auto"/>
              </w:rPr>
            </w:pPr>
          </w:p>
        </w:tc>
        <w:tc>
          <w:tcPr>
            <w:tcW w:w="204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040" w:type="dxa"/>
            <w:vAlign w:val="bottom"/>
            <w:gridSpan w:val="4"/>
            <w:shd w:val="clear" w:color="auto" w:fill="CCEEFF"/>
          </w:tcPr>
          <w:p>
            <w:pPr>
              <w:ind w:left="20"/>
              <w:spacing w:after="0" w:line="175"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12</w:t>
              </w:r>
            </w:hyperlink>
          </w:p>
        </w:tc>
        <w:tc>
          <w:tcPr>
            <w:tcW w:w="5120" w:type="dxa"/>
            <w:vAlign w:val="bottom"/>
            <w:gridSpan w:val="26"/>
            <w:shd w:val="clear" w:color="auto" w:fill="CCEEFF"/>
          </w:tcPr>
          <w:p>
            <w:pPr>
              <w:spacing w:after="0" w:line="175"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Form of Common Stock Purchase Warrant, dated February 3, 2023</w:t>
              </w:r>
            </w:hyperlink>
            <w:r>
              <w:rPr>
                <w:rFonts w:ascii="Times New Roman" w:cs="Times New Roman" w:eastAsia="Times New Roman" w:hAnsi="Times New Roman"/>
                <w:sz w:val="18"/>
                <w:szCs w:val="18"/>
                <w:color w:val="000000"/>
              </w:rPr>
              <w:t>.</w:t>
            </w:r>
          </w:p>
        </w:tc>
        <w:tc>
          <w:tcPr>
            <w:tcW w:w="40" w:type="dxa"/>
            <w:vAlign w:val="bottom"/>
            <w:shd w:val="clear" w:color="auto" w:fill="CCEEFF"/>
          </w:tcPr>
          <w:p>
            <w:pPr>
              <w:spacing w:after="0"/>
              <w:rPr>
                <w:sz w:val="16"/>
                <w:szCs w:val="16"/>
                <w:color w:val="auto"/>
              </w:rPr>
            </w:pPr>
          </w:p>
        </w:tc>
        <w:tc>
          <w:tcPr>
            <w:tcW w:w="8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shd w:val="clear" w:color="auto" w:fill="CCEEFF"/>
          </w:tcPr>
          <w:p>
            <w:pPr>
              <w:jc w:val="right"/>
              <w:ind w:right="171"/>
              <w:spacing w:after="0" w:line="175" w:lineRule="exact"/>
              <w:rPr>
                <w:sz w:val="20"/>
                <w:szCs w:val="20"/>
                <w:color w:val="auto"/>
              </w:rPr>
            </w:pPr>
            <w:r>
              <w:rPr>
                <w:rFonts w:ascii="Times New Roman" w:cs="Times New Roman" w:eastAsia="Times New Roman" w:hAnsi="Times New Roman"/>
                <w:sz w:val="18"/>
                <w:szCs w:val="18"/>
                <w:color w:val="auto"/>
              </w:rPr>
              <w:t>001-34600</w:t>
            </w:r>
          </w:p>
        </w:tc>
        <w:tc>
          <w:tcPr>
            <w:tcW w:w="8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7"/>
              </w:rPr>
              <w:t>4.3</w:t>
            </w:r>
          </w:p>
        </w:tc>
        <w:tc>
          <w:tcPr>
            <w:tcW w:w="20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8"/>
              </w:rPr>
              <w:t>February 7, 2023</w:t>
            </w:r>
          </w:p>
        </w:tc>
        <w:tc>
          <w:tcPr>
            <w:tcW w:w="0" w:type="dxa"/>
            <w:vAlign w:val="bottom"/>
          </w:tcPr>
          <w:p>
            <w:pPr>
              <w:spacing w:after="0"/>
              <w:rPr>
                <w:sz w:val="1"/>
                <w:szCs w:val="1"/>
                <w:color w:val="auto"/>
              </w:rPr>
            </w:pPr>
          </w:p>
        </w:tc>
      </w:tr>
      <w:tr>
        <w:trPr>
          <w:trHeight w:val="215"/>
        </w:trPr>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20" w:type="dxa"/>
            <w:vAlign w:val="bottom"/>
            <w:tcBorders>
              <w:top w:val="single" w:sz="8" w:color="0000FF"/>
            </w:tcBorders>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1040" w:type="dxa"/>
            <w:vAlign w:val="bottom"/>
            <w:gridSpan w:val="4"/>
            <w:shd w:val="clear" w:color="auto" w:fill="CCEEFF"/>
          </w:tcPr>
          <w:p>
            <w:pPr>
              <w:ind w:left="20"/>
              <w:spacing w:after="0" w:line="175"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13</w:t>
              </w:r>
            </w:hyperlink>
          </w:p>
        </w:tc>
        <w:tc>
          <w:tcPr>
            <w:tcW w:w="5120" w:type="dxa"/>
            <w:vAlign w:val="bottom"/>
            <w:gridSpan w:val="26"/>
            <w:shd w:val="clear" w:color="auto" w:fill="CCEEFF"/>
          </w:tcPr>
          <w:p>
            <w:pPr>
              <w:spacing w:after="0" w:line="175" w:lineRule="exact"/>
              <w:rPr>
                <w:rFonts w:ascii="Times New Roman" w:cs="Times New Roman" w:eastAsia="Times New Roman" w:hAnsi="Times New Roman"/>
                <w:sz w:val="18"/>
                <w:szCs w:val="18"/>
                <w:color w:val="0000FF"/>
                <w:w w:val="99"/>
              </w:rPr>
            </w:pPr>
            <w:hyperlink r:id="rId93">
              <w:r>
                <w:rPr>
                  <w:rFonts w:ascii="Times New Roman" w:cs="Times New Roman" w:eastAsia="Times New Roman" w:hAnsi="Times New Roman"/>
                  <w:sz w:val="18"/>
                  <w:szCs w:val="18"/>
                  <w:color w:val="0000FF"/>
                  <w:w w:val="99"/>
                </w:rPr>
                <w:t>Warrant Agency Agreement, dated February 12, 2024, by and between</w:t>
              </w:r>
            </w:hyperlink>
          </w:p>
        </w:tc>
        <w:tc>
          <w:tcPr>
            <w:tcW w:w="40" w:type="dxa"/>
            <w:vAlign w:val="bottom"/>
            <w:shd w:val="clear" w:color="auto" w:fill="CCEEFF"/>
          </w:tcPr>
          <w:p>
            <w:pPr>
              <w:spacing w:after="0"/>
              <w:rPr>
                <w:sz w:val="15"/>
                <w:szCs w:val="15"/>
                <w:color w:val="auto"/>
              </w:rPr>
            </w:pPr>
          </w:p>
        </w:tc>
        <w:tc>
          <w:tcPr>
            <w:tcW w:w="8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shd w:val="clear" w:color="auto" w:fill="CCEEFF"/>
          </w:tcPr>
          <w:p>
            <w:pPr>
              <w:jc w:val="right"/>
              <w:ind w:right="171"/>
              <w:spacing w:after="0" w:line="175" w:lineRule="exact"/>
              <w:rPr>
                <w:sz w:val="20"/>
                <w:szCs w:val="20"/>
                <w:color w:val="auto"/>
              </w:rPr>
            </w:pPr>
            <w:r>
              <w:rPr>
                <w:rFonts w:ascii="Times New Roman" w:cs="Times New Roman" w:eastAsia="Times New Roman" w:hAnsi="Times New Roman"/>
                <w:sz w:val="18"/>
                <w:szCs w:val="18"/>
                <w:color w:val="auto"/>
              </w:rPr>
              <w:t>001-34600</w:t>
            </w:r>
          </w:p>
        </w:tc>
        <w:tc>
          <w:tcPr>
            <w:tcW w:w="8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7"/>
              </w:rPr>
              <w:t>4.1</w:t>
            </w:r>
          </w:p>
        </w:tc>
        <w:tc>
          <w:tcPr>
            <w:tcW w:w="20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February 12, 2024</w:t>
            </w:r>
          </w:p>
        </w:tc>
        <w:tc>
          <w:tcPr>
            <w:tcW w:w="0" w:type="dxa"/>
            <w:vAlign w:val="bottom"/>
          </w:tcPr>
          <w:p>
            <w:pPr>
              <w:spacing w:after="0"/>
              <w:rPr>
                <w:sz w:val="1"/>
                <w:szCs w:val="1"/>
                <w:color w:val="auto"/>
              </w:rPr>
            </w:pPr>
          </w:p>
        </w:tc>
      </w:tr>
      <w:tr>
        <w:trPr>
          <w:trHeight w:val="215"/>
        </w:trPr>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5120" w:type="dxa"/>
            <w:vAlign w:val="bottom"/>
            <w:tcBorders>
              <w:top w:val="single" w:sz="8" w:color="0000FF"/>
            </w:tcBorders>
            <w:gridSpan w:val="26"/>
            <w:shd w:val="clear" w:color="auto" w:fill="CCEEFF"/>
          </w:tcPr>
          <w:p>
            <w:pPr>
              <w:spacing w:after="0" w:line="195"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Tenax Therapeutics, Inc. and Direct Transfer LLC.</w:t>
              </w:r>
            </w:hyperlink>
          </w:p>
        </w:tc>
        <w:tc>
          <w:tcPr>
            <w:tcW w:w="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20" w:type="dxa"/>
            <w:vAlign w:val="bottom"/>
            <w:tcBorders>
              <w:top w:val="single" w:sz="8" w:color="0000FF"/>
            </w:tcBorders>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040" w:type="dxa"/>
            <w:vAlign w:val="bottom"/>
            <w:gridSpan w:val="4"/>
            <w:shd w:val="clear" w:color="auto" w:fill="CCEEFF"/>
          </w:tcPr>
          <w:p>
            <w:pPr>
              <w:ind w:left="20"/>
              <w:spacing w:after="0" w:line="175" w:lineRule="exact"/>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14</w:t>
              </w:r>
            </w:hyperlink>
          </w:p>
        </w:tc>
        <w:tc>
          <w:tcPr>
            <w:tcW w:w="5120" w:type="dxa"/>
            <w:vAlign w:val="bottom"/>
            <w:gridSpan w:val="26"/>
            <w:shd w:val="clear" w:color="auto" w:fill="CCEEFF"/>
          </w:tcPr>
          <w:p>
            <w:pPr>
              <w:spacing w:after="0" w:line="175" w:lineRule="exact"/>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Form of Common Stock Purchase Warrant, dated February 12, 2024.</w:t>
              </w:r>
            </w:hyperlink>
          </w:p>
        </w:tc>
        <w:tc>
          <w:tcPr>
            <w:tcW w:w="40" w:type="dxa"/>
            <w:vAlign w:val="bottom"/>
            <w:shd w:val="clear" w:color="auto" w:fill="CCEEFF"/>
          </w:tcPr>
          <w:p>
            <w:pPr>
              <w:spacing w:after="0"/>
              <w:rPr>
                <w:sz w:val="16"/>
                <w:szCs w:val="16"/>
                <w:color w:val="auto"/>
              </w:rPr>
            </w:pPr>
          </w:p>
        </w:tc>
        <w:tc>
          <w:tcPr>
            <w:tcW w:w="8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shd w:val="clear" w:color="auto" w:fill="CCEEFF"/>
          </w:tcPr>
          <w:p>
            <w:pPr>
              <w:jc w:val="right"/>
              <w:ind w:right="171"/>
              <w:spacing w:after="0" w:line="175" w:lineRule="exact"/>
              <w:rPr>
                <w:sz w:val="20"/>
                <w:szCs w:val="20"/>
                <w:color w:val="auto"/>
              </w:rPr>
            </w:pPr>
            <w:r>
              <w:rPr>
                <w:rFonts w:ascii="Times New Roman" w:cs="Times New Roman" w:eastAsia="Times New Roman" w:hAnsi="Times New Roman"/>
                <w:sz w:val="18"/>
                <w:szCs w:val="18"/>
                <w:color w:val="auto"/>
              </w:rPr>
              <w:t>001-34600</w:t>
            </w:r>
          </w:p>
        </w:tc>
        <w:tc>
          <w:tcPr>
            <w:tcW w:w="8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7"/>
              </w:rPr>
              <w:t>4.3</w:t>
            </w:r>
          </w:p>
        </w:tc>
        <w:tc>
          <w:tcPr>
            <w:tcW w:w="20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February 12, 2024</w:t>
            </w:r>
          </w:p>
        </w:tc>
        <w:tc>
          <w:tcPr>
            <w:tcW w:w="0" w:type="dxa"/>
            <w:vAlign w:val="bottom"/>
          </w:tcPr>
          <w:p>
            <w:pPr>
              <w:spacing w:after="0"/>
              <w:rPr>
                <w:sz w:val="1"/>
                <w:szCs w:val="1"/>
                <w:color w:val="auto"/>
              </w:rPr>
            </w:pPr>
          </w:p>
        </w:tc>
      </w:tr>
      <w:tr>
        <w:trPr>
          <w:trHeight w:val="215"/>
        </w:trPr>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20" w:type="dxa"/>
            <w:vAlign w:val="bottom"/>
            <w:tcBorders>
              <w:top w:val="single" w:sz="8" w:color="0000FF"/>
            </w:tcBorders>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1040" w:type="dxa"/>
            <w:vAlign w:val="bottom"/>
            <w:tcBorders>
              <w:bottom w:val="single" w:sz="8" w:color="CFF0FC"/>
            </w:tcBorders>
            <w:gridSpan w:val="4"/>
            <w:vMerge w:val="restart"/>
            <w:shd w:val="clear" w:color="auto" w:fill="CFF0FC"/>
          </w:tcPr>
          <w:p>
            <w:pPr>
              <w:ind w:left="20"/>
              <w:spacing w:after="0"/>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15</w:t>
              </w:r>
            </w:hyperlink>
          </w:p>
        </w:tc>
        <w:tc>
          <w:tcPr>
            <w:tcW w:w="4660" w:type="dxa"/>
            <w:vAlign w:val="bottom"/>
            <w:tcBorders>
              <w:bottom w:val="single" w:sz="8" w:color="0000FF"/>
            </w:tcBorders>
            <w:gridSpan w:val="19"/>
            <w:shd w:val="clear" w:color="auto" w:fill="CFF0FC"/>
          </w:tcPr>
          <w:p>
            <w:pPr>
              <w:spacing w:after="0" w:line="175"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Form of Pre-Funded Warrant to Purchase Common Stock, dated</w:t>
              </w:r>
            </w:hyperlink>
          </w:p>
        </w:tc>
        <w:tc>
          <w:tcPr>
            <w:tcW w:w="460" w:type="dxa"/>
            <w:vAlign w:val="bottom"/>
            <w:tcBorders>
              <w:bottom w:val="single" w:sz="8" w:color="CFF0FC"/>
            </w:tcBorders>
            <w:gridSpan w:val="7"/>
            <w:shd w:val="clear" w:color="auto" w:fill="CFF0FC"/>
          </w:tcPr>
          <w:p>
            <w:pPr>
              <w:spacing w:after="0"/>
              <w:rPr>
                <w:sz w:val="15"/>
                <w:szCs w:val="15"/>
                <w:color w:val="auto"/>
              </w:rPr>
            </w:pPr>
          </w:p>
        </w:tc>
        <w:tc>
          <w:tcPr>
            <w:tcW w:w="4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CFF0FC"/>
            </w:tcBorders>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Borders>
              <w:bottom w:val="single" w:sz="8" w:color="CFF0FC"/>
            </w:tcBorders>
            <w:vMerge w:val="restart"/>
            <w:shd w:val="clear" w:color="auto" w:fill="CFF0FC"/>
          </w:tcPr>
          <w:p>
            <w:pPr>
              <w:jc w:val="right"/>
              <w:ind w:right="171"/>
              <w:spacing w:after="0"/>
              <w:rPr>
                <w:sz w:val="20"/>
                <w:szCs w:val="20"/>
                <w:color w:val="auto"/>
              </w:rPr>
            </w:pPr>
            <w:r>
              <w:rPr>
                <w:rFonts w:ascii="Times New Roman" w:cs="Times New Roman" w:eastAsia="Times New Roman" w:hAnsi="Times New Roman"/>
                <w:sz w:val="18"/>
                <w:szCs w:val="18"/>
                <w:color w:val="auto"/>
              </w:rPr>
              <w:t>001-34600</w:t>
            </w:r>
          </w:p>
        </w:tc>
        <w:tc>
          <w:tcPr>
            <w:tcW w:w="880" w:type="dxa"/>
            <w:vAlign w:val="bottom"/>
            <w:tcBorders>
              <w:bottom w:val="single" w:sz="8" w:color="CFF0FC"/>
            </w:tcBorders>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2040" w:type="dxa"/>
            <w:vAlign w:val="bottom"/>
            <w:tcBorders>
              <w:bottom w:val="single" w:sz="8" w:color="CFF0FC"/>
            </w:tcBorders>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August 6, 2024</w:t>
            </w:r>
          </w:p>
        </w:tc>
        <w:tc>
          <w:tcPr>
            <w:tcW w:w="0" w:type="dxa"/>
            <w:vAlign w:val="bottom"/>
          </w:tcPr>
          <w:p>
            <w:pPr>
              <w:spacing w:after="0"/>
              <w:rPr>
                <w:sz w:val="1"/>
                <w:szCs w:val="1"/>
                <w:color w:val="auto"/>
              </w:rPr>
            </w:pPr>
          </w:p>
        </w:tc>
      </w:tr>
      <w:tr>
        <w:trPr>
          <w:trHeight w:val="87"/>
        </w:trPr>
        <w:tc>
          <w:tcPr>
            <w:tcW w:w="1040" w:type="dxa"/>
            <w:vAlign w:val="bottom"/>
            <w:gridSpan w:val="4"/>
            <w:vMerge w:val="continue"/>
            <w:shd w:val="clear" w:color="auto" w:fill="CFF0FC"/>
          </w:tcPr>
          <w:p>
            <w:pPr>
              <w:spacing w:after="0"/>
              <w:rPr>
                <w:sz w:val="7"/>
                <w:szCs w:val="7"/>
                <w:color w:val="auto"/>
              </w:rPr>
            </w:pPr>
          </w:p>
        </w:tc>
        <w:tc>
          <w:tcPr>
            <w:tcW w:w="5120" w:type="dxa"/>
            <w:vAlign w:val="bottom"/>
            <w:gridSpan w:val="26"/>
            <w:vMerge w:val="restart"/>
            <w:shd w:val="clear" w:color="auto" w:fill="CFF0FC"/>
          </w:tcPr>
          <w:p>
            <w:pPr>
              <w:spacing w:after="0" w:line="195"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August 8, 2024.</w:t>
              </w:r>
            </w:hyperlink>
          </w:p>
        </w:tc>
        <w:tc>
          <w:tcPr>
            <w:tcW w:w="40" w:type="dxa"/>
            <w:vAlign w:val="bottom"/>
            <w:shd w:val="clear" w:color="auto" w:fill="CFF0FC"/>
          </w:tcPr>
          <w:p>
            <w:pPr>
              <w:spacing w:after="0"/>
              <w:rPr>
                <w:sz w:val="7"/>
                <w:szCs w:val="7"/>
                <w:color w:val="auto"/>
              </w:rPr>
            </w:pPr>
          </w:p>
        </w:tc>
        <w:tc>
          <w:tcPr>
            <w:tcW w:w="880" w:type="dxa"/>
            <w:vAlign w:val="bottom"/>
            <w:vMerge w:val="continue"/>
            <w:shd w:val="clear" w:color="auto" w:fill="CFF0FC"/>
          </w:tcPr>
          <w:p>
            <w:pPr>
              <w:spacing w:after="0"/>
              <w:rPr>
                <w:sz w:val="7"/>
                <w:szCs w:val="7"/>
                <w:color w:val="auto"/>
              </w:rPr>
            </w:pPr>
          </w:p>
        </w:tc>
        <w:tc>
          <w:tcPr>
            <w:tcW w:w="1240" w:type="dxa"/>
            <w:vAlign w:val="bottom"/>
            <w:vMerge w:val="continue"/>
            <w:shd w:val="clear" w:color="auto" w:fill="CFF0FC"/>
          </w:tcPr>
          <w:p>
            <w:pPr>
              <w:spacing w:after="0"/>
              <w:rPr>
                <w:sz w:val="7"/>
                <w:szCs w:val="7"/>
                <w:color w:val="auto"/>
              </w:rPr>
            </w:pPr>
          </w:p>
        </w:tc>
        <w:tc>
          <w:tcPr>
            <w:tcW w:w="880" w:type="dxa"/>
            <w:vAlign w:val="bottom"/>
            <w:vMerge w:val="continue"/>
            <w:shd w:val="clear" w:color="auto" w:fill="CFF0FC"/>
          </w:tcPr>
          <w:p>
            <w:pPr>
              <w:spacing w:after="0"/>
              <w:rPr>
                <w:sz w:val="7"/>
                <w:szCs w:val="7"/>
                <w:color w:val="auto"/>
              </w:rPr>
            </w:pPr>
          </w:p>
        </w:tc>
        <w:tc>
          <w:tcPr>
            <w:tcW w:w="2040" w:type="dxa"/>
            <w:vAlign w:val="bottom"/>
            <w:vMerge w:val="continue"/>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0" w:type="dxa"/>
            <w:vAlign w:val="bottom"/>
            <w:tcBorders>
              <w:top w:val="single" w:sz="8" w:color="CFF0FC"/>
            </w:tcBorders>
            <w:shd w:val="clear" w:color="auto" w:fill="CFF0FC"/>
          </w:tcPr>
          <w:p>
            <w:pPr>
              <w:spacing w:after="0"/>
              <w:rPr>
                <w:sz w:val="9"/>
                <w:szCs w:val="9"/>
                <w:color w:val="auto"/>
              </w:rPr>
            </w:pPr>
          </w:p>
        </w:tc>
        <w:tc>
          <w:tcPr>
            <w:tcW w:w="220" w:type="dxa"/>
            <w:vAlign w:val="bottom"/>
            <w:tcBorders>
              <w:top w:val="single" w:sz="8" w:color="0000FF"/>
            </w:tcBorders>
            <w:shd w:val="clear" w:color="auto" w:fill="CFF0FC"/>
          </w:tcPr>
          <w:p>
            <w:pPr>
              <w:spacing w:after="0"/>
              <w:rPr>
                <w:sz w:val="9"/>
                <w:szCs w:val="9"/>
                <w:color w:val="auto"/>
              </w:rPr>
            </w:pPr>
          </w:p>
        </w:tc>
        <w:tc>
          <w:tcPr>
            <w:tcW w:w="100" w:type="dxa"/>
            <w:vAlign w:val="bottom"/>
            <w:tcBorders>
              <w:top w:val="single" w:sz="8" w:color="0000FF"/>
            </w:tcBorders>
            <w:shd w:val="clear" w:color="auto" w:fill="CFF0FC"/>
          </w:tcPr>
          <w:p>
            <w:pPr>
              <w:spacing w:after="0"/>
              <w:rPr>
                <w:sz w:val="9"/>
                <w:szCs w:val="9"/>
                <w:color w:val="auto"/>
              </w:rPr>
            </w:pPr>
          </w:p>
        </w:tc>
        <w:tc>
          <w:tcPr>
            <w:tcW w:w="700" w:type="dxa"/>
            <w:vAlign w:val="bottom"/>
            <w:tcBorders>
              <w:top w:val="single" w:sz="8" w:color="CFF0FC"/>
            </w:tcBorders>
            <w:shd w:val="clear" w:color="auto" w:fill="CFF0FC"/>
          </w:tcPr>
          <w:p>
            <w:pPr>
              <w:spacing w:after="0"/>
              <w:rPr>
                <w:sz w:val="9"/>
                <w:szCs w:val="9"/>
                <w:color w:val="auto"/>
              </w:rPr>
            </w:pPr>
          </w:p>
        </w:tc>
        <w:tc>
          <w:tcPr>
            <w:tcW w:w="5120" w:type="dxa"/>
            <w:vAlign w:val="bottom"/>
            <w:tcBorders>
              <w:top w:val="single" w:sz="8" w:color="CFF0FC"/>
            </w:tcBorders>
            <w:gridSpan w:val="26"/>
            <w:vMerge w:val="continue"/>
            <w:shd w:val="clear" w:color="auto" w:fill="CFF0FC"/>
          </w:tcPr>
          <w:p>
            <w:pPr>
              <w:spacing w:after="0"/>
              <w:rPr>
                <w:sz w:val="9"/>
                <w:szCs w:val="9"/>
                <w:color w:val="auto"/>
              </w:rPr>
            </w:pPr>
          </w:p>
        </w:tc>
        <w:tc>
          <w:tcPr>
            <w:tcW w:w="40" w:type="dxa"/>
            <w:vAlign w:val="bottom"/>
            <w:tcBorders>
              <w:top w:val="single" w:sz="8" w:color="CFF0FC"/>
            </w:tcBorders>
            <w:shd w:val="clear" w:color="auto" w:fill="CFF0FC"/>
          </w:tcPr>
          <w:p>
            <w:pPr>
              <w:spacing w:after="0"/>
              <w:rPr>
                <w:sz w:val="9"/>
                <w:szCs w:val="9"/>
                <w:color w:val="auto"/>
              </w:rPr>
            </w:pPr>
          </w:p>
        </w:tc>
        <w:tc>
          <w:tcPr>
            <w:tcW w:w="880" w:type="dxa"/>
            <w:vAlign w:val="bottom"/>
            <w:tcBorders>
              <w:top w:val="single" w:sz="8" w:color="CFF0FC"/>
            </w:tcBorders>
            <w:shd w:val="clear" w:color="auto" w:fill="CFF0FC"/>
          </w:tcPr>
          <w:p>
            <w:pPr>
              <w:spacing w:after="0"/>
              <w:rPr>
                <w:sz w:val="9"/>
                <w:szCs w:val="9"/>
                <w:color w:val="auto"/>
              </w:rPr>
            </w:pPr>
          </w:p>
        </w:tc>
        <w:tc>
          <w:tcPr>
            <w:tcW w:w="1240" w:type="dxa"/>
            <w:vAlign w:val="bottom"/>
            <w:tcBorders>
              <w:top w:val="single" w:sz="8" w:color="CFF0FC"/>
            </w:tcBorders>
            <w:shd w:val="clear" w:color="auto" w:fill="CFF0FC"/>
          </w:tcPr>
          <w:p>
            <w:pPr>
              <w:spacing w:after="0"/>
              <w:rPr>
                <w:sz w:val="9"/>
                <w:szCs w:val="9"/>
                <w:color w:val="auto"/>
              </w:rPr>
            </w:pPr>
          </w:p>
        </w:tc>
        <w:tc>
          <w:tcPr>
            <w:tcW w:w="880" w:type="dxa"/>
            <w:vAlign w:val="bottom"/>
            <w:tcBorders>
              <w:top w:val="single" w:sz="8" w:color="CFF0FC"/>
            </w:tcBorders>
            <w:shd w:val="clear" w:color="auto" w:fill="CFF0FC"/>
          </w:tcPr>
          <w:p>
            <w:pPr>
              <w:spacing w:after="0"/>
              <w:rPr>
                <w:sz w:val="9"/>
                <w:szCs w:val="9"/>
                <w:color w:val="auto"/>
              </w:rPr>
            </w:pPr>
          </w:p>
        </w:tc>
        <w:tc>
          <w:tcPr>
            <w:tcW w:w="2040" w:type="dxa"/>
            <w:vAlign w:val="bottom"/>
            <w:tcBorders>
              <w:top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700" w:type="dxa"/>
            <w:vAlign w:val="bottom"/>
            <w:tcBorders>
              <w:top w:val="single" w:sz="8" w:color="CFF0FC"/>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42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52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50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880" w:type="dxa"/>
            <w:vAlign w:val="bottom"/>
            <w:tcBorders>
              <w:top w:val="single" w:sz="8" w:color="CFF0FC"/>
            </w:tcBorders>
          </w:tcPr>
          <w:p>
            <w:pPr>
              <w:spacing w:after="0"/>
              <w:rPr>
                <w:sz w:val="18"/>
                <w:szCs w:val="18"/>
                <w:color w:val="auto"/>
              </w:rPr>
            </w:pPr>
          </w:p>
        </w:tc>
        <w:tc>
          <w:tcPr>
            <w:tcW w:w="1240" w:type="dxa"/>
            <w:vAlign w:val="bottom"/>
            <w:tcBorders>
              <w:top w:val="single" w:sz="8" w:color="CFF0FC"/>
            </w:tcBorders>
          </w:tcPr>
          <w:p>
            <w:pPr>
              <w:spacing w:after="0"/>
              <w:rPr>
                <w:sz w:val="18"/>
                <w:szCs w:val="18"/>
                <w:color w:val="auto"/>
              </w:rPr>
            </w:pPr>
          </w:p>
        </w:tc>
        <w:tc>
          <w:tcPr>
            <w:tcW w:w="880" w:type="dxa"/>
            <w:vAlign w:val="bottom"/>
            <w:tcBorders>
              <w:top w:val="single" w:sz="8" w:color="CFF0FC"/>
            </w:tcBorders>
          </w:tcPr>
          <w:p>
            <w:pPr>
              <w:spacing w:after="0"/>
              <w:rPr>
                <w:sz w:val="18"/>
                <w:szCs w:val="18"/>
                <w:color w:val="auto"/>
              </w:rPr>
            </w:pPr>
          </w:p>
        </w:tc>
        <w:tc>
          <w:tcPr>
            <w:tcW w:w="204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1040" w:type="dxa"/>
            <w:vAlign w:val="bottom"/>
            <w:tcBorders>
              <w:bottom w:val="single" w:sz="8" w:color="CFF0FC"/>
            </w:tcBorders>
            <w:gridSpan w:val="4"/>
            <w:vMerge w:val="restart"/>
            <w:shd w:val="clear" w:color="auto" w:fill="CFF0FC"/>
          </w:tcPr>
          <w:p>
            <w:pPr>
              <w:ind w:left="20"/>
              <w:spacing w:after="0"/>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16</w:t>
              </w:r>
            </w:hyperlink>
          </w:p>
        </w:tc>
        <w:tc>
          <w:tcPr>
            <w:tcW w:w="5080" w:type="dxa"/>
            <w:vAlign w:val="bottom"/>
            <w:tcBorders>
              <w:bottom w:val="single" w:sz="8" w:color="0000FF"/>
            </w:tcBorders>
            <w:gridSpan w:val="25"/>
            <w:shd w:val="clear" w:color="auto" w:fill="CFF0FC"/>
          </w:tcPr>
          <w:p>
            <w:pPr>
              <w:spacing w:after="0" w:line="175" w:lineRule="exact"/>
              <w:rPr>
                <w:rFonts w:ascii="Times New Roman" w:cs="Times New Roman" w:eastAsia="Times New Roman" w:hAnsi="Times New Roman"/>
                <w:sz w:val="18"/>
                <w:szCs w:val="18"/>
                <w:color w:val="0000FF"/>
                <w:w w:val="99"/>
              </w:rPr>
            </w:pPr>
            <w:hyperlink r:id="rId96">
              <w:r>
                <w:rPr>
                  <w:rFonts w:ascii="Times New Roman" w:cs="Times New Roman" w:eastAsia="Times New Roman" w:hAnsi="Times New Roman"/>
                  <w:sz w:val="18"/>
                  <w:szCs w:val="18"/>
                  <w:color w:val="0000FF"/>
                  <w:w w:val="99"/>
                </w:rPr>
                <w:t>Form of Warrant to Purchase Shares of Common Stock or Pre-Funded</w:t>
              </w:r>
            </w:hyperlink>
          </w:p>
        </w:tc>
        <w:tc>
          <w:tcPr>
            <w:tcW w:w="40" w:type="dxa"/>
            <w:vAlign w:val="bottom"/>
            <w:tcBorders>
              <w:bottom w:val="single" w:sz="8" w:color="CFF0FC"/>
            </w:tcBorders>
            <w:shd w:val="clear" w:color="auto" w:fill="CFF0FC"/>
          </w:tcPr>
          <w:p>
            <w:pPr>
              <w:spacing w:after="0"/>
              <w:rPr>
                <w:sz w:val="15"/>
                <w:szCs w:val="15"/>
                <w:color w:val="auto"/>
              </w:rPr>
            </w:pPr>
          </w:p>
        </w:tc>
        <w:tc>
          <w:tcPr>
            <w:tcW w:w="4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CFF0FC"/>
            </w:tcBorders>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Borders>
              <w:bottom w:val="single" w:sz="8" w:color="CFF0FC"/>
            </w:tcBorders>
            <w:vMerge w:val="restart"/>
            <w:shd w:val="clear" w:color="auto" w:fill="CFF0FC"/>
          </w:tcPr>
          <w:p>
            <w:pPr>
              <w:jc w:val="right"/>
              <w:ind w:right="171"/>
              <w:spacing w:after="0"/>
              <w:rPr>
                <w:sz w:val="20"/>
                <w:szCs w:val="20"/>
                <w:color w:val="auto"/>
              </w:rPr>
            </w:pPr>
            <w:r>
              <w:rPr>
                <w:rFonts w:ascii="Times New Roman" w:cs="Times New Roman" w:eastAsia="Times New Roman" w:hAnsi="Times New Roman"/>
                <w:sz w:val="18"/>
                <w:szCs w:val="18"/>
                <w:color w:val="auto"/>
              </w:rPr>
              <w:t>001-34600</w:t>
            </w:r>
          </w:p>
        </w:tc>
        <w:tc>
          <w:tcPr>
            <w:tcW w:w="880" w:type="dxa"/>
            <w:vAlign w:val="bottom"/>
            <w:tcBorders>
              <w:bottom w:val="single" w:sz="8" w:color="CFF0FC"/>
            </w:tcBorders>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2040" w:type="dxa"/>
            <w:vAlign w:val="bottom"/>
            <w:tcBorders>
              <w:bottom w:val="single" w:sz="8" w:color="CFF0FC"/>
            </w:tcBorders>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August 6, 2024</w:t>
            </w:r>
          </w:p>
        </w:tc>
        <w:tc>
          <w:tcPr>
            <w:tcW w:w="0" w:type="dxa"/>
            <w:vAlign w:val="bottom"/>
          </w:tcPr>
          <w:p>
            <w:pPr>
              <w:spacing w:after="0"/>
              <w:rPr>
                <w:sz w:val="1"/>
                <w:szCs w:val="1"/>
                <w:color w:val="auto"/>
              </w:rPr>
            </w:pPr>
          </w:p>
        </w:tc>
      </w:tr>
      <w:tr>
        <w:trPr>
          <w:trHeight w:val="87"/>
        </w:trPr>
        <w:tc>
          <w:tcPr>
            <w:tcW w:w="1040" w:type="dxa"/>
            <w:vAlign w:val="bottom"/>
            <w:gridSpan w:val="4"/>
            <w:vMerge w:val="continue"/>
            <w:shd w:val="clear" w:color="auto" w:fill="CFF0FC"/>
          </w:tcPr>
          <w:p>
            <w:pPr>
              <w:spacing w:after="0"/>
              <w:rPr>
                <w:sz w:val="7"/>
                <w:szCs w:val="7"/>
                <w:color w:val="auto"/>
              </w:rPr>
            </w:pPr>
          </w:p>
        </w:tc>
        <w:tc>
          <w:tcPr>
            <w:tcW w:w="5120" w:type="dxa"/>
            <w:vAlign w:val="bottom"/>
            <w:gridSpan w:val="26"/>
            <w:vMerge w:val="restart"/>
            <w:shd w:val="clear" w:color="auto" w:fill="CFF0FC"/>
          </w:tcPr>
          <w:p>
            <w:pPr>
              <w:spacing w:after="0" w:line="195"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Warrants, dated August 8, 2024</w:t>
              </w:r>
              <w:r>
                <w:rPr>
                  <w:rFonts w:ascii="Times New Roman" w:cs="Times New Roman" w:eastAsia="Times New Roman" w:hAnsi="Times New Roman"/>
                  <w:sz w:val="18"/>
                  <w:szCs w:val="18"/>
                  <w:color w:val="000000"/>
                </w:rPr>
                <w:t>.</w:t>
              </w:r>
            </w:hyperlink>
          </w:p>
        </w:tc>
        <w:tc>
          <w:tcPr>
            <w:tcW w:w="40" w:type="dxa"/>
            <w:vAlign w:val="bottom"/>
            <w:shd w:val="clear" w:color="auto" w:fill="CFF0FC"/>
          </w:tcPr>
          <w:p>
            <w:pPr>
              <w:spacing w:after="0"/>
              <w:rPr>
                <w:sz w:val="7"/>
                <w:szCs w:val="7"/>
                <w:color w:val="auto"/>
              </w:rPr>
            </w:pPr>
          </w:p>
        </w:tc>
        <w:tc>
          <w:tcPr>
            <w:tcW w:w="880" w:type="dxa"/>
            <w:vAlign w:val="bottom"/>
            <w:vMerge w:val="continue"/>
            <w:shd w:val="clear" w:color="auto" w:fill="CFF0FC"/>
          </w:tcPr>
          <w:p>
            <w:pPr>
              <w:spacing w:after="0"/>
              <w:rPr>
                <w:sz w:val="7"/>
                <w:szCs w:val="7"/>
                <w:color w:val="auto"/>
              </w:rPr>
            </w:pPr>
          </w:p>
        </w:tc>
        <w:tc>
          <w:tcPr>
            <w:tcW w:w="1240" w:type="dxa"/>
            <w:vAlign w:val="bottom"/>
            <w:vMerge w:val="continue"/>
            <w:shd w:val="clear" w:color="auto" w:fill="CFF0FC"/>
          </w:tcPr>
          <w:p>
            <w:pPr>
              <w:spacing w:after="0"/>
              <w:rPr>
                <w:sz w:val="7"/>
                <w:szCs w:val="7"/>
                <w:color w:val="auto"/>
              </w:rPr>
            </w:pPr>
          </w:p>
        </w:tc>
        <w:tc>
          <w:tcPr>
            <w:tcW w:w="880" w:type="dxa"/>
            <w:vAlign w:val="bottom"/>
            <w:vMerge w:val="continue"/>
            <w:shd w:val="clear" w:color="auto" w:fill="CFF0FC"/>
          </w:tcPr>
          <w:p>
            <w:pPr>
              <w:spacing w:after="0"/>
              <w:rPr>
                <w:sz w:val="7"/>
                <w:szCs w:val="7"/>
                <w:color w:val="auto"/>
              </w:rPr>
            </w:pPr>
          </w:p>
        </w:tc>
        <w:tc>
          <w:tcPr>
            <w:tcW w:w="2040" w:type="dxa"/>
            <w:vAlign w:val="bottom"/>
            <w:vMerge w:val="continue"/>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0" w:type="dxa"/>
            <w:vAlign w:val="bottom"/>
            <w:tcBorders>
              <w:top w:val="single" w:sz="8" w:color="CFF0FC"/>
            </w:tcBorders>
            <w:shd w:val="clear" w:color="auto" w:fill="CFF0FC"/>
          </w:tcPr>
          <w:p>
            <w:pPr>
              <w:spacing w:after="0"/>
              <w:rPr>
                <w:sz w:val="9"/>
                <w:szCs w:val="9"/>
                <w:color w:val="auto"/>
              </w:rPr>
            </w:pPr>
          </w:p>
        </w:tc>
        <w:tc>
          <w:tcPr>
            <w:tcW w:w="220" w:type="dxa"/>
            <w:vAlign w:val="bottom"/>
            <w:tcBorders>
              <w:top w:val="single" w:sz="8" w:color="0000FF"/>
            </w:tcBorders>
            <w:shd w:val="clear" w:color="auto" w:fill="CFF0FC"/>
          </w:tcPr>
          <w:p>
            <w:pPr>
              <w:spacing w:after="0"/>
              <w:rPr>
                <w:sz w:val="9"/>
                <w:szCs w:val="9"/>
                <w:color w:val="auto"/>
              </w:rPr>
            </w:pPr>
          </w:p>
        </w:tc>
        <w:tc>
          <w:tcPr>
            <w:tcW w:w="100" w:type="dxa"/>
            <w:vAlign w:val="bottom"/>
            <w:tcBorders>
              <w:top w:val="single" w:sz="8" w:color="0000FF"/>
            </w:tcBorders>
            <w:shd w:val="clear" w:color="auto" w:fill="CFF0FC"/>
          </w:tcPr>
          <w:p>
            <w:pPr>
              <w:spacing w:after="0"/>
              <w:rPr>
                <w:sz w:val="9"/>
                <w:szCs w:val="9"/>
                <w:color w:val="auto"/>
              </w:rPr>
            </w:pPr>
          </w:p>
        </w:tc>
        <w:tc>
          <w:tcPr>
            <w:tcW w:w="700" w:type="dxa"/>
            <w:vAlign w:val="bottom"/>
            <w:tcBorders>
              <w:top w:val="single" w:sz="8" w:color="CFF0FC"/>
            </w:tcBorders>
            <w:shd w:val="clear" w:color="auto" w:fill="CFF0FC"/>
          </w:tcPr>
          <w:p>
            <w:pPr>
              <w:spacing w:after="0"/>
              <w:rPr>
                <w:sz w:val="9"/>
                <w:szCs w:val="9"/>
                <w:color w:val="auto"/>
              </w:rPr>
            </w:pPr>
          </w:p>
        </w:tc>
        <w:tc>
          <w:tcPr>
            <w:tcW w:w="5120" w:type="dxa"/>
            <w:vAlign w:val="bottom"/>
            <w:tcBorders>
              <w:top w:val="single" w:sz="8" w:color="CFF0FC"/>
            </w:tcBorders>
            <w:gridSpan w:val="26"/>
            <w:vMerge w:val="continue"/>
            <w:shd w:val="clear" w:color="auto" w:fill="CFF0FC"/>
          </w:tcPr>
          <w:p>
            <w:pPr>
              <w:spacing w:after="0"/>
              <w:rPr>
                <w:sz w:val="9"/>
                <w:szCs w:val="9"/>
                <w:color w:val="auto"/>
              </w:rPr>
            </w:pPr>
          </w:p>
        </w:tc>
        <w:tc>
          <w:tcPr>
            <w:tcW w:w="40" w:type="dxa"/>
            <w:vAlign w:val="bottom"/>
            <w:tcBorders>
              <w:top w:val="single" w:sz="8" w:color="CFF0FC"/>
            </w:tcBorders>
            <w:shd w:val="clear" w:color="auto" w:fill="CFF0FC"/>
          </w:tcPr>
          <w:p>
            <w:pPr>
              <w:spacing w:after="0"/>
              <w:rPr>
                <w:sz w:val="9"/>
                <w:szCs w:val="9"/>
                <w:color w:val="auto"/>
              </w:rPr>
            </w:pPr>
          </w:p>
        </w:tc>
        <w:tc>
          <w:tcPr>
            <w:tcW w:w="880" w:type="dxa"/>
            <w:vAlign w:val="bottom"/>
            <w:tcBorders>
              <w:top w:val="single" w:sz="8" w:color="CFF0FC"/>
            </w:tcBorders>
            <w:shd w:val="clear" w:color="auto" w:fill="CFF0FC"/>
          </w:tcPr>
          <w:p>
            <w:pPr>
              <w:spacing w:after="0"/>
              <w:rPr>
                <w:sz w:val="9"/>
                <w:szCs w:val="9"/>
                <w:color w:val="auto"/>
              </w:rPr>
            </w:pPr>
          </w:p>
        </w:tc>
        <w:tc>
          <w:tcPr>
            <w:tcW w:w="1240" w:type="dxa"/>
            <w:vAlign w:val="bottom"/>
            <w:tcBorders>
              <w:top w:val="single" w:sz="8" w:color="CFF0FC"/>
            </w:tcBorders>
            <w:shd w:val="clear" w:color="auto" w:fill="CFF0FC"/>
          </w:tcPr>
          <w:p>
            <w:pPr>
              <w:spacing w:after="0"/>
              <w:rPr>
                <w:sz w:val="9"/>
                <w:szCs w:val="9"/>
                <w:color w:val="auto"/>
              </w:rPr>
            </w:pPr>
          </w:p>
        </w:tc>
        <w:tc>
          <w:tcPr>
            <w:tcW w:w="880" w:type="dxa"/>
            <w:vAlign w:val="bottom"/>
            <w:tcBorders>
              <w:top w:val="single" w:sz="8" w:color="CFF0FC"/>
            </w:tcBorders>
            <w:shd w:val="clear" w:color="auto" w:fill="CFF0FC"/>
          </w:tcPr>
          <w:p>
            <w:pPr>
              <w:spacing w:after="0"/>
              <w:rPr>
                <w:sz w:val="9"/>
                <w:szCs w:val="9"/>
                <w:color w:val="auto"/>
              </w:rPr>
            </w:pPr>
          </w:p>
        </w:tc>
        <w:tc>
          <w:tcPr>
            <w:tcW w:w="2040" w:type="dxa"/>
            <w:vAlign w:val="bottom"/>
            <w:tcBorders>
              <w:top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700" w:type="dxa"/>
            <w:vAlign w:val="bottom"/>
            <w:tcBorders>
              <w:top w:val="single" w:sz="8" w:color="CFF0FC"/>
            </w:tcBorders>
          </w:tcPr>
          <w:p>
            <w:pPr>
              <w:spacing w:after="0"/>
              <w:rPr>
                <w:sz w:val="18"/>
                <w:szCs w:val="18"/>
                <w:color w:val="auto"/>
              </w:rPr>
            </w:pPr>
          </w:p>
        </w:tc>
        <w:tc>
          <w:tcPr>
            <w:tcW w:w="620" w:type="dxa"/>
            <w:vAlign w:val="bottom"/>
            <w:tcBorders>
              <w:top w:val="single" w:sz="8" w:color="0000FF"/>
            </w:tcBorders>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52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50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880" w:type="dxa"/>
            <w:vAlign w:val="bottom"/>
            <w:tcBorders>
              <w:top w:val="single" w:sz="8" w:color="CFF0FC"/>
            </w:tcBorders>
          </w:tcPr>
          <w:p>
            <w:pPr>
              <w:spacing w:after="0"/>
              <w:rPr>
                <w:sz w:val="18"/>
                <w:szCs w:val="18"/>
                <w:color w:val="auto"/>
              </w:rPr>
            </w:pPr>
          </w:p>
        </w:tc>
        <w:tc>
          <w:tcPr>
            <w:tcW w:w="1240" w:type="dxa"/>
            <w:vAlign w:val="bottom"/>
            <w:tcBorders>
              <w:top w:val="single" w:sz="8" w:color="CFF0FC"/>
            </w:tcBorders>
          </w:tcPr>
          <w:p>
            <w:pPr>
              <w:spacing w:after="0"/>
              <w:rPr>
                <w:sz w:val="18"/>
                <w:szCs w:val="18"/>
                <w:color w:val="auto"/>
              </w:rPr>
            </w:pPr>
          </w:p>
        </w:tc>
        <w:tc>
          <w:tcPr>
            <w:tcW w:w="880" w:type="dxa"/>
            <w:vAlign w:val="bottom"/>
            <w:tcBorders>
              <w:top w:val="single" w:sz="8" w:color="CFF0FC"/>
            </w:tcBorders>
          </w:tcPr>
          <w:p>
            <w:pPr>
              <w:spacing w:after="0"/>
              <w:rPr>
                <w:sz w:val="18"/>
                <w:szCs w:val="18"/>
                <w:color w:val="auto"/>
              </w:rPr>
            </w:pPr>
          </w:p>
        </w:tc>
        <w:tc>
          <w:tcPr>
            <w:tcW w:w="204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040" w:type="dxa"/>
            <w:vAlign w:val="bottom"/>
            <w:gridSpan w:val="4"/>
            <w:shd w:val="clear" w:color="auto" w:fill="CCEEFF"/>
          </w:tcPr>
          <w:p>
            <w:pPr>
              <w:ind w:left="20"/>
              <w:spacing w:after="0" w:line="175"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17</w:t>
              </w:r>
            </w:hyperlink>
          </w:p>
        </w:tc>
        <w:tc>
          <w:tcPr>
            <w:tcW w:w="5120" w:type="dxa"/>
            <w:vAlign w:val="bottom"/>
            <w:gridSpan w:val="26"/>
            <w:shd w:val="clear" w:color="auto" w:fill="CCEEFF"/>
          </w:tcPr>
          <w:p>
            <w:pPr>
              <w:spacing w:after="0" w:line="175"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Description of Common Stock.</w:t>
              </w:r>
            </w:hyperlink>
          </w:p>
        </w:tc>
        <w:tc>
          <w:tcPr>
            <w:tcW w:w="40" w:type="dxa"/>
            <w:vAlign w:val="bottom"/>
            <w:shd w:val="clear" w:color="auto" w:fill="CCEEFF"/>
          </w:tcPr>
          <w:p>
            <w:pPr>
              <w:spacing w:after="0"/>
              <w:rPr>
                <w:sz w:val="16"/>
                <w:szCs w:val="16"/>
                <w:color w:val="auto"/>
              </w:rPr>
            </w:pPr>
          </w:p>
        </w:tc>
        <w:tc>
          <w:tcPr>
            <w:tcW w:w="8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rPr>
              <w:t>10-K</w:t>
            </w:r>
          </w:p>
        </w:tc>
        <w:tc>
          <w:tcPr>
            <w:tcW w:w="1240" w:type="dxa"/>
            <w:vAlign w:val="bottom"/>
            <w:shd w:val="clear" w:color="auto" w:fill="CCEEFF"/>
          </w:tcPr>
          <w:p>
            <w:pPr>
              <w:jc w:val="right"/>
              <w:ind w:right="171"/>
              <w:spacing w:after="0" w:line="175" w:lineRule="exact"/>
              <w:rPr>
                <w:sz w:val="20"/>
                <w:szCs w:val="20"/>
                <w:color w:val="auto"/>
              </w:rPr>
            </w:pPr>
            <w:r>
              <w:rPr>
                <w:rFonts w:ascii="Times New Roman" w:cs="Times New Roman" w:eastAsia="Times New Roman" w:hAnsi="Times New Roman"/>
                <w:sz w:val="18"/>
                <w:szCs w:val="18"/>
                <w:color w:val="auto"/>
              </w:rPr>
              <w:t>001-34600</w:t>
            </w:r>
          </w:p>
        </w:tc>
        <w:tc>
          <w:tcPr>
            <w:tcW w:w="8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5"/>
              </w:rPr>
              <w:t>4.20</w:t>
            </w:r>
          </w:p>
        </w:tc>
        <w:tc>
          <w:tcPr>
            <w:tcW w:w="204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March 28, 2024</w:t>
            </w:r>
          </w:p>
        </w:tc>
        <w:tc>
          <w:tcPr>
            <w:tcW w:w="0" w:type="dxa"/>
            <w:vAlign w:val="bottom"/>
          </w:tcPr>
          <w:p>
            <w:pPr>
              <w:spacing w:after="0"/>
              <w:rPr>
                <w:sz w:val="1"/>
                <w:szCs w:val="1"/>
                <w:color w:val="auto"/>
              </w:rPr>
            </w:pPr>
          </w:p>
        </w:tc>
      </w:tr>
      <w:tr>
        <w:trPr>
          <w:trHeight w:val="215"/>
        </w:trPr>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20" w:type="dxa"/>
            <w:vAlign w:val="bottom"/>
            <w:tcBorders>
              <w:top w:val="single" w:sz="8" w:color="0000FF"/>
            </w:tcBorders>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1040" w:type="dxa"/>
            <w:vAlign w:val="bottom"/>
            <w:tcBorders>
              <w:bottom w:val="single" w:sz="8" w:color="CFF0FC"/>
            </w:tcBorders>
            <w:gridSpan w:val="4"/>
            <w:vMerge w:val="restart"/>
            <w:shd w:val="clear" w:color="auto" w:fill="CFF0FC"/>
          </w:tcPr>
          <w:p>
            <w:pPr>
              <w:ind w:left="20"/>
              <w:spacing w:after="0"/>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18</w:t>
              </w:r>
            </w:hyperlink>
          </w:p>
        </w:tc>
        <w:tc>
          <w:tcPr>
            <w:tcW w:w="5120" w:type="dxa"/>
            <w:vAlign w:val="bottom"/>
            <w:tcBorders>
              <w:bottom w:val="single" w:sz="8" w:color="0000FF"/>
            </w:tcBorders>
            <w:gridSpan w:val="26"/>
            <w:shd w:val="clear" w:color="auto" w:fill="CFF0FC"/>
          </w:tcPr>
          <w:p>
            <w:pPr>
              <w:spacing w:after="0" w:line="175" w:lineRule="exact"/>
              <w:rPr>
                <w:rFonts w:ascii="Times New Roman" w:cs="Times New Roman" w:eastAsia="Times New Roman" w:hAnsi="Times New Roman"/>
                <w:sz w:val="18"/>
                <w:szCs w:val="18"/>
                <w:color w:val="0000FF"/>
                <w:w w:val="99"/>
              </w:rPr>
            </w:pPr>
            <w:hyperlink r:id="rId98">
              <w:r>
                <w:rPr>
                  <w:rFonts w:ascii="Times New Roman" w:cs="Times New Roman" w:eastAsia="Times New Roman" w:hAnsi="Times New Roman"/>
                  <w:sz w:val="18"/>
                  <w:szCs w:val="18"/>
                  <w:color w:val="0000FF"/>
                  <w:w w:val="99"/>
                </w:rPr>
                <w:t>Form of Pre-Funded Warrant to Purchase Common Stock, dated March</w:t>
              </w:r>
            </w:hyperlink>
          </w:p>
        </w:tc>
        <w:tc>
          <w:tcPr>
            <w:tcW w:w="40" w:type="dxa"/>
            <w:vAlign w:val="bottom"/>
            <w:tcBorders>
              <w:bottom w:val="single" w:sz="8" w:color="0000FF"/>
            </w:tcBorders>
            <w:shd w:val="clear" w:color="auto" w:fill="CFF0FC"/>
          </w:tcPr>
          <w:p>
            <w:pPr>
              <w:spacing w:after="0"/>
              <w:rPr>
                <w:sz w:val="15"/>
                <w:szCs w:val="15"/>
                <w:color w:val="auto"/>
              </w:rPr>
            </w:pPr>
          </w:p>
        </w:tc>
        <w:tc>
          <w:tcPr>
            <w:tcW w:w="880" w:type="dxa"/>
            <w:vAlign w:val="bottom"/>
            <w:tcBorders>
              <w:bottom w:val="single" w:sz="8" w:color="CFF0FC"/>
            </w:tcBorders>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Borders>
              <w:bottom w:val="single" w:sz="8" w:color="CFF0FC"/>
            </w:tcBorders>
            <w:vMerge w:val="restart"/>
            <w:shd w:val="clear" w:color="auto" w:fill="CFF0FC"/>
          </w:tcPr>
          <w:p>
            <w:pPr>
              <w:jc w:val="right"/>
              <w:ind w:right="171"/>
              <w:spacing w:after="0"/>
              <w:rPr>
                <w:sz w:val="20"/>
                <w:szCs w:val="20"/>
                <w:color w:val="auto"/>
              </w:rPr>
            </w:pPr>
            <w:r>
              <w:rPr>
                <w:rFonts w:ascii="Times New Roman" w:cs="Times New Roman" w:eastAsia="Times New Roman" w:hAnsi="Times New Roman"/>
                <w:sz w:val="18"/>
                <w:szCs w:val="18"/>
                <w:color w:val="auto"/>
              </w:rPr>
              <w:t>001-34600</w:t>
            </w:r>
          </w:p>
        </w:tc>
        <w:tc>
          <w:tcPr>
            <w:tcW w:w="880" w:type="dxa"/>
            <w:vAlign w:val="bottom"/>
            <w:tcBorders>
              <w:bottom w:val="single" w:sz="8" w:color="CFF0FC"/>
            </w:tcBorders>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2040" w:type="dxa"/>
            <w:vAlign w:val="bottom"/>
            <w:tcBorders>
              <w:bottom w:val="single" w:sz="8" w:color="CFF0FC"/>
            </w:tcBorders>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March 6, 2025</w:t>
            </w:r>
          </w:p>
        </w:tc>
        <w:tc>
          <w:tcPr>
            <w:tcW w:w="0" w:type="dxa"/>
            <w:vAlign w:val="bottom"/>
          </w:tcPr>
          <w:p>
            <w:pPr>
              <w:spacing w:after="0"/>
              <w:rPr>
                <w:sz w:val="1"/>
                <w:szCs w:val="1"/>
                <w:color w:val="auto"/>
              </w:rPr>
            </w:pPr>
          </w:p>
        </w:tc>
      </w:tr>
      <w:tr>
        <w:trPr>
          <w:trHeight w:val="87"/>
        </w:trPr>
        <w:tc>
          <w:tcPr>
            <w:tcW w:w="1040" w:type="dxa"/>
            <w:vAlign w:val="bottom"/>
            <w:gridSpan w:val="4"/>
            <w:vMerge w:val="continue"/>
            <w:shd w:val="clear" w:color="auto" w:fill="CFF0FC"/>
          </w:tcPr>
          <w:p>
            <w:pPr>
              <w:spacing w:after="0"/>
              <w:rPr>
                <w:sz w:val="7"/>
                <w:szCs w:val="7"/>
                <w:color w:val="auto"/>
              </w:rPr>
            </w:pPr>
          </w:p>
        </w:tc>
        <w:tc>
          <w:tcPr>
            <w:tcW w:w="620" w:type="dxa"/>
            <w:vAlign w:val="bottom"/>
            <w:vMerge w:val="restart"/>
            <w:shd w:val="clear" w:color="auto" w:fill="CFF0FC"/>
          </w:tcPr>
          <w:p>
            <w:pPr>
              <w:spacing w:after="0" w:line="195"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5, 2025.</w:t>
              </w:r>
            </w:hyperlink>
          </w:p>
        </w:tc>
        <w:tc>
          <w:tcPr>
            <w:tcW w:w="520" w:type="dxa"/>
            <w:vAlign w:val="bottom"/>
            <w:shd w:val="clear" w:color="auto" w:fill="CFF0FC"/>
          </w:tcPr>
          <w:p>
            <w:pPr>
              <w:spacing w:after="0"/>
              <w:rPr>
                <w:sz w:val="7"/>
                <w:szCs w:val="7"/>
                <w:color w:val="auto"/>
              </w:rPr>
            </w:pPr>
          </w:p>
        </w:tc>
        <w:tc>
          <w:tcPr>
            <w:tcW w:w="40" w:type="dxa"/>
            <w:vAlign w:val="bottom"/>
            <w:shd w:val="clear" w:color="auto" w:fill="CFF0FC"/>
          </w:tcPr>
          <w:p>
            <w:pPr>
              <w:spacing w:after="0"/>
              <w:rPr>
                <w:sz w:val="7"/>
                <w:szCs w:val="7"/>
                <w:color w:val="auto"/>
              </w:rPr>
            </w:pPr>
          </w:p>
        </w:tc>
        <w:tc>
          <w:tcPr>
            <w:tcW w:w="280" w:type="dxa"/>
            <w:vAlign w:val="bottom"/>
            <w:shd w:val="clear" w:color="auto" w:fill="CFF0FC"/>
          </w:tcPr>
          <w:p>
            <w:pPr>
              <w:spacing w:after="0"/>
              <w:rPr>
                <w:sz w:val="7"/>
                <w:szCs w:val="7"/>
                <w:color w:val="auto"/>
              </w:rPr>
            </w:pPr>
          </w:p>
        </w:tc>
        <w:tc>
          <w:tcPr>
            <w:tcW w:w="4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40" w:type="dxa"/>
            <w:vAlign w:val="bottom"/>
            <w:shd w:val="clear" w:color="auto" w:fill="CFF0FC"/>
          </w:tcPr>
          <w:p>
            <w:pPr>
              <w:spacing w:after="0"/>
              <w:rPr>
                <w:sz w:val="7"/>
                <w:szCs w:val="7"/>
                <w:color w:val="auto"/>
              </w:rPr>
            </w:pPr>
          </w:p>
        </w:tc>
        <w:tc>
          <w:tcPr>
            <w:tcW w:w="520" w:type="dxa"/>
            <w:vAlign w:val="bottom"/>
            <w:shd w:val="clear" w:color="auto" w:fill="CFF0FC"/>
          </w:tcPr>
          <w:p>
            <w:pPr>
              <w:spacing w:after="0"/>
              <w:rPr>
                <w:sz w:val="7"/>
                <w:szCs w:val="7"/>
                <w:color w:val="auto"/>
              </w:rPr>
            </w:pPr>
          </w:p>
        </w:tc>
        <w:tc>
          <w:tcPr>
            <w:tcW w:w="40" w:type="dxa"/>
            <w:vAlign w:val="bottom"/>
            <w:shd w:val="clear" w:color="auto" w:fill="CFF0FC"/>
          </w:tcPr>
          <w:p>
            <w:pPr>
              <w:spacing w:after="0"/>
              <w:rPr>
                <w:sz w:val="7"/>
                <w:szCs w:val="7"/>
                <w:color w:val="auto"/>
              </w:rPr>
            </w:pPr>
          </w:p>
        </w:tc>
        <w:tc>
          <w:tcPr>
            <w:tcW w:w="280" w:type="dxa"/>
            <w:vAlign w:val="bottom"/>
            <w:shd w:val="clear" w:color="auto" w:fill="CFF0FC"/>
          </w:tcPr>
          <w:p>
            <w:pPr>
              <w:spacing w:after="0"/>
              <w:rPr>
                <w:sz w:val="7"/>
                <w:szCs w:val="7"/>
                <w:color w:val="auto"/>
              </w:rPr>
            </w:pPr>
          </w:p>
        </w:tc>
        <w:tc>
          <w:tcPr>
            <w:tcW w:w="500" w:type="dxa"/>
            <w:vAlign w:val="bottom"/>
            <w:shd w:val="clear" w:color="auto" w:fill="CFF0FC"/>
          </w:tcPr>
          <w:p>
            <w:pPr>
              <w:spacing w:after="0"/>
              <w:rPr>
                <w:sz w:val="7"/>
                <w:szCs w:val="7"/>
                <w:color w:val="auto"/>
              </w:rPr>
            </w:pPr>
          </w:p>
        </w:tc>
        <w:tc>
          <w:tcPr>
            <w:tcW w:w="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20" w:type="dxa"/>
            <w:vAlign w:val="bottom"/>
            <w:shd w:val="clear" w:color="auto" w:fill="CFF0FC"/>
          </w:tcPr>
          <w:p>
            <w:pPr>
              <w:spacing w:after="0"/>
              <w:rPr>
                <w:sz w:val="7"/>
                <w:szCs w:val="7"/>
                <w:color w:val="auto"/>
              </w:rPr>
            </w:pPr>
          </w:p>
        </w:tc>
        <w:tc>
          <w:tcPr>
            <w:tcW w:w="20" w:type="dxa"/>
            <w:vAlign w:val="bottom"/>
            <w:shd w:val="clear" w:color="auto" w:fill="CFF0FC"/>
          </w:tcPr>
          <w:p>
            <w:pPr>
              <w:spacing w:after="0"/>
              <w:rPr>
                <w:sz w:val="7"/>
                <w:szCs w:val="7"/>
                <w:color w:val="auto"/>
              </w:rPr>
            </w:pPr>
          </w:p>
        </w:tc>
        <w:tc>
          <w:tcPr>
            <w:tcW w:w="260" w:type="dxa"/>
            <w:vAlign w:val="bottom"/>
            <w:shd w:val="clear" w:color="auto" w:fill="CFF0FC"/>
          </w:tcPr>
          <w:p>
            <w:pPr>
              <w:spacing w:after="0"/>
              <w:rPr>
                <w:sz w:val="7"/>
                <w:szCs w:val="7"/>
                <w:color w:val="auto"/>
              </w:rPr>
            </w:pPr>
          </w:p>
        </w:tc>
        <w:tc>
          <w:tcPr>
            <w:tcW w:w="300" w:type="dxa"/>
            <w:vAlign w:val="bottom"/>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20" w:type="dxa"/>
            <w:vAlign w:val="bottom"/>
            <w:shd w:val="clear" w:color="auto" w:fill="CFF0FC"/>
          </w:tcPr>
          <w:p>
            <w:pPr>
              <w:spacing w:after="0"/>
              <w:rPr>
                <w:sz w:val="7"/>
                <w:szCs w:val="7"/>
                <w:color w:val="auto"/>
              </w:rPr>
            </w:pPr>
          </w:p>
        </w:tc>
        <w:tc>
          <w:tcPr>
            <w:tcW w:w="4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40" w:type="dxa"/>
            <w:vAlign w:val="bottom"/>
            <w:shd w:val="clear" w:color="auto" w:fill="CFF0FC"/>
          </w:tcPr>
          <w:p>
            <w:pPr>
              <w:spacing w:after="0"/>
              <w:rPr>
                <w:sz w:val="7"/>
                <w:szCs w:val="7"/>
                <w:color w:val="auto"/>
              </w:rPr>
            </w:pPr>
          </w:p>
        </w:tc>
        <w:tc>
          <w:tcPr>
            <w:tcW w:w="40" w:type="dxa"/>
            <w:vAlign w:val="bottom"/>
            <w:shd w:val="clear" w:color="auto" w:fill="CFF0FC"/>
          </w:tcPr>
          <w:p>
            <w:pPr>
              <w:spacing w:after="0"/>
              <w:rPr>
                <w:sz w:val="7"/>
                <w:szCs w:val="7"/>
                <w:color w:val="auto"/>
              </w:rPr>
            </w:pPr>
          </w:p>
        </w:tc>
        <w:tc>
          <w:tcPr>
            <w:tcW w:w="40" w:type="dxa"/>
            <w:vAlign w:val="bottom"/>
            <w:shd w:val="clear" w:color="auto" w:fill="CFF0FC"/>
          </w:tcPr>
          <w:p>
            <w:pPr>
              <w:spacing w:after="0"/>
              <w:rPr>
                <w:sz w:val="7"/>
                <w:szCs w:val="7"/>
                <w:color w:val="auto"/>
              </w:rPr>
            </w:pPr>
          </w:p>
        </w:tc>
        <w:tc>
          <w:tcPr>
            <w:tcW w:w="880" w:type="dxa"/>
            <w:vAlign w:val="bottom"/>
            <w:vMerge w:val="continue"/>
            <w:shd w:val="clear" w:color="auto" w:fill="CFF0FC"/>
          </w:tcPr>
          <w:p>
            <w:pPr>
              <w:spacing w:after="0"/>
              <w:rPr>
                <w:sz w:val="7"/>
                <w:szCs w:val="7"/>
                <w:color w:val="auto"/>
              </w:rPr>
            </w:pPr>
          </w:p>
        </w:tc>
        <w:tc>
          <w:tcPr>
            <w:tcW w:w="1240" w:type="dxa"/>
            <w:vAlign w:val="bottom"/>
            <w:vMerge w:val="continue"/>
            <w:shd w:val="clear" w:color="auto" w:fill="CFF0FC"/>
          </w:tcPr>
          <w:p>
            <w:pPr>
              <w:spacing w:after="0"/>
              <w:rPr>
                <w:sz w:val="7"/>
                <w:szCs w:val="7"/>
                <w:color w:val="auto"/>
              </w:rPr>
            </w:pPr>
          </w:p>
        </w:tc>
        <w:tc>
          <w:tcPr>
            <w:tcW w:w="880" w:type="dxa"/>
            <w:vAlign w:val="bottom"/>
            <w:vMerge w:val="continue"/>
            <w:shd w:val="clear" w:color="auto" w:fill="CFF0FC"/>
          </w:tcPr>
          <w:p>
            <w:pPr>
              <w:spacing w:after="0"/>
              <w:rPr>
                <w:sz w:val="7"/>
                <w:szCs w:val="7"/>
                <w:color w:val="auto"/>
              </w:rPr>
            </w:pPr>
          </w:p>
        </w:tc>
        <w:tc>
          <w:tcPr>
            <w:tcW w:w="2040" w:type="dxa"/>
            <w:vAlign w:val="bottom"/>
            <w:vMerge w:val="continue"/>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0" w:type="dxa"/>
            <w:vAlign w:val="bottom"/>
            <w:tcBorders>
              <w:top w:val="single" w:sz="8" w:color="CFF0FC"/>
              <w:bottom w:val="single" w:sz="8" w:color="CFF0FC"/>
            </w:tcBorders>
            <w:shd w:val="clear" w:color="auto" w:fill="CFF0FC"/>
          </w:tcPr>
          <w:p>
            <w:pPr>
              <w:spacing w:after="0"/>
              <w:rPr>
                <w:sz w:val="9"/>
                <w:szCs w:val="9"/>
                <w:color w:val="auto"/>
              </w:rPr>
            </w:pPr>
          </w:p>
        </w:tc>
        <w:tc>
          <w:tcPr>
            <w:tcW w:w="220" w:type="dxa"/>
            <w:vAlign w:val="bottom"/>
            <w:tcBorders>
              <w:top w:val="single" w:sz="8" w:color="0000FF"/>
              <w:bottom w:val="single" w:sz="8" w:color="CFF0FC"/>
            </w:tcBorders>
            <w:shd w:val="clear" w:color="auto" w:fill="CFF0FC"/>
          </w:tcPr>
          <w:p>
            <w:pPr>
              <w:spacing w:after="0"/>
              <w:rPr>
                <w:sz w:val="9"/>
                <w:szCs w:val="9"/>
                <w:color w:val="auto"/>
              </w:rPr>
            </w:pPr>
          </w:p>
        </w:tc>
        <w:tc>
          <w:tcPr>
            <w:tcW w:w="100" w:type="dxa"/>
            <w:vAlign w:val="bottom"/>
            <w:tcBorders>
              <w:top w:val="single" w:sz="8" w:color="0000FF"/>
              <w:bottom w:val="single" w:sz="8" w:color="CFF0FC"/>
            </w:tcBorders>
            <w:shd w:val="clear" w:color="auto" w:fill="CFF0FC"/>
          </w:tcPr>
          <w:p>
            <w:pPr>
              <w:spacing w:after="0"/>
              <w:rPr>
                <w:sz w:val="9"/>
                <w:szCs w:val="9"/>
                <w:color w:val="auto"/>
              </w:rPr>
            </w:pPr>
          </w:p>
        </w:tc>
        <w:tc>
          <w:tcPr>
            <w:tcW w:w="700" w:type="dxa"/>
            <w:vAlign w:val="bottom"/>
            <w:tcBorders>
              <w:top w:val="single" w:sz="8" w:color="CFF0FC"/>
              <w:bottom w:val="single" w:sz="8" w:color="CFF0FC"/>
            </w:tcBorders>
            <w:shd w:val="clear" w:color="auto" w:fill="CFF0FC"/>
          </w:tcPr>
          <w:p>
            <w:pPr>
              <w:spacing w:after="0"/>
              <w:rPr>
                <w:sz w:val="9"/>
                <w:szCs w:val="9"/>
                <w:color w:val="auto"/>
              </w:rPr>
            </w:pPr>
          </w:p>
        </w:tc>
        <w:tc>
          <w:tcPr>
            <w:tcW w:w="620" w:type="dxa"/>
            <w:vAlign w:val="bottom"/>
            <w:tcBorders>
              <w:top w:val="single" w:sz="8" w:color="CFF0FC"/>
              <w:bottom w:val="single" w:sz="8" w:color="0000EE"/>
            </w:tcBorders>
            <w:vMerge w:val="continue"/>
            <w:shd w:val="clear" w:color="auto" w:fill="CFF0FC"/>
          </w:tcPr>
          <w:p>
            <w:pPr>
              <w:spacing w:after="0"/>
              <w:rPr>
                <w:sz w:val="9"/>
                <w:szCs w:val="9"/>
                <w:color w:val="auto"/>
              </w:rPr>
            </w:pPr>
          </w:p>
        </w:tc>
        <w:tc>
          <w:tcPr>
            <w:tcW w:w="520" w:type="dxa"/>
            <w:vAlign w:val="bottom"/>
            <w:tcBorders>
              <w:top w:val="single" w:sz="8" w:color="CFF0FC"/>
              <w:bottom w:val="single" w:sz="8" w:color="CFF0FC"/>
            </w:tcBorders>
            <w:shd w:val="clear" w:color="auto" w:fill="CFF0FC"/>
          </w:tcPr>
          <w:p>
            <w:pPr>
              <w:spacing w:after="0"/>
              <w:rPr>
                <w:sz w:val="9"/>
                <w:szCs w:val="9"/>
                <w:color w:val="auto"/>
              </w:rPr>
            </w:pPr>
          </w:p>
        </w:tc>
        <w:tc>
          <w:tcPr>
            <w:tcW w:w="40" w:type="dxa"/>
            <w:vAlign w:val="bottom"/>
            <w:tcBorders>
              <w:top w:val="single" w:sz="8" w:color="CFF0FC"/>
              <w:bottom w:val="single" w:sz="8" w:color="CFF0FC"/>
            </w:tcBorders>
            <w:shd w:val="clear" w:color="auto" w:fill="CFF0FC"/>
          </w:tcPr>
          <w:p>
            <w:pPr>
              <w:spacing w:after="0"/>
              <w:rPr>
                <w:sz w:val="9"/>
                <w:szCs w:val="9"/>
                <w:color w:val="auto"/>
              </w:rPr>
            </w:pPr>
          </w:p>
        </w:tc>
        <w:tc>
          <w:tcPr>
            <w:tcW w:w="280" w:type="dxa"/>
            <w:vAlign w:val="bottom"/>
            <w:tcBorders>
              <w:top w:val="single" w:sz="8" w:color="CFF0FC"/>
              <w:bottom w:val="single" w:sz="8" w:color="CFF0FC"/>
            </w:tcBorders>
            <w:shd w:val="clear" w:color="auto" w:fill="CFF0FC"/>
          </w:tcPr>
          <w:p>
            <w:pPr>
              <w:spacing w:after="0"/>
              <w:rPr>
                <w:sz w:val="9"/>
                <w:szCs w:val="9"/>
                <w:color w:val="auto"/>
              </w:rPr>
            </w:pPr>
          </w:p>
        </w:tc>
        <w:tc>
          <w:tcPr>
            <w:tcW w:w="420" w:type="dxa"/>
            <w:vAlign w:val="bottom"/>
            <w:tcBorders>
              <w:top w:val="single" w:sz="8" w:color="CFF0FC"/>
              <w:bottom w:val="single" w:sz="8" w:color="CFF0FC"/>
            </w:tcBorders>
            <w:shd w:val="clear" w:color="auto" w:fill="CFF0FC"/>
          </w:tcPr>
          <w:p>
            <w:pPr>
              <w:spacing w:after="0"/>
              <w:rPr>
                <w:sz w:val="9"/>
                <w:szCs w:val="9"/>
                <w:color w:val="auto"/>
              </w:rPr>
            </w:pPr>
          </w:p>
        </w:tc>
        <w:tc>
          <w:tcPr>
            <w:tcW w:w="120" w:type="dxa"/>
            <w:vAlign w:val="bottom"/>
            <w:tcBorders>
              <w:top w:val="single" w:sz="8" w:color="CFF0FC"/>
              <w:bottom w:val="single" w:sz="8" w:color="CFF0FC"/>
            </w:tcBorders>
            <w:shd w:val="clear" w:color="auto" w:fill="CFF0FC"/>
          </w:tcPr>
          <w:p>
            <w:pPr>
              <w:spacing w:after="0"/>
              <w:rPr>
                <w:sz w:val="9"/>
                <w:szCs w:val="9"/>
                <w:color w:val="auto"/>
              </w:rPr>
            </w:pPr>
          </w:p>
        </w:tc>
        <w:tc>
          <w:tcPr>
            <w:tcW w:w="240" w:type="dxa"/>
            <w:vAlign w:val="bottom"/>
            <w:tcBorders>
              <w:top w:val="single" w:sz="8" w:color="CFF0FC"/>
              <w:bottom w:val="single" w:sz="8" w:color="CFF0FC"/>
            </w:tcBorders>
            <w:shd w:val="clear" w:color="auto" w:fill="CFF0FC"/>
          </w:tcPr>
          <w:p>
            <w:pPr>
              <w:spacing w:after="0"/>
              <w:rPr>
                <w:sz w:val="9"/>
                <w:szCs w:val="9"/>
                <w:color w:val="auto"/>
              </w:rPr>
            </w:pPr>
          </w:p>
        </w:tc>
        <w:tc>
          <w:tcPr>
            <w:tcW w:w="40" w:type="dxa"/>
            <w:vAlign w:val="bottom"/>
            <w:tcBorders>
              <w:top w:val="single" w:sz="8" w:color="CFF0FC"/>
              <w:bottom w:val="single" w:sz="8" w:color="CFF0FC"/>
            </w:tcBorders>
            <w:shd w:val="clear" w:color="auto" w:fill="CFF0FC"/>
          </w:tcPr>
          <w:p>
            <w:pPr>
              <w:spacing w:after="0"/>
              <w:rPr>
                <w:sz w:val="9"/>
                <w:szCs w:val="9"/>
                <w:color w:val="auto"/>
              </w:rPr>
            </w:pPr>
          </w:p>
        </w:tc>
        <w:tc>
          <w:tcPr>
            <w:tcW w:w="520" w:type="dxa"/>
            <w:vAlign w:val="bottom"/>
            <w:tcBorders>
              <w:top w:val="single" w:sz="8" w:color="CFF0FC"/>
              <w:bottom w:val="single" w:sz="8" w:color="CFF0FC"/>
            </w:tcBorders>
            <w:shd w:val="clear" w:color="auto" w:fill="CFF0FC"/>
          </w:tcPr>
          <w:p>
            <w:pPr>
              <w:spacing w:after="0"/>
              <w:rPr>
                <w:sz w:val="9"/>
                <w:szCs w:val="9"/>
                <w:color w:val="auto"/>
              </w:rPr>
            </w:pPr>
          </w:p>
        </w:tc>
        <w:tc>
          <w:tcPr>
            <w:tcW w:w="40" w:type="dxa"/>
            <w:vAlign w:val="bottom"/>
            <w:tcBorders>
              <w:top w:val="single" w:sz="8" w:color="CFF0FC"/>
              <w:bottom w:val="single" w:sz="8" w:color="CFF0FC"/>
            </w:tcBorders>
            <w:shd w:val="clear" w:color="auto" w:fill="CFF0FC"/>
          </w:tcPr>
          <w:p>
            <w:pPr>
              <w:spacing w:after="0"/>
              <w:rPr>
                <w:sz w:val="9"/>
                <w:szCs w:val="9"/>
                <w:color w:val="auto"/>
              </w:rPr>
            </w:pPr>
          </w:p>
        </w:tc>
        <w:tc>
          <w:tcPr>
            <w:tcW w:w="280" w:type="dxa"/>
            <w:vAlign w:val="bottom"/>
            <w:tcBorders>
              <w:top w:val="single" w:sz="8" w:color="CFF0FC"/>
              <w:bottom w:val="single" w:sz="8" w:color="CFF0FC"/>
            </w:tcBorders>
            <w:shd w:val="clear" w:color="auto" w:fill="CFF0FC"/>
          </w:tcPr>
          <w:p>
            <w:pPr>
              <w:spacing w:after="0"/>
              <w:rPr>
                <w:sz w:val="9"/>
                <w:szCs w:val="9"/>
                <w:color w:val="auto"/>
              </w:rPr>
            </w:pPr>
          </w:p>
        </w:tc>
        <w:tc>
          <w:tcPr>
            <w:tcW w:w="500" w:type="dxa"/>
            <w:vAlign w:val="bottom"/>
            <w:tcBorders>
              <w:top w:val="single" w:sz="8" w:color="CFF0FC"/>
              <w:bottom w:val="single" w:sz="8" w:color="CFF0FC"/>
            </w:tcBorders>
            <w:shd w:val="clear" w:color="auto" w:fill="CFF0FC"/>
          </w:tcPr>
          <w:p>
            <w:pPr>
              <w:spacing w:after="0"/>
              <w:rPr>
                <w:sz w:val="9"/>
                <w:szCs w:val="9"/>
                <w:color w:val="auto"/>
              </w:rPr>
            </w:pPr>
          </w:p>
        </w:tc>
        <w:tc>
          <w:tcPr>
            <w:tcW w:w="40" w:type="dxa"/>
            <w:vAlign w:val="bottom"/>
            <w:tcBorders>
              <w:top w:val="single" w:sz="8" w:color="CFF0FC"/>
              <w:bottom w:val="single" w:sz="8" w:color="CFF0FC"/>
            </w:tcBorders>
            <w:shd w:val="clear" w:color="auto" w:fill="CFF0FC"/>
          </w:tcPr>
          <w:p>
            <w:pPr>
              <w:spacing w:after="0"/>
              <w:rPr>
                <w:sz w:val="9"/>
                <w:szCs w:val="9"/>
                <w:color w:val="auto"/>
              </w:rPr>
            </w:pPr>
          </w:p>
        </w:tc>
        <w:tc>
          <w:tcPr>
            <w:tcW w:w="220" w:type="dxa"/>
            <w:vAlign w:val="bottom"/>
            <w:tcBorders>
              <w:top w:val="single" w:sz="8" w:color="CFF0FC"/>
              <w:bottom w:val="single" w:sz="8" w:color="CFF0FC"/>
            </w:tcBorders>
            <w:shd w:val="clear" w:color="auto" w:fill="CFF0FC"/>
          </w:tcPr>
          <w:p>
            <w:pPr>
              <w:spacing w:after="0"/>
              <w:rPr>
                <w:sz w:val="9"/>
                <w:szCs w:val="9"/>
                <w:color w:val="auto"/>
              </w:rPr>
            </w:pPr>
          </w:p>
        </w:tc>
        <w:tc>
          <w:tcPr>
            <w:tcW w:w="20" w:type="dxa"/>
            <w:vAlign w:val="bottom"/>
            <w:tcBorders>
              <w:top w:val="single" w:sz="8" w:color="CFF0FC"/>
              <w:bottom w:val="single" w:sz="8" w:color="CFF0FC"/>
            </w:tcBorders>
            <w:shd w:val="clear" w:color="auto" w:fill="CFF0FC"/>
          </w:tcPr>
          <w:p>
            <w:pPr>
              <w:spacing w:after="0"/>
              <w:rPr>
                <w:sz w:val="9"/>
                <w:szCs w:val="9"/>
                <w:color w:val="auto"/>
              </w:rPr>
            </w:pPr>
          </w:p>
        </w:tc>
        <w:tc>
          <w:tcPr>
            <w:tcW w:w="20" w:type="dxa"/>
            <w:vAlign w:val="bottom"/>
            <w:tcBorders>
              <w:top w:val="single" w:sz="8" w:color="CFF0FC"/>
              <w:bottom w:val="single" w:sz="8" w:color="CFF0FC"/>
            </w:tcBorders>
            <w:shd w:val="clear" w:color="auto" w:fill="CFF0FC"/>
          </w:tcPr>
          <w:p>
            <w:pPr>
              <w:spacing w:after="0"/>
              <w:rPr>
                <w:sz w:val="9"/>
                <w:szCs w:val="9"/>
                <w:color w:val="auto"/>
              </w:rPr>
            </w:pPr>
          </w:p>
        </w:tc>
        <w:tc>
          <w:tcPr>
            <w:tcW w:w="260" w:type="dxa"/>
            <w:vAlign w:val="bottom"/>
            <w:tcBorders>
              <w:top w:val="single" w:sz="8" w:color="CFF0FC"/>
              <w:bottom w:val="single" w:sz="8" w:color="CFF0FC"/>
            </w:tcBorders>
            <w:shd w:val="clear" w:color="auto" w:fill="CFF0FC"/>
          </w:tcPr>
          <w:p>
            <w:pPr>
              <w:spacing w:after="0"/>
              <w:rPr>
                <w:sz w:val="9"/>
                <w:szCs w:val="9"/>
                <w:color w:val="auto"/>
              </w:rPr>
            </w:pPr>
          </w:p>
        </w:tc>
        <w:tc>
          <w:tcPr>
            <w:tcW w:w="300" w:type="dxa"/>
            <w:vAlign w:val="bottom"/>
            <w:tcBorders>
              <w:top w:val="single" w:sz="8" w:color="CFF0FC"/>
              <w:bottom w:val="single" w:sz="8" w:color="CFF0FC"/>
            </w:tcBorders>
            <w:shd w:val="clear" w:color="auto" w:fill="CFF0FC"/>
          </w:tcPr>
          <w:p>
            <w:pPr>
              <w:spacing w:after="0"/>
              <w:rPr>
                <w:sz w:val="9"/>
                <w:szCs w:val="9"/>
                <w:color w:val="auto"/>
              </w:rPr>
            </w:pPr>
          </w:p>
        </w:tc>
        <w:tc>
          <w:tcPr>
            <w:tcW w:w="180" w:type="dxa"/>
            <w:vAlign w:val="bottom"/>
            <w:tcBorders>
              <w:top w:val="single" w:sz="8" w:color="CFF0FC"/>
              <w:bottom w:val="single" w:sz="8" w:color="CFF0FC"/>
            </w:tcBorders>
            <w:shd w:val="clear" w:color="auto" w:fill="CFF0FC"/>
          </w:tcPr>
          <w:p>
            <w:pPr>
              <w:spacing w:after="0"/>
              <w:rPr>
                <w:sz w:val="9"/>
                <w:szCs w:val="9"/>
                <w:color w:val="auto"/>
              </w:rPr>
            </w:pPr>
          </w:p>
        </w:tc>
        <w:tc>
          <w:tcPr>
            <w:tcW w:w="160" w:type="dxa"/>
            <w:vAlign w:val="bottom"/>
            <w:tcBorders>
              <w:top w:val="single" w:sz="8" w:color="CFF0FC"/>
              <w:bottom w:val="single" w:sz="8" w:color="CFF0FC"/>
            </w:tcBorders>
            <w:shd w:val="clear" w:color="auto" w:fill="CFF0FC"/>
          </w:tcPr>
          <w:p>
            <w:pPr>
              <w:spacing w:after="0"/>
              <w:rPr>
                <w:sz w:val="9"/>
                <w:szCs w:val="9"/>
                <w:color w:val="auto"/>
              </w:rPr>
            </w:pPr>
          </w:p>
        </w:tc>
        <w:tc>
          <w:tcPr>
            <w:tcW w:w="20" w:type="dxa"/>
            <w:vAlign w:val="bottom"/>
            <w:tcBorders>
              <w:top w:val="single" w:sz="8" w:color="CFF0FC"/>
              <w:bottom w:val="single" w:sz="8" w:color="CFF0FC"/>
            </w:tcBorders>
            <w:shd w:val="clear" w:color="auto" w:fill="CFF0FC"/>
          </w:tcPr>
          <w:p>
            <w:pPr>
              <w:spacing w:after="0"/>
              <w:rPr>
                <w:sz w:val="9"/>
                <w:szCs w:val="9"/>
                <w:color w:val="auto"/>
              </w:rPr>
            </w:pPr>
          </w:p>
        </w:tc>
        <w:tc>
          <w:tcPr>
            <w:tcW w:w="40" w:type="dxa"/>
            <w:vAlign w:val="bottom"/>
            <w:tcBorders>
              <w:top w:val="single" w:sz="8" w:color="CFF0FC"/>
              <w:bottom w:val="single" w:sz="8" w:color="CFF0FC"/>
            </w:tcBorders>
            <w:shd w:val="clear" w:color="auto" w:fill="CFF0FC"/>
          </w:tcPr>
          <w:p>
            <w:pPr>
              <w:spacing w:after="0"/>
              <w:rPr>
                <w:sz w:val="9"/>
                <w:szCs w:val="9"/>
                <w:color w:val="auto"/>
              </w:rPr>
            </w:pPr>
          </w:p>
        </w:tc>
        <w:tc>
          <w:tcPr>
            <w:tcW w:w="60" w:type="dxa"/>
            <w:vAlign w:val="bottom"/>
            <w:tcBorders>
              <w:top w:val="single" w:sz="8" w:color="CFF0FC"/>
              <w:bottom w:val="single" w:sz="8" w:color="CFF0FC"/>
            </w:tcBorders>
            <w:shd w:val="clear" w:color="auto" w:fill="CFF0FC"/>
          </w:tcPr>
          <w:p>
            <w:pPr>
              <w:spacing w:after="0"/>
              <w:rPr>
                <w:sz w:val="9"/>
                <w:szCs w:val="9"/>
                <w:color w:val="auto"/>
              </w:rPr>
            </w:pPr>
          </w:p>
        </w:tc>
        <w:tc>
          <w:tcPr>
            <w:tcW w:w="100" w:type="dxa"/>
            <w:vAlign w:val="bottom"/>
            <w:tcBorders>
              <w:top w:val="single" w:sz="8" w:color="CFF0FC"/>
              <w:bottom w:val="single" w:sz="8" w:color="CFF0FC"/>
            </w:tcBorders>
            <w:shd w:val="clear" w:color="auto" w:fill="CFF0FC"/>
          </w:tcPr>
          <w:p>
            <w:pPr>
              <w:spacing w:after="0"/>
              <w:rPr>
                <w:sz w:val="9"/>
                <w:szCs w:val="9"/>
                <w:color w:val="auto"/>
              </w:rPr>
            </w:pPr>
          </w:p>
        </w:tc>
        <w:tc>
          <w:tcPr>
            <w:tcW w:w="40" w:type="dxa"/>
            <w:vAlign w:val="bottom"/>
            <w:tcBorders>
              <w:top w:val="single" w:sz="8" w:color="CFF0FC"/>
              <w:bottom w:val="single" w:sz="8" w:color="CFF0FC"/>
            </w:tcBorders>
            <w:shd w:val="clear" w:color="auto" w:fill="CFF0FC"/>
          </w:tcPr>
          <w:p>
            <w:pPr>
              <w:spacing w:after="0"/>
              <w:rPr>
                <w:sz w:val="9"/>
                <w:szCs w:val="9"/>
                <w:color w:val="auto"/>
              </w:rPr>
            </w:pPr>
          </w:p>
        </w:tc>
        <w:tc>
          <w:tcPr>
            <w:tcW w:w="40" w:type="dxa"/>
            <w:vAlign w:val="bottom"/>
            <w:tcBorders>
              <w:top w:val="single" w:sz="8" w:color="CFF0FC"/>
              <w:bottom w:val="single" w:sz="8" w:color="CFF0FC"/>
            </w:tcBorders>
            <w:shd w:val="clear" w:color="auto" w:fill="CFF0FC"/>
          </w:tcPr>
          <w:p>
            <w:pPr>
              <w:spacing w:after="0"/>
              <w:rPr>
                <w:sz w:val="9"/>
                <w:szCs w:val="9"/>
                <w:color w:val="auto"/>
              </w:rPr>
            </w:pPr>
          </w:p>
        </w:tc>
        <w:tc>
          <w:tcPr>
            <w:tcW w:w="40" w:type="dxa"/>
            <w:vAlign w:val="bottom"/>
            <w:tcBorders>
              <w:top w:val="single" w:sz="8" w:color="CFF0FC"/>
              <w:bottom w:val="single" w:sz="8" w:color="CFF0FC"/>
            </w:tcBorders>
            <w:shd w:val="clear" w:color="auto" w:fill="CFF0FC"/>
          </w:tcPr>
          <w:p>
            <w:pPr>
              <w:spacing w:after="0"/>
              <w:rPr>
                <w:sz w:val="9"/>
                <w:szCs w:val="9"/>
                <w:color w:val="auto"/>
              </w:rPr>
            </w:pPr>
          </w:p>
        </w:tc>
        <w:tc>
          <w:tcPr>
            <w:tcW w:w="880" w:type="dxa"/>
            <w:vAlign w:val="bottom"/>
            <w:tcBorders>
              <w:top w:val="single" w:sz="8" w:color="CFF0FC"/>
              <w:bottom w:val="single" w:sz="8" w:color="CFF0FC"/>
            </w:tcBorders>
            <w:shd w:val="clear" w:color="auto" w:fill="CFF0FC"/>
          </w:tcPr>
          <w:p>
            <w:pPr>
              <w:spacing w:after="0"/>
              <w:rPr>
                <w:sz w:val="9"/>
                <w:szCs w:val="9"/>
                <w:color w:val="auto"/>
              </w:rPr>
            </w:pPr>
          </w:p>
        </w:tc>
        <w:tc>
          <w:tcPr>
            <w:tcW w:w="1240" w:type="dxa"/>
            <w:vAlign w:val="bottom"/>
            <w:tcBorders>
              <w:top w:val="single" w:sz="8" w:color="CFF0FC"/>
              <w:bottom w:val="single" w:sz="8" w:color="CFF0FC"/>
            </w:tcBorders>
            <w:shd w:val="clear" w:color="auto" w:fill="CFF0FC"/>
          </w:tcPr>
          <w:p>
            <w:pPr>
              <w:spacing w:after="0"/>
              <w:rPr>
                <w:sz w:val="9"/>
                <w:szCs w:val="9"/>
                <w:color w:val="auto"/>
              </w:rPr>
            </w:pPr>
          </w:p>
        </w:tc>
        <w:tc>
          <w:tcPr>
            <w:tcW w:w="880" w:type="dxa"/>
            <w:vAlign w:val="bottom"/>
            <w:tcBorders>
              <w:top w:val="single" w:sz="8" w:color="CFF0FC"/>
              <w:bottom w:val="single" w:sz="8" w:color="CFF0FC"/>
            </w:tcBorders>
            <w:shd w:val="clear" w:color="auto" w:fill="CFF0FC"/>
          </w:tcPr>
          <w:p>
            <w:pPr>
              <w:spacing w:after="0"/>
              <w:rPr>
                <w:sz w:val="9"/>
                <w:szCs w:val="9"/>
                <w:color w:val="auto"/>
              </w:rPr>
            </w:pPr>
          </w:p>
        </w:tc>
        <w:tc>
          <w:tcPr>
            <w:tcW w:w="2040" w:type="dxa"/>
            <w:vAlign w:val="bottom"/>
            <w:tcBorders>
              <w:top w:val="single" w:sz="8" w:color="CFF0FC"/>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645"/>
        </w:trPr>
        <w:tc>
          <w:tcPr>
            <w:tcW w:w="2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700" w:type="dxa"/>
            <w:vAlign w:val="bottom"/>
            <w:tcBorders>
              <w:top w:val="single" w:sz="8" w:color="CFF0FC"/>
            </w:tcBorders>
          </w:tcPr>
          <w:p>
            <w:pPr>
              <w:spacing w:after="0"/>
              <w:rPr>
                <w:sz w:val="24"/>
                <w:szCs w:val="24"/>
                <w:color w:val="auto"/>
              </w:rPr>
            </w:pPr>
          </w:p>
        </w:tc>
        <w:tc>
          <w:tcPr>
            <w:tcW w:w="4820" w:type="dxa"/>
            <w:vAlign w:val="bottom"/>
            <w:tcBorders>
              <w:top w:val="single" w:sz="8" w:color="CFF0FC"/>
            </w:tcBorders>
            <w:gridSpan w:val="20"/>
          </w:tcPr>
          <w:p>
            <w:pPr>
              <w:ind w:left="4500"/>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880" w:type="dxa"/>
            <w:vAlign w:val="bottom"/>
            <w:tcBorders>
              <w:top w:val="single" w:sz="8" w:color="CFF0FC"/>
            </w:tcBorders>
          </w:tcPr>
          <w:p>
            <w:pPr>
              <w:spacing w:after="0"/>
              <w:rPr>
                <w:sz w:val="24"/>
                <w:szCs w:val="24"/>
                <w:color w:val="auto"/>
              </w:rPr>
            </w:pPr>
          </w:p>
        </w:tc>
        <w:tc>
          <w:tcPr>
            <w:tcW w:w="1240" w:type="dxa"/>
            <w:vAlign w:val="bottom"/>
            <w:tcBorders>
              <w:top w:val="single" w:sz="8" w:color="CFF0FC"/>
            </w:tcBorders>
          </w:tcPr>
          <w:p>
            <w:pPr>
              <w:spacing w:after="0"/>
              <w:rPr>
                <w:sz w:val="24"/>
                <w:szCs w:val="24"/>
                <w:color w:val="auto"/>
              </w:rPr>
            </w:pPr>
          </w:p>
        </w:tc>
        <w:tc>
          <w:tcPr>
            <w:tcW w:w="880" w:type="dxa"/>
            <w:vAlign w:val="bottom"/>
            <w:tcBorders>
              <w:top w:val="single" w:sz="8" w:color="CFF0FC"/>
            </w:tcBorders>
          </w:tcPr>
          <w:p>
            <w:pPr>
              <w:spacing w:after="0"/>
              <w:rPr>
                <w:sz w:val="24"/>
                <w:szCs w:val="24"/>
                <w:color w:val="auto"/>
              </w:rPr>
            </w:pPr>
          </w:p>
        </w:tc>
        <w:tc>
          <w:tcPr>
            <w:tcW w:w="204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58"/>
        </w:trPr>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20" w:type="dxa"/>
            <w:vAlign w:val="bottom"/>
            <w:gridSpan w:val="4"/>
            <w:shd w:val="clear" w:color="auto" w:fill="CCEEFF"/>
          </w:tcPr>
          <w:p>
            <w:pPr>
              <w:jc w:val="right"/>
              <w:ind w:right="60"/>
              <w:spacing w:after="0"/>
              <w:rPr>
                <w:rFonts w:ascii="Times New Roman" w:cs="Times New Roman" w:eastAsia="Times New Roman" w:hAnsi="Times New Roman"/>
                <w:sz w:val="18"/>
                <w:szCs w:val="18"/>
                <w:color w:val="0000FF"/>
                <w:w w:val="97"/>
              </w:rPr>
            </w:pPr>
            <w:hyperlink r:id="rId101">
              <w:r>
                <w:rPr>
                  <w:rFonts w:ascii="Times New Roman" w:cs="Times New Roman" w:eastAsia="Times New Roman" w:hAnsi="Times New Roman"/>
                  <w:sz w:val="18"/>
                  <w:szCs w:val="18"/>
                  <w:color w:val="0000FF"/>
                  <w:w w:val="97"/>
                </w:rPr>
                <w:t>10.</w:t>
              </w:r>
              <w:r>
                <w:rPr>
                  <w:rFonts w:ascii="Times New Roman" w:cs="Times New Roman" w:eastAsia="Times New Roman" w:hAnsi="Times New Roman"/>
                  <w:sz w:val="18"/>
                  <w:szCs w:val="18"/>
                  <w:u w:val="single" w:color="auto"/>
                  <w:color w:val="0000FF"/>
                  <w:w w:val="97"/>
                </w:rPr>
                <w:t>1.1+</w:t>
              </w:r>
            </w:hyperlink>
          </w:p>
        </w:tc>
        <w:tc>
          <w:tcPr>
            <w:tcW w:w="420" w:type="dxa"/>
            <w:vAlign w:val="bottom"/>
            <w:shd w:val="clear" w:color="auto" w:fill="CCEEFF"/>
          </w:tcPr>
          <w:p>
            <w:pPr>
              <w:spacing w:after="0"/>
              <w:rPr>
                <w:sz w:val="19"/>
                <w:szCs w:val="19"/>
                <w:color w:val="auto"/>
              </w:rPr>
            </w:pPr>
          </w:p>
        </w:tc>
        <w:tc>
          <w:tcPr>
            <w:tcW w:w="5100" w:type="dxa"/>
            <w:vAlign w:val="bottom"/>
            <w:gridSpan w:val="4"/>
            <w:shd w:val="clear" w:color="auto" w:fill="CCEEFF"/>
          </w:tcPr>
          <w:p>
            <w:pPr>
              <w:spacing w:after="0"/>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1999 Amended Stock Plan, as amended and restated June 17, 2008.</w:t>
              </w:r>
            </w:hyperlink>
          </w:p>
        </w:tc>
        <w:tc>
          <w:tcPr>
            <w:tcW w:w="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10-K</w:t>
            </w:r>
          </w:p>
        </w:tc>
        <w:tc>
          <w:tcPr>
            <w:tcW w:w="122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002-31909</w:t>
            </w:r>
          </w:p>
        </w:tc>
        <w:tc>
          <w:tcPr>
            <w:tcW w:w="980" w:type="dxa"/>
            <w:vAlign w:val="bottom"/>
            <w:shd w:val="clear" w:color="auto" w:fill="CCEEFF"/>
          </w:tcPr>
          <w:p>
            <w:pPr>
              <w:jc w:val="center"/>
              <w:ind w:right="31"/>
              <w:spacing w:after="0"/>
              <w:rPr>
                <w:sz w:val="20"/>
                <w:szCs w:val="20"/>
                <w:color w:val="auto"/>
              </w:rPr>
            </w:pPr>
            <w:r>
              <w:rPr>
                <w:rFonts w:ascii="Times New Roman" w:cs="Times New Roman" w:eastAsia="Times New Roman" w:hAnsi="Times New Roman"/>
                <w:sz w:val="18"/>
                <w:szCs w:val="18"/>
                <w:color w:val="auto"/>
              </w:rPr>
              <w:t>10.15</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August 13, 2008</w:t>
            </w:r>
          </w:p>
        </w:tc>
      </w:tr>
      <w:tr>
        <w:trPr>
          <w:trHeight w:val="215"/>
        </w:trPr>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20" w:type="dxa"/>
            <w:vAlign w:val="bottom"/>
            <w:tcBorders>
              <w:top w:val="single" w:sz="8" w:color="0000FF"/>
            </w:tcBorders>
          </w:tcPr>
          <w:p>
            <w:pPr>
              <w:spacing w:after="0"/>
              <w:rPr>
                <w:sz w:val="18"/>
                <w:szCs w:val="18"/>
                <w:color w:val="auto"/>
              </w:rPr>
            </w:pPr>
          </w:p>
        </w:tc>
        <w:tc>
          <w:tcPr>
            <w:tcW w:w="740" w:type="dxa"/>
            <w:vAlign w:val="bottom"/>
            <w:tcBorders>
              <w:top w:val="single" w:sz="8" w:color="0000FF"/>
            </w:tcBorders>
          </w:tcPr>
          <w:p>
            <w:pPr>
              <w:spacing w:after="0"/>
              <w:rPr>
                <w:sz w:val="18"/>
                <w:szCs w:val="18"/>
                <w:color w:val="auto"/>
              </w:rPr>
            </w:pPr>
          </w:p>
        </w:tc>
        <w:tc>
          <w:tcPr>
            <w:tcW w:w="3280" w:type="dxa"/>
            <w:vAlign w:val="bottom"/>
            <w:tcBorders>
              <w:top w:val="single" w:sz="8" w:color="0000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r>
      <w:tr>
        <w:trPr>
          <w:trHeight w:val="174"/>
        </w:trPr>
        <w:tc>
          <w:tcPr>
            <w:tcW w:w="20" w:type="dxa"/>
            <w:vAlign w:val="bottom"/>
            <w:shd w:val="clear" w:color="auto" w:fill="CCEEFF"/>
          </w:tcPr>
          <w:p>
            <w:pPr>
              <w:spacing w:after="0"/>
              <w:rPr>
                <w:sz w:val="15"/>
                <w:szCs w:val="15"/>
                <w:color w:val="auto"/>
              </w:rPr>
            </w:pPr>
          </w:p>
        </w:tc>
        <w:tc>
          <w:tcPr>
            <w:tcW w:w="600" w:type="dxa"/>
            <w:vAlign w:val="bottom"/>
            <w:gridSpan w:val="3"/>
            <w:shd w:val="clear" w:color="auto" w:fill="CCEEFF"/>
          </w:tcPr>
          <w:p>
            <w:pPr>
              <w:jc w:val="right"/>
              <w:ind w:right="60"/>
              <w:spacing w:after="0" w:line="175" w:lineRule="exact"/>
              <w:rPr>
                <w:rFonts w:ascii="Times New Roman" w:cs="Times New Roman" w:eastAsia="Times New Roman" w:hAnsi="Times New Roman"/>
                <w:sz w:val="18"/>
                <w:szCs w:val="18"/>
                <w:color w:val="0000FF"/>
                <w:w w:val="94"/>
              </w:rPr>
            </w:pPr>
            <w:hyperlink r:id="rId102">
              <w:r>
                <w:rPr>
                  <w:rFonts w:ascii="Times New Roman" w:cs="Times New Roman" w:eastAsia="Times New Roman" w:hAnsi="Times New Roman"/>
                  <w:sz w:val="18"/>
                  <w:szCs w:val="18"/>
                  <w:color w:val="0000FF"/>
                  <w:w w:val="94"/>
                </w:rPr>
                <w:t>10.</w:t>
              </w:r>
              <w:r>
                <w:rPr>
                  <w:rFonts w:ascii="Times New Roman" w:cs="Times New Roman" w:eastAsia="Times New Roman" w:hAnsi="Times New Roman"/>
                  <w:sz w:val="18"/>
                  <w:szCs w:val="18"/>
                  <w:u w:val="single" w:color="auto"/>
                  <w:color w:val="0000FF"/>
                  <w:w w:val="94"/>
                </w:rPr>
                <w:t>1.2+</w:t>
              </w:r>
            </w:hyperlink>
          </w:p>
        </w:tc>
        <w:tc>
          <w:tcPr>
            <w:tcW w:w="420" w:type="dxa"/>
            <w:vAlign w:val="bottom"/>
            <w:shd w:val="clear" w:color="auto" w:fill="CCEEFF"/>
          </w:tcPr>
          <w:p>
            <w:pPr>
              <w:spacing w:after="0"/>
              <w:rPr>
                <w:sz w:val="15"/>
                <w:szCs w:val="15"/>
                <w:color w:val="auto"/>
              </w:rPr>
            </w:pPr>
          </w:p>
        </w:tc>
        <w:tc>
          <w:tcPr>
            <w:tcW w:w="5100" w:type="dxa"/>
            <w:vAlign w:val="bottom"/>
            <w:gridSpan w:val="4"/>
            <w:shd w:val="clear" w:color="auto" w:fill="CCEEFF"/>
          </w:tcPr>
          <w:p>
            <w:pPr>
              <w:spacing w:after="0" w:line="175"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Amendment No. 1 to Oxygen Biotherapeutics, Inc. 1999 Amended</w:t>
              </w:r>
            </w:hyperlink>
          </w:p>
        </w:tc>
        <w:tc>
          <w:tcPr>
            <w:tcW w:w="940" w:type="dxa"/>
            <w:vAlign w:val="bottom"/>
            <w:shd w:val="clear" w:color="auto" w:fill="CCEEFF"/>
          </w:tcPr>
          <w:p>
            <w:pPr>
              <w:ind w:left="340"/>
              <w:spacing w:after="0" w:line="175" w:lineRule="exact"/>
              <w:rPr>
                <w:sz w:val="20"/>
                <w:szCs w:val="20"/>
                <w:color w:val="auto"/>
              </w:rPr>
            </w:pPr>
            <w:r>
              <w:rPr>
                <w:rFonts w:ascii="Times New Roman" w:cs="Times New Roman" w:eastAsia="Times New Roman" w:hAnsi="Times New Roman"/>
                <w:sz w:val="18"/>
                <w:szCs w:val="18"/>
                <w:color w:val="auto"/>
              </w:rPr>
              <w:t>10-K</w:t>
            </w:r>
          </w:p>
        </w:tc>
        <w:tc>
          <w:tcPr>
            <w:tcW w:w="1220" w:type="dxa"/>
            <w:vAlign w:val="bottom"/>
            <w:shd w:val="clear" w:color="auto" w:fill="CCEEFF"/>
          </w:tcPr>
          <w:p>
            <w:pPr>
              <w:jc w:val="right"/>
              <w:ind w:right="151"/>
              <w:spacing w:after="0" w:line="175" w:lineRule="exact"/>
              <w:rPr>
                <w:sz w:val="20"/>
                <w:szCs w:val="20"/>
                <w:color w:val="auto"/>
              </w:rPr>
            </w:pPr>
            <w:r>
              <w:rPr>
                <w:rFonts w:ascii="Times New Roman" w:cs="Times New Roman" w:eastAsia="Times New Roman" w:hAnsi="Times New Roman"/>
                <w:sz w:val="18"/>
                <w:szCs w:val="18"/>
                <w:color w:val="auto"/>
              </w:rPr>
              <w:t>001-34600</w:t>
            </w:r>
          </w:p>
        </w:tc>
        <w:tc>
          <w:tcPr>
            <w:tcW w:w="980" w:type="dxa"/>
            <w:vAlign w:val="bottom"/>
            <w:shd w:val="clear" w:color="auto" w:fill="CCEEFF"/>
          </w:tcPr>
          <w:p>
            <w:pPr>
              <w:jc w:val="center"/>
              <w:ind w:right="31"/>
              <w:spacing w:after="0" w:line="175" w:lineRule="exact"/>
              <w:rPr>
                <w:sz w:val="20"/>
                <w:szCs w:val="20"/>
                <w:color w:val="auto"/>
              </w:rPr>
            </w:pPr>
            <w:r>
              <w:rPr>
                <w:rFonts w:ascii="Times New Roman" w:cs="Times New Roman" w:eastAsia="Times New Roman" w:hAnsi="Times New Roman"/>
                <w:sz w:val="18"/>
                <w:szCs w:val="18"/>
                <w:color w:val="auto"/>
              </w:rPr>
              <w:t>10.19</w:t>
            </w:r>
          </w:p>
        </w:tc>
        <w:tc>
          <w:tcPr>
            <w:tcW w:w="19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rPr>
              <w:t>July 29, 2014</w:t>
            </w:r>
          </w:p>
        </w:tc>
      </w:tr>
      <w:tr>
        <w:trPr>
          <w:trHeight w:val="215"/>
        </w:trPr>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500" w:type="dxa"/>
            <w:vAlign w:val="bottom"/>
            <w:tcBorders>
              <w:top w:val="single" w:sz="8" w:color="0000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4840" w:type="dxa"/>
            <w:vAlign w:val="bottom"/>
            <w:tcBorders>
              <w:top w:val="single" w:sz="8" w:color="0000FF"/>
            </w:tcBorders>
            <w:gridSpan w:val="3"/>
            <w:shd w:val="clear" w:color="auto" w:fill="CCEEFF"/>
          </w:tcPr>
          <w:p>
            <w:pPr>
              <w:spacing w:after="0" w:line="195"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Stock Plan.</w:t>
              </w:r>
            </w:hyperlink>
          </w:p>
        </w:tc>
        <w:tc>
          <w:tcPr>
            <w:tcW w:w="2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CCEEFF"/>
            </w:tcBorders>
            <w:shd w:val="clear" w:color="auto" w:fill="CCEEFF"/>
          </w:tcPr>
          <w:p>
            <w:pPr>
              <w:spacing w:after="0"/>
              <w:rPr>
                <w:sz w:val="18"/>
                <w:szCs w:val="18"/>
                <w:color w:val="auto"/>
              </w:rPr>
            </w:pPr>
          </w:p>
        </w:tc>
      </w:tr>
      <w:tr>
        <w:trPr>
          <w:trHeight w:val="215"/>
        </w:trPr>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20" w:type="dxa"/>
            <w:vAlign w:val="bottom"/>
            <w:tcBorders>
              <w:top w:val="single" w:sz="8" w:color="0000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r>
      <w:tr>
        <w:trPr>
          <w:trHeight w:val="174"/>
        </w:trPr>
        <w:tc>
          <w:tcPr>
            <w:tcW w:w="60" w:type="dxa"/>
            <w:vAlign w:val="bottom"/>
            <w:tcBorders>
              <w:bottom w:val="single" w:sz="8" w:color="CCEEFF"/>
            </w:tcBorders>
            <w:gridSpan w:val="2"/>
            <w:shd w:val="clear" w:color="auto" w:fill="CCEEFF"/>
          </w:tcPr>
          <w:p>
            <w:pPr>
              <w:spacing w:after="0"/>
              <w:rPr>
                <w:sz w:val="15"/>
                <w:szCs w:val="15"/>
                <w:color w:val="auto"/>
              </w:rPr>
            </w:pPr>
          </w:p>
        </w:tc>
        <w:tc>
          <w:tcPr>
            <w:tcW w:w="560" w:type="dxa"/>
            <w:vAlign w:val="bottom"/>
            <w:tcBorders>
              <w:bottom w:val="single" w:sz="8" w:color="0000FF"/>
            </w:tcBorders>
            <w:gridSpan w:val="2"/>
            <w:shd w:val="clear" w:color="auto" w:fill="CCEEFF"/>
          </w:tcPr>
          <w:p>
            <w:pPr>
              <w:jc w:val="right"/>
              <w:spacing w:after="0" w:line="175" w:lineRule="exact"/>
              <w:rPr>
                <w:rFonts w:ascii="Times New Roman" w:cs="Times New Roman" w:eastAsia="Times New Roman" w:hAnsi="Times New Roman"/>
                <w:sz w:val="18"/>
                <w:szCs w:val="18"/>
                <w:color w:val="0000FF"/>
                <w:w w:val="97"/>
              </w:rPr>
            </w:pPr>
            <w:hyperlink r:id="rId103">
              <w:r>
                <w:rPr>
                  <w:rFonts w:ascii="Times New Roman" w:cs="Times New Roman" w:eastAsia="Times New Roman" w:hAnsi="Times New Roman"/>
                  <w:sz w:val="18"/>
                  <w:szCs w:val="18"/>
                  <w:color w:val="0000FF"/>
                  <w:w w:val="97"/>
                </w:rPr>
                <w:t>10.</w:t>
              </w:r>
              <w:r>
                <w:rPr>
                  <w:rFonts w:ascii="Times New Roman" w:cs="Times New Roman" w:eastAsia="Times New Roman" w:hAnsi="Times New Roman"/>
                  <w:sz w:val="18"/>
                  <w:szCs w:val="18"/>
                  <w:u w:val="single" w:color="auto"/>
                  <w:color w:val="0000FF"/>
                  <w:w w:val="97"/>
                </w:rPr>
                <w:t>1.3+</w:t>
              </w:r>
            </w:hyperlink>
          </w:p>
        </w:tc>
        <w:tc>
          <w:tcPr>
            <w:tcW w:w="420" w:type="dxa"/>
            <w:vAlign w:val="bottom"/>
            <w:tcBorders>
              <w:bottom w:val="single" w:sz="8" w:color="CCEEFF"/>
            </w:tcBorders>
            <w:shd w:val="clear" w:color="auto" w:fill="CCEEFF"/>
          </w:tcPr>
          <w:p>
            <w:pPr>
              <w:spacing w:after="0"/>
              <w:rPr>
                <w:sz w:val="15"/>
                <w:szCs w:val="15"/>
                <w:color w:val="auto"/>
              </w:rPr>
            </w:pPr>
          </w:p>
        </w:tc>
        <w:tc>
          <w:tcPr>
            <w:tcW w:w="4840" w:type="dxa"/>
            <w:vAlign w:val="bottom"/>
            <w:tcBorders>
              <w:bottom w:val="single" w:sz="8" w:color="0000FF"/>
            </w:tcBorders>
            <w:gridSpan w:val="3"/>
            <w:shd w:val="clear" w:color="auto" w:fill="CCEEFF"/>
          </w:tcPr>
          <w:p>
            <w:pPr>
              <w:spacing w:after="0" w:line="175" w:lineRule="exact"/>
              <w:rPr>
                <w:rFonts w:ascii="Times New Roman" w:cs="Times New Roman" w:eastAsia="Times New Roman" w:hAnsi="Times New Roman"/>
                <w:sz w:val="18"/>
                <w:szCs w:val="18"/>
                <w:color w:val="0000FF"/>
                <w:w w:val="99"/>
              </w:rPr>
            </w:pPr>
            <w:hyperlink r:id="rId103">
              <w:r>
                <w:rPr>
                  <w:rFonts w:ascii="Times New Roman" w:cs="Times New Roman" w:eastAsia="Times New Roman" w:hAnsi="Times New Roman"/>
                  <w:sz w:val="18"/>
                  <w:szCs w:val="18"/>
                  <w:color w:val="0000FF"/>
                  <w:w w:val="99"/>
                </w:rPr>
                <w:t>Amendment No. 2 to Oxygen Biotherapeutics, Inc. 1999 Amended</w:t>
              </w:r>
            </w:hyperlink>
          </w:p>
        </w:tc>
        <w:tc>
          <w:tcPr>
            <w:tcW w:w="2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ind w:left="340"/>
              <w:spacing w:after="0" w:line="175" w:lineRule="exact"/>
              <w:rPr>
                <w:sz w:val="20"/>
                <w:szCs w:val="20"/>
                <w:color w:val="auto"/>
              </w:rPr>
            </w:pPr>
            <w:r>
              <w:rPr>
                <w:rFonts w:ascii="Times New Roman" w:cs="Times New Roman" w:eastAsia="Times New Roman" w:hAnsi="Times New Roman"/>
                <w:sz w:val="18"/>
                <w:szCs w:val="18"/>
                <w:color w:val="auto"/>
              </w:rPr>
              <w:t>10-K</w:t>
            </w:r>
          </w:p>
        </w:tc>
        <w:tc>
          <w:tcPr>
            <w:tcW w:w="1220" w:type="dxa"/>
            <w:vAlign w:val="bottom"/>
            <w:tcBorders>
              <w:bottom w:val="single" w:sz="8" w:color="CCEEFF"/>
            </w:tcBorders>
            <w:shd w:val="clear" w:color="auto" w:fill="CCEEFF"/>
          </w:tcPr>
          <w:p>
            <w:pPr>
              <w:jc w:val="right"/>
              <w:ind w:right="151"/>
              <w:spacing w:after="0" w:line="175" w:lineRule="exact"/>
              <w:rPr>
                <w:sz w:val="20"/>
                <w:szCs w:val="20"/>
                <w:color w:val="auto"/>
              </w:rPr>
            </w:pPr>
            <w:r>
              <w:rPr>
                <w:rFonts w:ascii="Times New Roman" w:cs="Times New Roman" w:eastAsia="Times New Roman" w:hAnsi="Times New Roman"/>
                <w:sz w:val="18"/>
                <w:szCs w:val="18"/>
                <w:color w:val="auto"/>
              </w:rPr>
              <w:t>001-34600</w:t>
            </w:r>
          </w:p>
        </w:tc>
        <w:tc>
          <w:tcPr>
            <w:tcW w:w="980" w:type="dxa"/>
            <w:vAlign w:val="bottom"/>
            <w:tcBorders>
              <w:bottom w:val="single" w:sz="8" w:color="CCEEFF"/>
            </w:tcBorders>
            <w:shd w:val="clear" w:color="auto" w:fill="CCEEFF"/>
          </w:tcPr>
          <w:p>
            <w:pPr>
              <w:jc w:val="center"/>
              <w:ind w:right="31"/>
              <w:spacing w:after="0" w:line="175" w:lineRule="exact"/>
              <w:rPr>
                <w:sz w:val="20"/>
                <w:szCs w:val="20"/>
                <w:color w:val="auto"/>
              </w:rPr>
            </w:pPr>
            <w:r>
              <w:rPr>
                <w:rFonts w:ascii="Times New Roman" w:cs="Times New Roman" w:eastAsia="Times New Roman" w:hAnsi="Times New Roman"/>
                <w:sz w:val="18"/>
                <w:szCs w:val="18"/>
                <w:color w:val="auto"/>
              </w:rPr>
              <w:t>10.20</w:t>
            </w:r>
          </w:p>
        </w:tc>
        <w:tc>
          <w:tcPr>
            <w:tcW w:w="196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rPr>
              <w:t>July 29, 2014</w:t>
            </w:r>
          </w:p>
        </w:tc>
      </w:tr>
      <w:tr>
        <w:trPr>
          <w:trHeight w:val="215"/>
        </w:trPr>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100" w:type="dxa"/>
            <w:vAlign w:val="bottom"/>
            <w:gridSpan w:val="4"/>
            <w:shd w:val="clear" w:color="auto" w:fill="CCEEFF"/>
          </w:tcPr>
          <w:p>
            <w:pPr>
              <w:spacing w:after="0" w:line="195"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Stock Plan.</w:t>
              </w:r>
            </w:hyperlink>
          </w:p>
        </w:tc>
        <w:tc>
          <w:tcPr>
            <w:tcW w:w="9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r>
      <w:tr>
        <w:trPr>
          <w:trHeight w:val="215"/>
        </w:trPr>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20" w:type="dxa"/>
            <w:vAlign w:val="bottom"/>
            <w:tcBorders>
              <w:top w:val="single" w:sz="8" w:color="0000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r>
      <w:tr>
        <w:trPr>
          <w:trHeight w:val="174"/>
        </w:trPr>
        <w:tc>
          <w:tcPr>
            <w:tcW w:w="620" w:type="dxa"/>
            <w:vAlign w:val="bottom"/>
            <w:gridSpan w:val="4"/>
            <w:shd w:val="clear" w:color="auto" w:fill="CCEEFF"/>
          </w:tcPr>
          <w:p>
            <w:pPr>
              <w:jc w:val="right"/>
              <w:ind w:right="60"/>
              <w:spacing w:after="0" w:line="175" w:lineRule="exact"/>
              <w:rPr>
                <w:rFonts w:ascii="Times New Roman" w:cs="Times New Roman" w:eastAsia="Times New Roman" w:hAnsi="Times New Roman"/>
                <w:sz w:val="18"/>
                <w:szCs w:val="18"/>
                <w:color w:val="0000FF"/>
                <w:w w:val="97"/>
              </w:rPr>
            </w:pPr>
            <w:hyperlink r:id="rId104">
              <w:r>
                <w:rPr>
                  <w:rFonts w:ascii="Times New Roman" w:cs="Times New Roman" w:eastAsia="Times New Roman" w:hAnsi="Times New Roman"/>
                  <w:sz w:val="18"/>
                  <w:szCs w:val="18"/>
                  <w:color w:val="0000FF"/>
                  <w:w w:val="97"/>
                </w:rPr>
                <w:t>10.</w:t>
              </w:r>
              <w:r>
                <w:rPr>
                  <w:rFonts w:ascii="Times New Roman" w:cs="Times New Roman" w:eastAsia="Times New Roman" w:hAnsi="Times New Roman"/>
                  <w:sz w:val="18"/>
                  <w:szCs w:val="18"/>
                  <w:u w:val="single" w:color="auto"/>
                  <w:color w:val="0000FF"/>
                  <w:w w:val="97"/>
                </w:rPr>
                <w:t>1.4+</w:t>
              </w:r>
            </w:hyperlink>
          </w:p>
        </w:tc>
        <w:tc>
          <w:tcPr>
            <w:tcW w:w="420" w:type="dxa"/>
            <w:vAlign w:val="bottom"/>
            <w:shd w:val="clear" w:color="auto" w:fill="CCEEFF"/>
          </w:tcPr>
          <w:p>
            <w:pPr>
              <w:spacing w:after="0"/>
              <w:rPr>
                <w:sz w:val="15"/>
                <w:szCs w:val="15"/>
                <w:color w:val="auto"/>
              </w:rPr>
            </w:pPr>
          </w:p>
        </w:tc>
        <w:tc>
          <w:tcPr>
            <w:tcW w:w="5100" w:type="dxa"/>
            <w:vAlign w:val="bottom"/>
            <w:gridSpan w:val="4"/>
            <w:shd w:val="clear" w:color="auto" w:fill="CCEEFF"/>
          </w:tcPr>
          <w:p>
            <w:pPr>
              <w:spacing w:after="0" w:line="175" w:lineRule="exact"/>
              <w:rPr>
                <w:rFonts w:ascii="Times New Roman" w:cs="Times New Roman" w:eastAsia="Times New Roman" w:hAnsi="Times New Roman"/>
                <w:sz w:val="18"/>
                <w:szCs w:val="18"/>
                <w:color w:val="0000FF"/>
                <w:w w:val="99"/>
              </w:rPr>
            </w:pPr>
            <w:hyperlink r:id="rId104">
              <w:r>
                <w:rPr>
                  <w:rFonts w:ascii="Times New Roman" w:cs="Times New Roman" w:eastAsia="Times New Roman" w:hAnsi="Times New Roman"/>
                  <w:sz w:val="18"/>
                  <w:szCs w:val="18"/>
                  <w:color w:val="0000FF"/>
                  <w:w w:val="99"/>
                </w:rPr>
                <w:t>Form of Option issued to Executive Officers and Directors under 1999</w:t>
              </w:r>
            </w:hyperlink>
          </w:p>
        </w:tc>
        <w:tc>
          <w:tcPr>
            <w:tcW w:w="940" w:type="dxa"/>
            <w:vAlign w:val="bottom"/>
            <w:shd w:val="clear" w:color="auto" w:fill="CCEEFF"/>
          </w:tcPr>
          <w:p>
            <w:pPr>
              <w:ind w:left="340"/>
              <w:spacing w:after="0" w:line="175" w:lineRule="exact"/>
              <w:rPr>
                <w:sz w:val="20"/>
                <w:szCs w:val="20"/>
                <w:color w:val="auto"/>
              </w:rPr>
            </w:pPr>
            <w:r>
              <w:rPr>
                <w:rFonts w:ascii="Times New Roman" w:cs="Times New Roman" w:eastAsia="Times New Roman" w:hAnsi="Times New Roman"/>
                <w:sz w:val="18"/>
                <w:szCs w:val="18"/>
                <w:color w:val="auto"/>
              </w:rPr>
              <w:t>10-K</w:t>
            </w:r>
          </w:p>
        </w:tc>
        <w:tc>
          <w:tcPr>
            <w:tcW w:w="1220" w:type="dxa"/>
            <w:vAlign w:val="bottom"/>
            <w:shd w:val="clear" w:color="auto" w:fill="CCEEFF"/>
          </w:tcPr>
          <w:p>
            <w:pPr>
              <w:jc w:val="right"/>
              <w:ind w:right="151"/>
              <w:spacing w:after="0" w:line="175" w:lineRule="exact"/>
              <w:rPr>
                <w:sz w:val="20"/>
                <w:szCs w:val="20"/>
                <w:color w:val="auto"/>
              </w:rPr>
            </w:pPr>
            <w:r>
              <w:rPr>
                <w:rFonts w:ascii="Times New Roman" w:cs="Times New Roman" w:eastAsia="Times New Roman" w:hAnsi="Times New Roman"/>
                <w:sz w:val="18"/>
                <w:szCs w:val="18"/>
                <w:color w:val="auto"/>
              </w:rPr>
              <w:t>002-31909</w:t>
            </w:r>
          </w:p>
        </w:tc>
        <w:tc>
          <w:tcPr>
            <w:tcW w:w="980" w:type="dxa"/>
            <w:vAlign w:val="bottom"/>
            <w:shd w:val="clear" w:color="auto" w:fill="CCEEFF"/>
          </w:tcPr>
          <w:p>
            <w:pPr>
              <w:jc w:val="center"/>
              <w:ind w:right="31"/>
              <w:spacing w:after="0" w:line="175" w:lineRule="exact"/>
              <w:rPr>
                <w:sz w:val="20"/>
                <w:szCs w:val="20"/>
                <w:color w:val="auto"/>
              </w:rPr>
            </w:pPr>
            <w:r>
              <w:rPr>
                <w:rFonts w:ascii="Times New Roman" w:cs="Times New Roman" w:eastAsia="Times New Roman" w:hAnsi="Times New Roman"/>
                <w:sz w:val="18"/>
                <w:szCs w:val="18"/>
                <w:color w:val="auto"/>
                <w:w w:val="95"/>
              </w:rPr>
              <w:t>10.5</w:t>
            </w:r>
          </w:p>
        </w:tc>
        <w:tc>
          <w:tcPr>
            <w:tcW w:w="19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8"/>
              </w:rPr>
              <w:t>August 13, 2004</w:t>
            </w:r>
          </w:p>
        </w:tc>
      </w:tr>
      <w:tr>
        <w:trPr>
          <w:trHeight w:val="195"/>
        </w:trPr>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0000FF"/>
            </w:tcBorders>
            <w:shd w:val="clear" w:color="auto" w:fill="CCEEFF"/>
          </w:tcPr>
          <w:p>
            <w:pPr>
              <w:spacing w:after="0"/>
              <w:rPr>
                <w:sz w:val="16"/>
                <w:szCs w:val="16"/>
                <w:color w:val="auto"/>
              </w:rPr>
            </w:pPr>
          </w:p>
        </w:tc>
        <w:tc>
          <w:tcPr>
            <w:tcW w:w="500" w:type="dxa"/>
            <w:vAlign w:val="bottom"/>
            <w:tcBorders>
              <w:top w:val="single" w:sz="8" w:color="0000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5100" w:type="dxa"/>
            <w:vAlign w:val="bottom"/>
            <w:tcBorders>
              <w:top w:val="single" w:sz="8" w:color="0000FF"/>
            </w:tcBorders>
            <w:gridSpan w:val="4"/>
            <w:shd w:val="clear" w:color="auto" w:fill="CCEEFF"/>
          </w:tcPr>
          <w:p>
            <w:pPr>
              <w:spacing w:after="0" w:line="195"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Amended Stock Plan.</w:t>
              </w:r>
            </w:hyperlink>
          </w:p>
        </w:tc>
        <w:tc>
          <w:tcPr>
            <w:tcW w:w="94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CCEEFF"/>
            </w:tcBorders>
            <w:shd w:val="clear" w:color="auto" w:fill="CCEEFF"/>
          </w:tcPr>
          <w:p>
            <w:pPr>
              <w:spacing w:after="0"/>
              <w:rPr>
                <w:sz w:val="16"/>
                <w:szCs w:val="16"/>
                <w:color w:val="auto"/>
              </w:rPr>
            </w:pPr>
          </w:p>
        </w:tc>
        <w:tc>
          <w:tcPr>
            <w:tcW w:w="1960" w:type="dxa"/>
            <w:vAlign w:val="bottom"/>
            <w:tcBorders>
              <w:top w:val="single" w:sz="8" w:color="CCEEFF"/>
            </w:tcBorders>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3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r>
    </w:tbl>
    <w:p>
      <w:pPr>
        <w:spacing w:after="0" w:line="182"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14" w:lineRule="exact"/>
        <w:rPr>
          <w:sz w:val="20"/>
          <w:szCs w:val="20"/>
          <w:color w:val="auto"/>
        </w:rPr>
      </w:pPr>
    </w:p>
    <w:p>
      <w:pPr>
        <w:ind w:left="20"/>
        <w:spacing w:after="0"/>
        <w:rPr>
          <w:rFonts w:ascii="Times New Roman" w:cs="Times New Roman" w:eastAsia="Times New Roman" w:hAnsi="Times New Roman"/>
          <w:sz w:val="17"/>
          <w:szCs w:val="17"/>
          <w:u w:val="single" w:color="auto"/>
          <w:color w:val="0000FF"/>
        </w:rPr>
      </w:pPr>
      <w:hyperlink r:id="rId105">
        <w:r>
          <w:rPr>
            <w:rFonts w:ascii="Times New Roman" w:cs="Times New Roman" w:eastAsia="Times New Roman" w:hAnsi="Times New Roman"/>
            <w:sz w:val="17"/>
            <w:szCs w:val="17"/>
            <w:u w:val="single" w:color="auto"/>
            <w:color w:val="0000FF"/>
          </w:rPr>
          <w:t>10.1.5+</w:t>
        </w:r>
      </w:hyperlink>
    </w:p>
    <w:p>
      <w:pPr>
        <w:spacing w:after="0" w:line="234" w:lineRule="exact"/>
        <w:rPr>
          <w:sz w:val="20"/>
          <w:szCs w:val="20"/>
          <w:color w:val="auto"/>
        </w:rPr>
      </w:pPr>
    </w:p>
    <w:p>
      <w:pPr>
        <w:ind w:left="20"/>
        <w:spacing w:after="0"/>
        <w:rPr>
          <w:rFonts w:ascii="Times New Roman" w:cs="Times New Roman" w:eastAsia="Times New Roman" w:hAnsi="Times New Roman"/>
          <w:sz w:val="17"/>
          <w:szCs w:val="17"/>
          <w:u w:val="single" w:color="auto"/>
          <w:color w:val="0000FF"/>
        </w:rPr>
      </w:pPr>
      <w:hyperlink r:id="rId106">
        <w:r>
          <w:rPr>
            <w:rFonts w:ascii="Times New Roman" w:cs="Times New Roman" w:eastAsia="Times New Roman" w:hAnsi="Times New Roman"/>
            <w:sz w:val="17"/>
            <w:szCs w:val="17"/>
            <w:u w:val="single" w:color="auto"/>
            <w:color w:val="0000FF"/>
          </w:rPr>
          <w:t>10.1.6+</w:t>
        </w:r>
      </w:hyperlink>
    </w:p>
    <w:p>
      <w:pPr>
        <w:spacing w:after="0" w:line="200" w:lineRule="exact"/>
        <w:rPr>
          <w:sz w:val="20"/>
          <w:szCs w:val="20"/>
          <w:color w:val="auto"/>
        </w:rPr>
      </w:pPr>
    </w:p>
    <w:p>
      <w:pPr>
        <w:spacing w:after="0" w:line="249"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07">
        <w:r>
          <w:rPr>
            <w:rFonts w:ascii="Times New Roman" w:cs="Times New Roman" w:eastAsia="Times New Roman" w:hAnsi="Times New Roman"/>
            <w:sz w:val="18"/>
            <w:szCs w:val="18"/>
            <w:u w:val="single" w:color="auto"/>
            <w:color w:val="0000FF"/>
          </w:rPr>
          <w:t>10.2+</w:t>
        </w:r>
      </w:hyperlink>
    </w:p>
    <w:p>
      <w:pPr>
        <w:spacing w:after="0" w:line="222" w:lineRule="exact"/>
        <w:rPr>
          <w:sz w:val="20"/>
          <w:szCs w:val="20"/>
          <w:color w:val="auto"/>
        </w:rPr>
      </w:pPr>
    </w:p>
    <w:p>
      <w:pPr>
        <w:ind w:left="20"/>
        <w:spacing w:after="0"/>
        <w:rPr>
          <w:rFonts w:ascii="Times New Roman" w:cs="Times New Roman" w:eastAsia="Times New Roman" w:hAnsi="Times New Roman"/>
          <w:sz w:val="17"/>
          <w:szCs w:val="17"/>
          <w:u w:val="single" w:color="auto"/>
          <w:color w:val="0000FF"/>
        </w:rPr>
      </w:pPr>
      <w:hyperlink r:id="rId108">
        <w:r>
          <w:rPr>
            <w:rFonts w:ascii="Times New Roman" w:cs="Times New Roman" w:eastAsia="Times New Roman" w:hAnsi="Times New Roman"/>
            <w:sz w:val="17"/>
            <w:szCs w:val="17"/>
            <w:u w:val="single" w:color="auto"/>
            <w:color w:val="0000FF"/>
          </w:rPr>
          <w:t>10.3.1*</w:t>
        </w:r>
      </w:hyperlink>
    </w:p>
    <w:p>
      <w:pPr>
        <w:spacing w:after="0" w:line="200" w:lineRule="exact"/>
        <w:rPr>
          <w:sz w:val="20"/>
          <w:szCs w:val="20"/>
          <w:color w:val="auto"/>
        </w:rPr>
      </w:pPr>
    </w:p>
    <w:p>
      <w:pPr>
        <w:spacing w:after="0" w:line="249" w:lineRule="exact"/>
        <w:rPr>
          <w:sz w:val="20"/>
          <w:szCs w:val="20"/>
          <w:color w:val="auto"/>
        </w:rPr>
      </w:pPr>
    </w:p>
    <w:p>
      <w:pPr>
        <w:ind w:left="20"/>
        <w:spacing w:after="0"/>
        <w:rPr>
          <w:rFonts w:ascii="Times New Roman" w:cs="Times New Roman" w:eastAsia="Times New Roman" w:hAnsi="Times New Roman"/>
          <w:sz w:val="17"/>
          <w:szCs w:val="17"/>
          <w:u w:val="single" w:color="auto"/>
          <w:color w:val="0000FF"/>
        </w:rPr>
      </w:pPr>
      <w:hyperlink r:id="rId109">
        <w:r>
          <w:rPr>
            <w:rFonts w:ascii="Times New Roman" w:cs="Times New Roman" w:eastAsia="Times New Roman" w:hAnsi="Times New Roman"/>
            <w:sz w:val="17"/>
            <w:szCs w:val="17"/>
            <w:u w:val="single" w:color="auto"/>
            <w:color w:val="0000FF"/>
          </w:rPr>
          <w:t>10.3.2*</w:t>
        </w:r>
      </w:hyperlink>
    </w:p>
    <w:p>
      <w:pPr>
        <w:spacing w:after="0" w:line="200" w:lineRule="exact"/>
        <w:rPr>
          <w:sz w:val="20"/>
          <w:szCs w:val="20"/>
          <w:color w:val="auto"/>
        </w:rPr>
      </w:pPr>
    </w:p>
    <w:p>
      <w:pPr>
        <w:spacing w:after="0" w:line="249" w:lineRule="exact"/>
        <w:rPr>
          <w:sz w:val="20"/>
          <w:szCs w:val="20"/>
          <w:color w:val="auto"/>
        </w:rPr>
      </w:pPr>
    </w:p>
    <w:p>
      <w:pPr>
        <w:ind w:left="20"/>
        <w:spacing w:after="0"/>
        <w:rPr>
          <w:rFonts w:ascii="Times New Roman" w:cs="Times New Roman" w:eastAsia="Times New Roman" w:hAnsi="Times New Roman"/>
          <w:sz w:val="17"/>
          <w:szCs w:val="17"/>
          <w:u w:val="single" w:color="auto"/>
          <w:color w:val="0000FF"/>
        </w:rPr>
      </w:pPr>
      <w:hyperlink r:id="rId110">
        <w:r>
          <w:rPr>
            <w:rFonts w:ascii="Times New Roman" w:cs="Times New Roman" w:eastAsia="Times New Roman" w:hAnsi="Times New Roman"/>
            <w:sz w:val="17"/>
            <w:szCs w:val="17"/>
            <w:u w:val="single" w:color="auto"/>
            <w:color w:val="0000FF"/>
          </w:rPr>
          <w:t>10.3.3*</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07"/>
        </w:trPr>
        <w:tc>
          <w:tcPr>
            <w:tcW w:w="510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105">
              <w:r>
                <w:rPr>
                  <w:rFonts w:ascii="Times New Roman" w:cs="Times New Roman" w:eastAsia="Times New Roman" w:hAnsi="Times New Roman"/>
                  <w:sz w:val="18"/>
                  <w:szCs w:val="18"/>
                  <w:color w:val="0000FF"/>
                  <w:w w:val="99"/>
                </w:rPr>
                <w:t>Form of Option issued to Employees under 1999 Amended Stock Plan.</w:t>
              </w:r>
            </w:hyperlink>
          </w:p>
        </w:tc>
        <w:tc>
          <w:tcPr>
            <w:tcW w:w="80" w:type="dxa"/>
            <w:vAlign w:val="bottom"/>
            <w:gridSpan w:val="2"/>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2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002-31909</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10.6</w:t>
            </w:r>
          </w:p>
        </w:tc>
        <w:tc>
          <w:tcPr>
            <w:tcW w:w="1580" w:type="dxa"/>
            <w:vAlign w:val="bottom"/>
          </w:tcPr>
          <w:p>
            <w:pPr>
              <w:jc w:val="center"/>
              <w:ind w:left="311"/>
              <w:spacing w:after="0"/>
              <w:rPr>
                <w:sz w:val="20"/>
                <w:szCs w:val="20"/>
                <w:color w:val="auto"/>
              </w:rPr>
            </w:pPr>
            <w:r>
              <w:rPr>
                <w:rFonts w:ascii="Times New Roman" w:cs="Times New Roman" w:eastAsia="Times New Roman" w:hAnsi="Times New Roman"/>
                <w:sz w:val="18"/>
                <w:szCs w:val="18"/>
                <w:color w:val="auto"/>
                <w:w w:val="98"/>
              </w:rPr>
              <w:t>August 13, 2004</w:t>
            </w:r>
          </w:p>
        </w:tc>
      </w:tr>
      <w:tr>
        <w:trPr>
          <w:trHeight w:val="409"/>
        </w:trPr>
        <w:tc>
          <w:tcPr>
            <w:tcW w:w="502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106">
              <w:r>
                <w:rPr>
                  <w:rFonts w:ascii="Times New Roman" w:cs="Times New Roman" w:eastAsia="Times New Roman" w:hAnsi="Times New Roman"/>
                  <w:sz w:val="18"/>
                  <w:szCs w:val="18"/>
                  <w:color w:val="0000FF"/>
                  <w:w w:val="99"/>
                </w:rPr>
                <w:t>Form of Option Agreement with Form of Notice of Grant under 1999</w:t>
              </w:r>
            </w:hyperlink>
          </w:p>
        </w:tc>
        <w:tc>
          <w:tcPr>
            <w:tcW w:w="160" w:type="dxa"/>
            <w:vAlign w:val="bottom"/>
            <w:gridSpan w:val="4"/>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2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001-34600</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10.9</w:t>
            </w:r>
          </w:p>
        </w:tc>
        <w:tc>
          <w:tcPr>
            <w:tcW w:w="1580" w:type="dxa"/>
            <w:vAlign w:val="bottom"/>
          </w:tcPr>
          <w:p>
            <w:pPr>
              <w:jc w:val="center"/>
              <w:ind w:left="311"/>
              <w:spacing w:after="0"/>
              <w:rPr>
                <w:sz w:val="20"/>
                <w:szCs w:val="20"/>
                <w:color w:val="auto"/>
              </w:rPr>
            </w:pPr>
            <w:r>
              <w:rPr>
                <w:rFonts w:ascii="Times New Roman" w:cs="Times New Roman" w:eastAsia="Times New Roman" w:hAnsi="Times New Roman"/>
                <w:sz w:val="18"/>
                <w:szCs w:val="18"/>
                <w:color w:val="auto"/>
                <w:w w:val="99"/>
              </w:rPr>
              <w:t>March 16, 2017</w:t>
            </w:r>
          </w:p>
        </w:tc>
      </w:tr>
      <w:tr>
        <w:trPr>
          <w:trHeight w:val="195"/>
        </w:trPr>
        <w:tc>
          <w:tcPr>
            <w:tcW w:w="1560" w:type="dxa"/>
            <w:vAlign w:val="bottom"/>
            <w:tcBorders>
              <w:bottom w:val="single" w:sz="8" w:color="0000FF"/>
            </w:tcBorders>
            <w:gridSpan w:val="3"/>
          </w:tcPr>
          <w:p>
            <w:pPr>
              <w:spacing w:after="0" w:line="195" w:lineRule="exact"/>
              <w:rPr>
                <w:rFonts w:ascii="Times New Roman" w:cs="Times New Roman" w:eastAsia="Times New Roman" w:hAnsi="Times New Roman"/>
                <w:sz w:val="18"/>
                <w:szCs w:val="18"/>
                <w:color w:val="0000FF"/>
                <w:w w:val="98"/>
              </w:rPr>
            </w:pPr>
            <w:hyperlink r:id="rId106">
              <w:r>
                <w:rPr>
                  <w:rFonts w:ascii="Times New Roman" w:cs="Times New Roman" w:eastAsia="Times New Roman" w:hAnsi="Times New Roman"/>
                  <w:sz w:val="18"/>
                  <w:szCs w:val="18"/>
                  <w:color w:val="0000FF"/>
                  <w:w w:val="98"/>
                </w:rPr>
                <w:t>Amended Stock Plan.</w:t>
              </w:r>
            </w:hyperlink>
          </w:p>
        </w:tc>
        <w:tc>
          <w:tcPr>
            <w:tcW w:w="20" w:type="dxa"/>
            <w:vAlign w:val="bottom"/>
            <w:tcBorders>
              <w:bottom w:val="single" w:sz="8" w:color="0000EE"/>
            </w:tcBorders>
          </w:tcPr>
          <w:p>
            <w:pPr>
              <w:spacing w:after="0"/>
              <w:rPr>
                <w:sz w:val="16"/>
                <w:szCs w:val="16"/>
                <w:color w:val="auto"/>
              </w:rPr>
            </w:pPr>
          </w:p>
        </w:tc>
        <w:tc>
          <w:tcPr>
            <w:tcW w:w="3600" w:type="dxa"/>
            <w:vAlign w:val="bottom"/>
            <w:gridSpan w:val="8"/>
          </w:tcPr>
          <w:p>
            <w:pPr>
              <w:spacing w:after="0"/>
              <w:rPr>
                <w:sz w:val="16"/>
                <w:szCs w:val="16"/>
                <w:color w:val="auto"/>
              </w:rPr>
            </w:pPr>
          </w:p>
        </w:tc>
        <w:tc>
          <w:tcPr>
            <w:tcW w:w="8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409"/>
        </w:trPr>
        <w:tc>
          <w:tcPr>
            <w:tcW w:w="266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8"/>
              </w:rPr>
            </w:pPr>
            <w:hyperlink r:id="rId107">
              <w:r>
                <w:rPr>
                  <w:rFonts w:ascii="Times New Roman" w:cs="Times New Roman" w:eastAsia="Times New Roman" w:hAnsi="Times New Roman"/>
                  <w:sz w:val="18"/>
                  <w:szCs w:val="18"/>
                  <w:color w:val="0000FF"/>
                  <w:w w:val="98"/>
                </w:rPr>
                <w:t>Form of Indemnification Agreement.</w:t>
              </w:r>
            </w:hyperlink>
          </w:p>
        </w:tc>
        <w:tc>
          <w:tcPr>
            <w:tcW w:w="2520" w:type="dxa"/>
            <w:vAlign w:val="bottom"/>
            <w:gridSpan w:val="6"/>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2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001-34600</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10.36</w:t>
            </w:r>
          </w:p>
        </w:tc>
        <w:tc>
          <w:tcPr>
            <w:tcW w:w="1580" w:type="dxa"/>
            <w:vAlign w:val="bottom"/>
          </w:tcPr>
          <w:p>
            <w:pPr>
              <w:jc w:val="center"/>
              <w:ind w:left="311"/>
              <w:spacing w:after="0"/>
              <w:rPr>
                <w:sz w:val="20"/>
                <w:szCs w:val="20"/>
                <w:color w:val="auto"/>
              </w:rPr>
            </w:pPr>
            <w:r>
              <w:rPr>
                <w:rFonts w:ascii="Times New Roman" w:cs="Times New Roman" w:eastAsia="Times New Roman" w:hAnsi="Times New Roman"/>
                <w:sz w:val="18"/>
                <w:szCs w:val="18"/>
                <w:color w:val="auto"/>
              </w:rPr>
              <w:t>July 15, 2011</w:t>
            </w:r>
          </w:p>
        </w:tc>
      </w:tr>
      <w:tr>
        <w:trPr>
          <w:trHeight w:val="409"/>
        </w:trPr>
        <w:tc>
          <w:tcPr>
            <w:tcW w:w="514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108">
              <w:r>
                <w:rPr>
                  <w:rFonts w:ascii="Times New Roman" w:cs="Times New Roman" w:eastAsia="Times New Roman" w:hAnsi="Times New Roman"/>
                  <w:sz w:val="18"/>
                  <w:szCs w:val="18"/>
                  <w:color w:val="0000FF"/>
                  <w:w w:val="99"/>
                </w:rPr>
                <w:t>License Agreement dated September 20, 2013 by and between Phyxius</w:t>
              </w:r>
            </w:hyperlink>
          </w:p>
        </w:tc>
        <w:tc>
          <w:tcPr>
            <w:tcW w:w="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2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001-34600</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1580" w:type="dxa"/>
            <w:vAlign w:val="bottom"/>
          </w:tcPr>
          <w:p>
            <w:pPr>
              <w:jc w:val="center"/>
              <w:ind w:left="311"/>
              <w:spacing w:after="0"/>
              <w:rPr>
                <w:sz w:val="20"/>
                <w:szCs w:val="20"/>
                <w:color w:val="auto"/>
              </w:rPr>
            </w:pPr>
            <w:r>
              <w:rPr>
                <w:rFonts w:ascii="Times New Roman" w:cs="Times New Roman" w:eastAsia="Times New Roman" w:hAnsi="Times New Roman"/>
                <w:sz w:val="18"/>
                <w:szCs w:val="18"/>
                <w:color w:val="auto"/>
                <w:w w:val="99"/>
              </w:rPr>
              <w:t>March 17, 2014</w:t>
            </w:r>
          </w:p>
        </w:tc>
      </w:tr>
      <w:tr>
        <w:trPr>
          <w:trHeight w:val="195"/>
        </w:trPr>
        <w:tc>
          <w:tcPr>
            <w:tcW w:w="5180" w:type="dxa"/>
            <w:vAlign w:val="bottom"/>
            <w:gridSpan w:val="12"/>
          </w:tcPr>
          <w:p>
            <w:pPr>
              <w:spacing w:after="0" w:line="195"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Pharma, Inc. and Orion Corporation.</w:t>
              </w:r>
            </w:hyperlink>
          </w:p>
        </w:tc>
        <w:tc>
          <w:tcPr>
            <w:tcW w:w="8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0"/>
        </w:trPr>
        <w:tc>
          <w:tcPr>
            <w:tcW w:w="1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20" w:type="dxa"/>
            <w:vAlign w:val="bottom"/>
            <w:tcBorders>
              <w:right w:val="single" w:sz="8" w:color="0000EE"/>
            </w:tcBorders>
            <w:gridSpan w:val="3"/>
            <w:shd w:val="clear" w:color="auto" w:fill="0000FF"/>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09"/>
        </w:trPr>
        <w:tc>
          <w:tcPr>
            <w:tcW w:w="5180" w:type="dxa"/>
            <w:vAlign w:val="bottom"/>
            <w:tcBorders>
              <w:bottom w:val="single" w:sz="8" w:color="0000FF"/>
            </w:tcBorders>
            <w:gridSpan w:val="12"/>
          </w:tcPr>
          <w:p>
            <w:pPr>
              <w:ind w:left="20"/>
              <w:spacing w:after="0"/>
              <w:rPr>
                <w:rFonts w:ascii="Times New Roman" w:cs="Times New Roman" w:eastAsia="Times New Roman" w:hAnsi="Times New Roman"/>
                <w:sz w:val="18"/>
                <w:szCs w:val="18"/>
                <w:color w:val="0000FF"/>
                <w:w w:val="99"/>
              </w:rPr>
            </w:pPr>
            <w:hyperlink r:id="rId109">
              <w:r>
                <w:rPr>
                  <w:rFonts w:ascii="Times New Roman" w:cs="Times New Roman" w:eastAsia="Times New Roman" w:hAnsi="Times New Roman"/>
                  <w:sz w:val="18"/>
                  <w:szCs w:val="18"/>
                  <w:color w:val="0000FF"/>
                  <w:w w:val="99"/>
                </w:rPr>
                <w:t>Amendment to License Agreement, dated as of October 9, 2020, by and</w:t>
              </w:r>
            </w:hyperlink>
          </w:p>
        </w:tc>
        <w:tc>
          <w:tcPr>
            <w:tcW w:w="86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001-34600</w:t>
            </w:r>
          </w:p>
        </w:tc>
        <w:tc>
          <w:tcPr>
            <w:tcW w:w="94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10.1</w:t>
            </w:r>
          </w:p>
        </w:tc>
        <w:tc>
          <w:tcPr>
            <w:tcW w:w="15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8"/>
              </w:rPr>
              <w:t>October 15, 2020</w:t>
            </w:r>
          </w:p>
        </w:tc>
      </w:tr>
      <w:tr>
        <w:trPr>
          <w:trHeight w:val="195"/>
        </w:trPr>
        <w:tc>
          <w:tcPr>
            <w:tcW w:w="5180" w:type="dxa"/>
            <w:vAlign w:val="bottom"/>
            <w:gridSpan w:val="12"/>
          </w:tcPr>
          <w:p>
            <w:pPr>
              <w:ind w:left="20"/>
              <w:spacing w:after="0" w:line="195"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between Tenax Therapeutics, Inc. and Orion Corporation.</w:t>
              </w:r>
            </w:hyperlink>
          </w:p>
        </w:tc>
        <w:tc>
          <w:tcPr>
            <w:tcW w:w="8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0"/>
        </w:trPr>
        <w:tc>
          <w:tcPr>
            <w:tcW w:w="1300" w:type="dxa"/>
            <w:vAlign w:val="bottom"/>
            <w:tcBorders>
              <w:left w:val="single" w:sz="8" w:color="0000EE"/>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40" w:type="dxa"/>
            <w:vAlign w:val="bottom"/>
            <w:gridSpan w:val="5"/>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09"/>
        </w:trPr>
        <w:tc>
          <w:tcPr>
            <w:tcW w:w="5080" w:type="dxa"/>
            <w:vAlign w:val="bottom"/>
            <w:tcBorders>
              <w:bottom w:val="single" w:sz="8" w:color="0000FF"/>
            </w:tcBorders>
            <w:gridSpan w:val="9"/>
          </w:tcPr>
          <w:p>
            <w:pPr>
              <w:ind w:left="20"/>
              <w:spacing w:after="0"/>
              <w:rPr>
                <w:rFonts w:ascii="Times New Roman" w:cs="Times New Roman" w:eastAsia="Times New Roman" w:hAnsi="Times New Roman"/>
                <w:sz w:val="18"/>
                <w:szCs w:val="18"/>
                <w:color w:val="0000FF"/>
                <w:w w:val="99"/>
              </w:rPr>
            </w:pPr>
            <w:hyperlink r:id="rId110">
              <w:r>
                <w:rPr>
                  <w:rFonts w:ascii="Times New Roman" w:cs="Times New Roman" w:eastAsia="Times New Roman" w:hAnsi="Times New Roman"/>
                  <w:sz w:val="18"/>
                  <w:szCs w:val="18"/>
                  <w:color w:val="0000FF"/>
                  <w:w w:val="99"/>
                </w:rPr>
                <w:t>Amendment to the License Agreement of September 20, 2013, by and</w:t>
              </w:r>
            </w:hyperlink>
          </w:p>
        </w:tc>
        <w:tc>
          <w:tcPr>
            <w:tcW w:w="100" w:type="dxa"/>
            <w:vAlign w:val="bottom"/>
            <w:gridSpan w:val="3"/>
          </w:tcPr>
          <w:p>
            <w:pPr>
              <w:spacing w:after="0"/>
              <w:rPr>
                <w:sz w:val="24"/>
                <w:szCs w:val="24"/>
                <w:color w:val="auto"/>
              </w:rPr>
            </w:pPr>
          </w:p>
        </w:tc>
        <w:tc>
          <w:tcPr>
            <w:tcW w:w="86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001-34600</w:t>
            </w:r>
          </w:p>
        </w:tc>
        <w:tc>
          <w:tcPr>
            <w:tcW w:w="94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10.1</w:t>
            </w:r>
          </w:p>
        </w:tc>
        <w:tc>
          <w:tcPr>
            <w:tcW w:w="15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January 28, 2022</w:t>
            </w:r>
          </w:p>
        </w:tc>
      </w:tr>
      <w:tr>
        <w:trPr>
          <w:trHeight w:val="195"/>
        </w:trPr>
        <w:tc>
          <w:tcPr>
            <w:tcW w:w="5020" w:type="dxa"/>
            <w:vAlign w:val="bottom"/>
            <w:tcBorders>
              <w:bottom w:val="single" w:sz="8" w:color="0000FF"/>
            </w:tcBorders>
            <w:gridSpan w:val="8"/>
          </w:tcPr>
          <w:p>
            <w:pPr>
              <w:ind w:left="20"/>
              <w:spacing w:after="0" w:line="195" w:lineRule="exact"/>
              <w:rPr>
                <w:rFonts w:ascii="Times New Roman" w:cs="Times New Roman" w:eastAsia="Times New Roman" w:hAnsi="Times New Roman"/>
                <w:sz w:val="18"/>
                <w:szCs w:val="18"/>
                <w:color w:val="0000FF"/>
                <w:w w:val="99"/>
              </w:rPr>
            </w:pPr>
            <w:hyperlink r:id="rId110">
              <w:r>
                <w:rPr>
                  <w:rFonts w:ascii="Times New Roman" w:cs="Times New Roman" w:eastAsia="Times New Roman" w:hAnsi="Times New Roman"/>
                  <w:sz w:val="18"/>
                  <w:szCs w:val="18"/>
                  <w:color w:val="0000FF"/>
                  <w:w w:val="99"/>
                </w:rPr>
                <w:t>between Tenax Therapeutics, Inc. and Orion Corporation, dated as of</w:t>
              </w:r>
            </w:hyperlink>
          </w:p>
        </w:tc>
        <w:tc>
          <w:tcPr>
            <w:tcW w:w="160" w:type="dxa"/>
            <w:vAlign w:val="bottom"/>
            <w:gridSpan w:val="4"/>
          </w:tcPr>
          <w:p>
            <w:pPr>
              <w:spacing w:after="0"/>
              <w:rPr>
                <w:sz w:val="16"/>
                <w:szCs w:val="16"/>
                <w:color w:val="auto"/>
              </w:rPr>
            </w:pPr>
          </w:p>
        </w:tc>
        <w:tc>
          <w:tcPr>
            <w:tcW w:w="8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95"/>
        </w:trPr>
        <w:tc>
          <w:tcPr>
            <w:tcW w:w="1300" w:type="dxa"/>
            <w:vAlign w:val="bottom"/>
            <w:tcBorders>
              <w:bottom w:val="single" w:sz="8" w:color="0000FF"/>
            </w:tcBorders>
          </w:tcPr>
          <w:p>
            <w:pPr>
              <w:ind w:left="20"/>
              <w:spacing w:after="0" w:line="195" w:lineRule="exact"/>
              <w:rPr>
                <w:rFonts w:ascii="Times New Roman" w:cs="Times New Roman" w:eastAsia="Times New Roman" w:hAnsi="Times New Roman"/>
                <w:sz w:val="18"/>
                <w:szCs w:val="18"/>
                <w:color w:val="0000FF"/>
                <w:w w:val="98"/>
              </w:rPr>
            </w:pPr>
            <w:hyperlink r:id="rId110">
              <w:r>
                <w:rPr>
                  <w:rFonts w:ascii="Times New Roman" w:cs="Times New Roman" w:eastAsia="Times New Roman" w:hAnsi="Times New Roman"/>
                  <w:sz w:val="18"/>
                  <w:szCs w:val="18"/>
                  <w:color w:val="0000FF"/>
                  <w:w w:val="98"/>
                </w:rPr>
                <w:t>January 25, 2022.</w:t>
              </w:r>
            </w:hyperlink>
          </w:p>
        </w:tc>
        <w:tc>
          <w:tcPr>
            <w:tcW w:w="20" w:type="dxa"/>
            <w:vAlign w:val="bottom"/>
            <w:tcBorders>
              <w:bottom w:val="single" w:sz="8" w:color="0000EE"/>
            </w:tcBorders>
          </w:tcPr>
          <w:p>
            <w:pPr>
              <w:spacing w:after="0"/>
              <w:rPr>
                <w:sz w:val="16"/>
                <w:szCs w:val="16"/>
                <w:color w:val="auto"/>
              </w:rPr>
            </w:pPr>
          </w:p>
        </w:tc>
        <w:tc>
          <w:tcPr>
            <w:tcW w:w="3860" w:type="dxa"/>
            <w:vAlign w:val="bottom"/>
            <w:gridSpan w:val="10"/>
          </w:tcPr>
          <w:p>
            <w:pPr>
              <w:spacing w:after="0"/>
              <w:rPr>
                <w:sz w:val="16"/>
                <w:szCs w:val="16"/>
                <w:color w:val="auto"/>
              </w:rPr>
            </w:pPr>
          </w:p>
        </w:tc>
        <w:tc>
          <w:tcPr>
            <w:tcW w:w="8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-655320</wp:posOffset>
            </wp:positionH>
            <wp:positionV relativeFrom="paragraph">
              <wp:posOffset>-2164080</wp:posOffset>
            </wp:positionV>
            <wp:extent cx="7132955" cy="1365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1">
                      <a:extLst>
                        <a:ext uri="{28A0092B-C50C-407E-A947-70E740481C1C}"/>
                      </a:extLst>
                    </a:blip>
                    <a:srcRect/>
                    <a:stretch>
                      <a:fillRect/>
                    </a:stretch>
                  </pic:blipFill>
                  <pic:spPr bwMode="auto">
                    <a:xfrm>
                      <a:off x="0" y="0"/>
                      <a:ext cx="7132955" cy="136525"/>
                    </a:xfrm>
                    <a:prstGeom prst="rect">
                      <a:avLst/>
                    </a:prstGeom>
                    <a:noFill/>
                  </pic:spPr>
                </pic:pic>
              </a:graphicData>
            </a:graphic>
          </wp:anchor>
        </w:drawing>
        <w:drawing>
          <wp:anchor simplePos="0" relativeHeight="251657728" behindDoc="1" locked="0" layoutInCell="0" allowOverlap="1">
            <wp:simplePos x="0" y="0"/>
            <wp:positionH relativeFrom="column">
              <wp:posOffset>-655320</wp:posOffset>
            </wp:positionH>
            <wp:positionV relativeFrom="paragraph">
              <wp:posOffset>-1891030</wp:posOffset>
            </wp:positionV>
            <wp:extent cx="7132955" cy="272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2">
                      <a:extLst>
                        <a:ext uri="{28A0092B-C50C-407E-A947-70E740481C1C}"/>
                      </a:extLst>
                    </a:blip>
                    <a:srcRect/>
                    <a:stretch>
                      <a:fillRect/>
                    </a:stretch>
                  </pic:blipFill>
                  <pic:spPr bwMode="auto">
                    <a:xfrm>
                      <a:off x="0" y="0"/>
                      <a:ext cx="7132955" cy="272415"/>
                    </a:xfrm>
                    <a:prstGeom prst="rect">
                      <a:avLst/>
                    </a:prstGeom>
                    <a:noFill/>
                  </pic:spPr>
                </pic:pic>
              </a:graphicData>
            </a:graphic>
          </wp:anchor>
        </w:drawing>
        <w:drawing>
          <wp:anchor simplePos="0" relativeHeight="251657728" behindDoc="1" locked="0" layoutInCell="0" allowOverlap="1">
            <wp:simplePos x="0" y="0"/>
            <wp:positionH relativeFrom="column">
              <wp:posOffset>-655320</wp:posOffset>
            </wp:positionH>
            <wp:positionV relativeFrom="paragraph">
              <wp:posOffset>-1482090</wp:posOffset>
            </wp:positionV>
            <wp:extent cx="7132955" cy="1365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3">
                      <a:extLst>
                        <a:ext uri="{28A0092B-C50C-407E-A947-70E740481C1C}"/>
                      </a:extLst>
                    </a:blip>
                    <a:srcRect/>
                    <a:stretch>
                      <a:fillRect/>
                    </a:stretch>
                  </pic:blipFill>
                  <pic:spPr bwMode="auto">
                    <a:xfrm>
                      <a:off x="0" y="0"/>
                      <a:ext cx="7132955" cy="136525"/>
                    </a:xfrm>
                    <a:prstGeom prst="rect">
                      <a:avLst/>
                    </a:prstGeom>
                    <a:noFill/>
                  </pic:spPr>
                </pic:pic>
              </a:graphicData>
            </a:graphic>
          </wp:anchor>
        </w:drawing>
        <w:drawing>
          <wp:anchor simplePos="0" relativeHeight="251657728" behindDoc="1" locked="0" layoutInCell="0" allowOverlap="1">
            <wp:simplePos x="0" y="0"/>
            <wp:positionH relativeFrom="column">
              <wp:posOffset>-655320</wp:posOffset>
            </wp:positionH>
            <wp:positionV relativeFrom="paragraph">
              <wp:posOffset>-1209675</wp:posOffset>
            </wp:positionV>
            <wp:extent cx="7132955" cy="272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4">
                      <a:extLst>
                        <a:ext uri="{28A0092B-C50C-407E-A947-70E740481C1C}"/>
                      </a:extLst>
                    </a:blip>
                    <a:srcRect/>
                    <a:stretch>
                      <a:fillRect/>
                    </a:stretch>
                  </pic:blipFill>
                  <pic:spPr bwMode="auto">
                    <a:xfrm>
                      <a:off x="0" y="0"/>
                      <a:ext cx="7132955" cy="272415"/>
                    </a:xfrm>
                    <a:prstGeom prst="rect">
                      <a:avLst/>
                    </a:prstGeom>
                    <a:noFill/>
                  </pic:spPr>
                </pic:pic>
              </a:graphicData>
            </a:graphic>
          </wp:anchor>
        </w:drawing>
        <w:drawing>
          <wp:anchor simplePos="0" relativeHeight="251657728" behindDoc="1" locked="0" layoutInCell="0" allowOverlap="1">
            <wp:simplePos x="0" y="0"/>
            <wp:positionH relativeFrom="column">
              <wp:posOffset>-655320</wp:posOffset>
            </wp:positionH>
            <wp:positionV relativeFrom="paragraph">
              <wp:posOffset>-800735</wp:posOffset>
            </wp:positionV>
            <wp:extent cx="7132955" cy="2724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5">
                      <a:extLst>
                        <a:ext uri="{28A0092B-C50C-407E-A947-70E740481C1C}"/>
                      </a:extLst>
                    </a:blip>
                    <a:srcRect/>
                    <a:stretch>
                      <a:fillRect/>
                    </a:stretch>
                  </pic:blipFill>
                  <pic:spPr bwMode="auto">
                    <a:xfrm>
                      <a:off x="0" y="0"/>
                      <a:ext cx="7132955" cy="272415"/>
                    </a:xfrm>
                    <a:prstGeom prst="rect">
                      <a:avLst/>
                    </a:prstGeom>
                    <a:noFill/>
                  </pic:spPr>
                </pic:pic>
              </a:graphicData>
            </a:graphic>
          </wp:anchor>
        </w:drawing>
        <w:drawing>
          <wp:anchor simplePos="0" relativeHeight="251657728" behindDoc="1" locked="0" layoutInCell="0" allowOverlap="1">
            <wp:simplePos x="0" y="0"/>
            <wp:positionH relativeFrom="column">
              <wp:posOffset>-655320</wp:posOffset>
            </wp:positionH>
            <wp:positionV relativeFrom="paragraph">
              <wp:posOffset>-391160</wp:posOffset>
            </wp:positionV>
            <wp:extent cx="7132955" cy="408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6">
                      <a:extLst>
                        <a:ext uri="{28A0092B-C50C-407E-A947-70E740481C1C}"/>
                      </a:extLst>
                    </a:blip>
                    <a:srcRect/>
                    <a:stretch>
                      <a:fillRect/>
                    </a:stretch>
                  </pic:blipFill>
                  <pic:spPr bwMode="auto">
                    <a:xfrm>
                      <a:off x="0" y="0"/>
                      <a:ext cx="7132955" cy="4089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0" w:space="480"/>
            <w:col w:w="10200"/>
          </w:cols>
          <w:pgMar w:left="320" w:top="117" w:right="339" w:bottom="1440" w:gutter="0" w:footer="0" w:header="0"/>
          <w:type w:val="continuous"/>
        </w:sectPr>
      </w:pP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0000FF"/>
            </w:tcBorders>
            <w:gridSpan w:val="2"/>
            <w:shd w:val="clear" w:color="auto" w:fill="CFF0FC"/>
          </w:tcPr>
          <w:p>
            <w:pPr>
              <w:spacing w:after="0"/>
              <w:rPr>
                <w:rFonts w:ascii="Times New Roman" w:cs="Times New Roman" w:eastAsia="Times New Roman" w:hAnsi="Times New Roman"/>
                <w:sz w:val="18"/>
                <w:szCs w:val="18"/>
                <w:color w:val="0000FF"/>
                <w:w w:val="96"/>
              </w:rPr>
            </w:pPr>
            <w:hyperlink r:id="rId117">
              <w:r>
                <w:rPr>
                  <w:rFonts w:ascii="Times New Roman" w:cs="Times New Roman" w:eastAsia="Times New Roman" w:hAnsi="Times New Roman"/>
                  <w:sz w:val="18"/>
                  <w:szCs w:val="18"/>
                  <w:color w:val="0000FF"/>
                  <w:w w:val="96"/>
                </w:rPr>
                <w:t>10.</w:t>
              </w:r>
              <w:r>
                <w:rPr>
                  <w:rFonts w:ascii="Times New Roman" w:cs="Times New Roman" w:eastAsia="Times New Roman" w:hAnsi="Times New Roman"/>
                  <w:sz w:val="18"/>
                  <w:szCs w:val="18"/>
                  <w:u w:val="single" w:color="auto"/>
                  <w:color w:val="0000FF"/>
                  <w:w w:val="96"/>
                </w:rPr>
                <w:t>3.4*</w:t>
              </w:r>
            </w:hyperlink>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4980" w:type="dxa"/>
            <w:vAlign w:val="bottom"/>
            <w:tcBorders>
              <w:bottom w:val="single" w:sz="8" w:color="0000FF"/>
            </w:tcBorders>
            <w:gridSpan w:val="6"/>
            <w:shd w:val="clear" w:color="auto" w:fill="CFF0FC"/>
          </w:tcPr>
          <w:p>
            <w:pPr>
              <w:spacing w:after="0"/>
              <w:rPr>
                <w:rFonts w:ascii="Times New Roman" w:cs="Times New Roman" w:eastAsia="Times New Roman" w:hAnsi="Times New Roman"/>
                <w:sz w:val="18"/>
                <w:szCs w:val="18"/>
                <w:color w:val="0000FF"/>
                <w:w w:val="99"/>
              </w:rPr>
            </w:pPr>
            <w:hyperlink r:id="rId117">
              <w:r>
                <w:rPr>
                  <w:rFonts w:ascii="Times New Roman" w:cs="Times New Roman" w:eastAsia="Times New Roman" w:hAnsi="Times New Roman"/>
                  <w:sz w:val="18"/>
                  <w:szCs w:val="18"/>
                  <w:color w:val="0000FF"/>
                  <w:w w:val="99"/>
                </w:rPr>
                <w:t>Third Amendment to the License Agreement of September 20, 2013,</w:t>
              </w:r>
            </w:hyperlink>
          </w:p>
        </w:tc>
        <w:tc>
          <w:tcPr>
            <w:tcW w:w="160" w:type="dxa"/>
            <w:vAlign w:val="bottom"/>
            <w:tcBorders>
              <w:bottom w:val="single" w:sz="8" w:color="CFF0FC"/>
            </w:tcBorders>
            <w:gridSpan w:val="2"/>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jc w:val="center"/>
              <w:ind w:left="31"/>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001-34600</w:t>
            </w:r>
          </w:p>
        </w:tc>
        <w:tc>
          <w:tcPr>
            <w:tcW w:w="880" w:type="dxa"/>
            <w:vAlign w:val="bottom"/>
            <w:tcBorders>
              <w:bottom w:val="single" w:sz="8" w:color="CFF0FC"/>
            </w:tcBorders>
            <w:shd w:val="clear" w:color="auto" w:fill="CFF0FC"/>
          </w:tcPr>
          <w:p>
            <w:pPr>
              <w:jc w:val="center"/>
              <w:ind w:right="11"/>
              <w:spacing w:after="0"/>
              <w:rPr>
                <w:sz w:val="20"/>
                <w:szCs w:val="20"/>
                <w:color w:val="auto"/>
              </w:rPr>
            </w:pPr>
            <w:r>
              <w:rPr>
                <w:rFonts w:ascii="Times New Roman" w:cs="Times New Roman" w:eastAsia="Times New Roman" w:hAnsi="Times New Roman"/>
                <w:sz w:val="18"/>
                <w:szCs w:val="18"/>
                <w:color w:val="auto"/>
                <w:w w:val="95"/>
              </w:rPr>
              <w:t>10.1</w:t>
            </w:r>
          </w:p>
        </w:tc>
        <w:tc>
          <w:tcPr>
            <w:tcW w:w="20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February 20, 2024</w:t>
            </w:r>
          </w:p>
        </w:tc>
      </w:tr>
      <w:tr>
        <w:trPr>
          <w:trHeight w:val="195"/>
        </w:trPr>
        <w:tc>
          <w:tcPr>
            <w:tcW w:w="2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5140" w:type="dxa"/>
            <w:vAlign w:val="bottom"/>
            <w:tcBorders>
              <w:bottom w:val="single" w:sz="8" w:color="0000FF"/>
            </w:tcBorders>
            <w:gridSpan w:val="8"/>
            <w:shd w:val="clear" w:color="auto" w:fill="CFF0FC"/>
          </w:tcPr>
          <w:p>
            <w:pPr>
              <w:spacing w:after="0" w:line="195" w:lineRule="exact"/>
              <w:rPr>
                <w:rFonts w:ascii="Times New Roman" w:cs="Times New Roman" w:eastAsia="Times New Roman" w:hAnsi="Times New Roman"/>
                <w:sz w:val="18"/>
                <w:szCs w:val="18"/>
                <w:color w:val="0000FF"/>
                <w:w w:val="99"/>
              </w:rPr>
            </w:pPr>
            <w:hyperlink r:id="rId117">
              <w:r>
                <w:rPr>
                  <w:rFonts w:ascii="Times New Roman" w:cs="Times New Roman" w:eastAsia="Times New Roman" w:hAnsi="Times New Roman"/>
                  <w:sz w:val="18"/>
                  <w:szCs w:val="18"/>
                  <w:color w:val="0000FF"/>
                  <w:w w:val="99"/>
                </w:rPr>
                <w:t>by and between Tenax Therapeutics, Inc. and Orion Corporation, dated</w:t>
              </w:r>
            </w:hyperlink>
          </w:p>
        </w:tc>
        <w:tc>
          <w:tcPr>
            <w:tcW w:w="880" w:type="dxa"/>
            <w:vAlign w:val="bottom"/>
            <w:tcBorders>
              <w:bottom w:val="single" w:sz="8" w:color="CFF0FC"/>
            </w:tcBorders>
            <w:shd w:val="clear" w:color="auto" w:fill="CFF0FC"/>
          </w:tcPr>
          <w:p>
            <w:pPr>
              <w:spacing w:after="0"/>
              <w:rPr>
                <w:sz w:val="16"/>
                <w:szCs w:val="16"/>
                <w:color w:val="auto"/>
              </w:rPr>
            </w:pPr>
          </w:p>
        </w:tc>
        <w:tc>
          <w:tcPr>
            <w:tcW w:w="1220" w:type="dxa"/>
            <w:vAlign w:val="bottom"/>
            <w:tcBorders>
              <w:bottom w:val="single" w:sz="8" w:color="CFF0FC"/>
            </w:tcBorders>
            <w:shd w:val="clear" w:color="auto" w:fill="CFF0FC"/>
          </w:tcPr>
          <w:p>
            <w:pPr>
              <w:spacing w:after="0"/>
              <w:rPr>
                <w:sz w:val="16"/>
                <w:szCs w:val="16"/>
                <w:color w:val="auto"/>
              </w:rPr>
            </w:pPr>
          </w:p>
        </w:tc>
        <w:tc>
          <w:tcPr>
            <w:tcW w:w="880" w:type="dxa"/>
            <w:vAlign w:val="bottom"/>
            <w:tcBorders>
              <w:bottom w:val="single" w:sz="8" w:color="CFF0FC"/>
            </w:tcBorders>
            <w:shd w:val="clear" w:color="auto" w:fill="CFF0FC"/>
          </w:tcPr>
          <w:p>
            <w:pPr>
              <w:spacing w:after="0"/>
              <w:rPr>
                <w:sz w:val="16"/>
                <w:szCs w:val="16"/>
                <w:color w:val="auto"/>
              </w:rPr>
            </w:pPr>
          </w:p>
        </w:tc>
        <w:tc>
          <w:tcPr>
            <w:tcW w:w="2060" w:type="dxa"/>
            <w:vAlign w:val="bottom"/>
            <w:tcBorders>
              <w:bottom w:val="single" w:sz="8" w:color="CFF0FC"/>
            </w:tcBorders>
            <w:shd w:val="clear" w:color="auto" w:fill="CFF0FC"/>
          </w:tcPr>
          <w:p>
            <w:pPr>
              <w:spacing w:after="0"/>
              <w:rPr>
                <w:sz w:val="16"/>
                <w:szCs w:val="16"/>
                <w:color w:val="auto"/>
              </w:rPr>
            </w:pPr>
          </w:p>
        </w:tc>
      </w:tr>
      <w:tr>
        <w:trPr>
          <w:trHeight w:val="215"/>
        </w:trPr>
        <w:tc>
          <w:tcPr>
            <w:tcW w:w="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380" w:type="dxa"/>
            <w:vAlign w:val="bottom"/>
            <w:gridSpan w:val="9"/>
            <w:shd w:val="clear" w:color="auto" w:fill="CFF0FC"/>
          </w:tcPr>
          <w:p>
            <w:pPr>
              <w:ind w:left="240"/>
              <w:spacing w:after="0" w:line="195"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as of February 19, 2024.</w:t>
              </w:r>
            </w:hyperlink>
          </w:p>
        </w:tc>
        <w:tc>
          <w:tcPr>
            <w:tcW w:w="8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60" w:type="dxa"/>
            <w:vAlign w:val="bottom"/>
            <w:shd w:val="clear" w:color="auto" w:fill="CFF0FC"/>
          </w:tcPr>
          <w:p>
            <w:pPr>
              <w:spacing w:after="0"/>
              <w:rPr>
                <w:sz w:val="18"/>
                <w:szCs w:val="18"/>
                <w:color w:val="auto"/>
              </w:rPr>
            </w:pPr>
          </w:p>
        </w:tc>
      </w:tr>
      <w:tr>
        <w:trPr>
          <w:trHeight w:val="215"/>
        </w:trPr>
        <w:tc>
          <w:tcPr>
            <w:tcW w:w="20" w:type="dxa"/>
            <w:vAlign w:val="bottom"/>
            <w:tcBorders>
              <w:top w:val="single" w:sz="8" w:color="CFF0FC"/>
            </w:tcBorders>
          </w:tcPr>
          <w:p>
            <w:pPr>
              <w:spacing w:after="0"/>
              <w:rPr>
                <w:sz w:val="18"/>
                <w:szCs w:val="18"/>
                <w:color w:val="auto"/>
              </w:rPr>
            </w:pPr>
          </w:p>
        </w:tc>
        <w:tc>
          <w:tcPr>
            <w:tcW w:w="42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080" w:type="dxa"/>
            <w:vAlign w:val="bottom"/>
            <w:tcBorders>
              <w:top w:val="single" w:sz="8" w:color="0000FF"/>
            </w:tcBorders>
          </w:tcPr>
          <w:p>
            <w:pPr>
              <w:spacing w:after="0"/>
              <w:rPr>
                <w:sz w:val="18"/>
                <w:szCs w:val="18"/>
                <w:color w:val="auto"/>
              </w:rPr>
            </w:pPr>
          </w:p>
        </w:tc>
        <w:tc>
          <w:tcPr>
            <w:tcW w:w="2000" w:type="dxa"/>
            <w:vAlign w:val="bottom"/>
            <w:tcBorders>
              <w:top w:val="single" w:sz="8" w:color="CFF0FC"/>
            </w:tcBorders>
          </w:tcPr>
          <w:p>
            <w:pPr>
              <w:spacing w:after="0"/>
              <w:rPr>
                <w:sz w:val="18"/>
                <w:szCs w:val="18"/>
                <w:color w:val="auto"/>
              </w:rPr>
            </w:pPr>
          </w:p>
        </w:tc>
        <w:tc>
          <w:tcPr>
            <w:tcW w:w="118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880" w:type="dxa"/>
            <w:vAlign w:val="bottom"/>
            <w:tcBorders>
              <w:top w:val="single" w:sz="8" w:color="CFF0FC"/>
            </w:tcBorders>
          </w:tcPr>
          <w:p>
            <w:pPr>
              <w:spacing w:after="0"/>
              <w:rPr>
                <w:sz w:val="18"/>
                <w:szCs w:val="18"/>
                <w:color w:val="auto"/>
              </w:rPr>
            </w:pPr>
          </w:p>
        </w:tc>
        <w:tc>
          <w:tcPr>
            <w:tcW w:w="1220" w:type="dxa"/>
            <w:vAlign w:val="bottom"/>
            <w:tcBorders>
              <w:top w:val="single" w:sz="8" w:color="CFF0FC"/>
            </w:tcBorders>
          </w:tcPr>
          <w:p>
            <w:pPr>
              <w:spacing w:after="0"/>
              <w:rPr>
                <w:sz w:val="18"/>
                <w:szCs w:val="18"/>
                <w:color w:val="auto"/>
              </w:rPr>
            </w:pPr>
          </w:p>
        </w:tc>
        <w:tc>
          <w:tcPr>
            <w:tcW w:w="880" w:type="dxa"/>
            <w:vAlign w:val="bottom"/>
            <w:tcBorders>
              <w:top w:val="single" w:sz="8" w:color="CFF0FC"/>
            </w:tcBorders>
          </w:tcPr>
          <w:p>
            <w:pPr>
              <w:spacing w:after="0"/>
              <w:rPr>
                <w:sz w:val="18"/>
                <w:szCs w:val="18"/>
                <w:color w:val="auto"/>
              </w:rPr>
            </w:pPr>
          </w:p>
        </w:tc>
        <w:tc>
          <w:tcPr>
            <w:tcW w:w="2060" w:type="dxa"/>
            <w:vAlign w:val="bottom"/>
            <w:tcBorders>
              <w:top w:val="single" w:sz="8" w:color="CFF0FC"/>
            </w:tcBorders>
          </w:tcPr>
          <w:p>
            <w:pPr>
              <w:spacing w:after="0"/>
              <w:rPr>
                <w:sz w:val="18"/>
                <w:szCs w:val="18"/>
                <w:color w:val="auto"/>
              </w:rPr>
            </w:pPr>
          </w:p>
        </w:tc>
      </w:tr>
      <w:tr>
        <w:trPr>
          <w:trHeight w:val="196"/>
        </w:trPr>
        <w:tc>
          <w:tcPr>
            <w:tcW w:w="560" w:type="dxa"/>
            <w:vAlign w:val="bottom"/>
            <w:gridSpan w:val="3"/>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10.3.5</w:t>
            </w:r>
          </w:p>
        </w:tc>
        <w:tc>
          <w:tcPr>
            <w:tcW w:w="260" w:type="dxa"/>
            <w:vAlign w:val="bottom"/>
            <w:shd w:val="clear" w:color="auto" w:fill="CFF0FC"/>
          </w:tcPr>
          <w:p>
            <w:pPr>
              <w:spacing w:after="0"/>
              <w:rPr>
                <w:sz w:val="17"/>
                <w:szCs w:val="17"/>
                <w:color w:val="auto"/>
              </w:rPr>
            </w:pPr>
          </w:p>
        </w:tc>
        <w:tc>
          <w:tcPr>
            <w:tcW w:w="5380" w:type="dxa"/>
            <w:vAlign w:val="bottom"/>
            <w:gridSpan w:val="9"/>
            <w:shd w:val="clear" w:color="auto" w:fill="CFF0FC"/>
          </w:tcPr>
          <w:p>
            <w:pPr>
              <w:ind w:left="240"/>
              <w:spacing w:after="0" w:line="196" w:lineRule="exact"/>
              <w:rPr>
                <w:sz w:val="20"/>
                <w:szCs w:val="20"/>
                <w:color w:val="auto"/>
              </w:rPr>
            </w:pPr>
            <w:r>
              <w:rPr>
                <w:rFonts w:ascii="Times New Roman" w:cs="Times New Roman" w:eastAsia="Times New Roman" w:hAnsi="Times New Roman"/>
                <w:sz w:val="18"/>
                <w:szCs w:val="18"/>
                <w:color w:val="auto"/>
              </w:rPr>
              <w:t>Fourth Amendment to the License Agreement of September 20, 2013,</w:t>
            </w:r>
          </w:p>
        </w:tc>
        <w:tc>
          <w:tcPr>
            <w:tcW w:w="880" w:type="dxa"/>
            <w:vAlign w:val="bottom"/>
            <w:shd w:val="clear" w:color="auto" w:fill="CFF0FC"/>
          </w:tcPr>
          <w:p>
            <w:pPr>
              <w:jc w:val="center"/>
              <w:ind w:left="11"/>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shd w:val="clear" w:color="auto" w:fill="CFF0FC"/>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shd w:val="clear" w:color="auto" w:fill="CFF0FC"/>
          </w:tcPr>
          <w:p>
            <w:pPr>
              <w:jc w:val="center"/>
              <w:ind w:right="11"/>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2060" w:type="dxa"/>
            <w:vAlign w:val="bottom"/>
            <w:shd w:val="clear" w:color="auto" w:fill="CFF0FC"/>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Filed herewith</w:t>
            </w:r>
          </w:p>
        </w:tc>
      </w:tr>
      <w:tr>
        <w:trPr>
          <w:trHeight w:val="215"/>
        </w:trPr>
        <w:tc>
          <w:tcPr>
            <w:tcW w:w="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380" w:type="dxa"/>
            <w:vAlign w:val="bottom"/>
            <w:gridSpan w:val="9"/>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99"/>
              </w:rPr>
              <w:t>by and between Tenax Therapeutics, Inc. and Orion Corporation, dated</w:t>
            </w:r>
          </w:p>
        </w:tc>
        <w:tc>
          <w:tcPr>
            <w:tcW w:w="8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60" w:type="dxa"/>
            <w:vAlign w:val="bottom"/>
            <w:shd w:val="clear" w:color="auto" w:fill="CFF0FC"/>
          </w:tcPr>
          <w:p>
            <w:pPr>
              <w:spacing w:after="0"/>
              <w:rPr>
                <w:sz w:val="18"/>
                <w:szCs w:val="18"/>
                <w:color w:val="auto"/>
              </w:rPr>
            </w:pPr>
          </w:p>
        </w:tc>
      </w:tr>
      <w:tr>
        <w:trPr>
          <w:trHeight w:val="233"/>
        </w:trPr>
        <w:tc>
          <w:tcPr>
            <w:tcW w:w="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5380" w:type="dxa"/>
            <w:vAlign w:val="bottom"/>
            <w:gridSpan w:val="9"/>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as of October 2, 2024.</w:t>
            </w:r>
          </w:p>
        </w:tc>
        <w:tc>
          <w:tcPr>
            <w:tcW w:w="88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060" w:type="dxa"/>
            <w:vAlign w:val="bottom"/>
            <w:shd w:val="clear" w:color="auto" w:fill="CFF0FC"/>
          </w:tcPr>
          <w:p>
            <w:pPr>
              <w:spacing w:after="0"/>
              <w:rPr>
                <w:sz w:val="20"/>
                <w:szCs w:val="20"/>
                <w:color w:val="auto"/>
              </w:rPr>
            </w:pPr>
          </w:p>
        </w:tc>
      </w:tr>
      <w:tr>
        <w:trPr>
          <w:trHeight w:val="215"/>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174"/>
        </w:trPr>
        <w:tc>
          <w:tcPr>
            <w:tcW w:w="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0000FF"/>
            </w:tcBorders>
            <w:shd w:val="clear" w:color="auto" w:fill="CCEEFF"/>
          </w:tcPr>
          <w:p>
            <w:pPr>
              <w:spacing w:after="0" w:line="175" w:lineRule="exact"/>
              <w:rPr>
                <w:rFonts w:ascii="Times New Roman" w:cs="Times New Roman" w:eastAsia="Times New Roman" w:hAnsi="Times New Roman"/>
                <w:sz w:val="18"/>
                <w:szCs w:val="18"/>
                <w:color w:val="0000FF"/>
                <w:w w:val="95"/>
              </w:rPr>
            </w:pPr>
            <w:hyperlink r:id="rId118">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4+</w:t>
              </w:r>
            </w:hyperlink>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5020" w:type="dxa"/>
            <w:vAlign w:val="bottom"/>
            <w:tcBorders>
              <w:bottom w:val="single" w:sz="8" w:color="0000FF"/>
            </w:tcBorders>
            <w:gridSpan w:val="7"/>
            <w:shd w:val="clear" w:color="auto" w:fill="CCEEFF"/>
          </w:tcPr>
          <w:p>
            <w:pPr>
              <w:spacing w:after="0" w:line="175" w:lineRule="exact"/>
              <w:rPr>
                <w:rFonts w:ascii="Times New Roman" w:cs="Times New Roman" w:eastAsia="Times New Roman" w:hAnsi="Times New Roman"/>
                <w:sz w:val="18"/>
                <w:szCs w:val="18"/>
                <w:color w:val="0000FF"/>
                <w:w w:val="99"/>
              </w:rPr>
            </w:pPr>
            <w:hyperlink r:id="rId118">
              <w:r>
                <w:rPr>
                  <w:rFonts w:ascii="Times New Roman" w:cs="Times New Roman" w:eastAsia="Times New Roman" w:hAnsi="Times New Roman"/>
                  <w:sz w:val="18"/>
                  <w:szCs w:val="18"/>
                  <w:color w:val="0000FF"/>
                  <w:w w:val="99"/>
                </w:rPr>
                <w:t>Description of Non-Employee Director Compensation, effective June</w:t>
              </w:r>
            </w:hyperlink>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center"/>
              <w:ind w:left="11"/>
              <w:spacing w:after="0" w:line="175" w:lineRule="exact"/>
              <w:rPr>
                <w:sz w:val="20"/>
                <w:szCs w:val="20"/>
                <w:color w:val="auto"/>
              </w:rPr>
            </w:pPr>
            <w:r>
              <w:rPr>
                <w:rFonts w:ascii="Times New Roman" w:cs="Times New Roman" w:eastAsia="Times New Roman" w:hAnsi="Times New Roman"/>
                <w:sz w:val="18"/>
                <w:szCs w:val="18"/>
                <w:color w:val="auto"/>
              </w:rPr>
              <w:t>10-Q</w:t>
            </w:r>
          </w:p>
        </w:tc>
        <w:tc>
          <w:tcPr>
            <w:tcW w:w="122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001-34600</w:t>
            </w:r>
          </w:p>
        </w:tc>
        <w:tc>
          <w:tcPr>
            <w:tcW w:w="880" w:type="dxa"/>
            <w:vAlign w:val="bottom"/>
            <w:tcBorders>
              <w:bottom w:val="single" w:sz="8" w:color="CCEEFF"/>
            </w:tcBorders>
            <w:shd w:val="clear" w:color="auto" w:fill="CCEEFF"/>
          </w:tcPr>
          <w:p>
            <w:pPr>
              <w:jc w:val="center"/>
              <w:ind w:right="11"/>
              <w:spacing w:after="0" w:line="175" w:lineRule="exact"/>
              <w:rPr>
                <w:sz w:val="20"/>
                <w:szCs w:val="20"/>
                <w:color w:val="auto"/>
              </w:rPr>
            </w:pPr>
            <w:r>
              <w:rPr>
                <w:rFonts w:ascii="Times New Roman" w:cs="Times New Roman" w:eastAsia="Times New Roman" w:hAnsi="Times New Roman"/>
                <w:sz w:val="18"/>
                <w:szCs w:val="18"/>
                <w:color w:val="auto"/>
                <w:w w:val="95"/>
              </w:rPr>
              <w:t>10.1</w:t>
            </w:r>
          </w:p>
        </w:tc>
        <w:tc>
          <w:tcPr>
            <w:tcW w:w="206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8"/>
              </w:rPr>
              <w:t>September 9, 2015</w:t>
            </w:r>
          </w:p>
        </w:tc>
      </w:tr>
      <w:tr>
        <w:trPr>
          <w:trHeight w:val="215"/>
        </w:trPr>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0" w:type="dxa"/>
            <w:vAlign w:val="bottom"/>
            <w:gridSpan w:val="4"/>
            <w:shd w:val="clear" w:color="auto" w:fill="CCEEFF"/>
          </w:tcPr>
          <w:p>
            <w:pPr>
              <w:ind w:left="240"/>
              <w:spacing w:after="0" w:line="195"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15, 2015.</w:t>
              </w:r>
            </w:hyperlink>
          </w:p>
        </w:tc>
        <w:tc>
          <w:tcPr>
            <w:tcW w:w="20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r>
      <w:tr>
        <w:trPr>
          <w:trHeight w:val="215"/>
        </w:trPr>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r>
      <w:tr>
        <w:trPr>
          <w:trHeight w:val="195"/>
        </w:trPr>
        <w:tc>
          <w:tcPr>
            <w:tcW w:w="820" w:type="dxa"/>
            <w:vAlign w:val="bottom"/>
            <w:gridSpan w:val="4"/>
            <w:shd w:val="clear" w:color="auto" w:fill="CCEEFF"/>
          </w:tcPr>
          <w:p>
            <w:pPr>
              <w:ind w:left="20"/>
              <w:spacing w:after="0" w:line="175"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5.1+</w:t>
              </w:r>
            </w:hyperlink>
          </w:p>
        </w:tc>
        <w:tc>
          <w:tcPr>
            <w:tcW w:w="5380" w:type="dxa"/>
            <w:vAlign w:val="bottom"/>
            <w:gridSpan w:val="9"/>
            <w:shd w:val="clear" w:color="auto" w:fill="CCEEFF"/>
          </w:tcPr>
          <w:p>
            <w:pPr>
              <w:ind w:left="240"/>
              <w:spacing w:after="0" w:line="175"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Tenax Therapeutics, Inc. 2016 Stock Incentive Plan.</w:t>
              </w:r>
            </w:hyperlink>
          </w:p>
        </w:tc>
        <w:tc>
          <w:tcPr>
            <w:tcW w:w="880" w:type="dxa"/>
            <w:vAlign w:val="bottom"/>
            <w:shd w:val="clear" w:color="auto" w:fill="CCEEFF"/>
          </w:tcPr>
          <w:p>
            <w:pPr>
              <w:jc w:val="center"/>
              <w:ind w:left="11"/>
              <w:spacing w:after="0" w:line="175" w:lineRule="exact"/>
              <w:rPr>
                <w:sz w:val="20"/>
                <w:szCs w:val="20"/>
                <w:color w:val="auto"/>
              </w:rPr>
            </w:pPr>
            <w:r>
              <w:rPr>
                <w:rFonts w:ascii="Times New Roman" w:cs="Times New Roman" w:eastAsia="Times New Roman" w:hAnsi="Times New Roman"/>
                <w:sz w:val="18"/>
                <w:szCs w:val="18"/>
                <w:color w:val="auto"/>
              </w:rPr>
              <w:t>10-Q</w:t>
            </w:r>
          </w:p>
        </w:tc>
        <w:tc>
          <w:tcPr>
            <w:tcW w:w="12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001-34600</w:t>
            </w:r>
          </w:p>
        </w:tc>
        <w:tc>
          <w:tcPr>
            <w:tcW w:w="880" w:type="dxa"/>
            <w:vAlign w:val="bottom"/>
            <w:shd w:val="clear" w:color="auto" w:fill="CCEEFF"/>
          </w:tcPr>
          <w:p>
            <w:pPr>
              <w:jc w:val="center"/>
              <w:ind w:right="11"/>
              <w:spacing w:after="0" w:line="175" w:lineRule="exact"/>
              <w:rPr>
                <w:sz w:val="20"/>
                <w:szCs w:val="20"/>
                <w:color w:val="auto"/>
              </w:rPr>
            </w:pPr>
            <w:r>
              <w:rPr>
                <w:rFonts w:ascii="Times New Roman" w:cs="Times New Roman" w:eastAsia="Times New Roman" w:hAnsi="Times New Roman"/>
                <w:sz w:val="18"/>
                <w:szCs w:val="18"/>
                <w:color w:val="auto"/>
                <w:w w:val="95"/>
              </w:rPr>
              <w:t>10.1</w:t>
            </w:r>
          </w:p>
        </w:tc>
        <w:tc>
          <w:tcPr>
            <w:tcW w:w="20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August 9, 2016</w:t>
            </w:r>
          </w:p>
        </w:tc>
      </w:tr>
      <w:tr>
        <w:trPr>
          <w:trHeight w:val="215"/>
        </w:trPr>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080" w:type="dxa"/>
            <w:vAlign w:val="bottom"/>
            <w:tcBorders>
              <w:top w:val="single" w:sz="8" w:color="0000FF"/>
            </w:tcBorders>
          </w:tcPr>
          <w:p>
            <w:pPr>
              <w:spacing w:after="0"/>
              <w:rPr>
                <w:sz w:val="18"/>
                <w:szCs w:val="18"/>
                <w:color w:val="auto"/>
              </w:rPr>
            </w:pPr>
          </w:p>
        </w:tc>
        <w:tc>
          <w:tcPr>
            <w:tcW w:w="2000" w:type="dxa"/>
            <w:vAlign w:val="bottom"/>
            <w:tcBorders>
              <w:top w:val="single" w:sz="8" w:color="0000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r>
      <w:tr>
        <w:trPr>
          <w:trHeight w:val="174"/>
        </w:trPr>
        <w:tc>
          <w:tcPr>
            <w:tcW w:w="20" w:type="dxa"/>
            <w:vAlign w:val="bottom"/>
            <w:shd w:val="clear" w:color="auto" w:fill="CCEEFF"/>
          </w:tcPr>
          <w:p>
            <w:pPr>
              <w:spacing w:after="0"/>
              <w:rPr>
                <w:sz w:val="15"/>
                <w:szCs w:val="15"/>
                <w:color w:val="auto"/>
              </w:rPr>
            </w:pPr>
          </w:p>
        </w:tc>
        <w:tc>
          <w:tcPr>
            <w:tcW w:w="800" w:type="dxa"/>
            <w:vAlign w:val="bottom"/>
            <w:gridSpan w:val="3"/>
            <w:shd w:val="clear" w:color="auto" w:fill="CCEEFF"/>
          </w:tcPr>
          <w:p>
            <w:pPr>
              <w:spacing w:after="0" w:line="175"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5.2+</w:t>
              </w:r>
            </w:hyperlink>
          </w:p>
        </w:tc>
        <w:tc>
          <w:tcPr>
            <w:tcW w:w="5380" w:type="dxa"/>
            <w:vAlign w:val="bottom"/>
            <w:gridSpan w:val="9"/>
            <w:shd w:val="clear" w:color="auto" w:fill="CCEEFF"/>
          </w:tcPr>
          <w:p>
            <w:pPr>
              <w:ind w:left="240"/>
              <w:spacing w:after="0" w:line="175"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Amendment No. 1 to Tenax Therapeutics, Inc. 2016 Stock Incentive</w:t>
              </w:r>
            </w:hyperlink>
          </w:p>
        </w:tc>
        <w:tc>
          <w:tcPr>
            <w:tcW w:w="880" w:type="dxa"/>
            <w:vAlign w:val="bottom"/>
            <w:shd w:val="clear" w:color="auto" w:fill="CCEEFF"/>
          </w:tcPr>
          <w:p>
            <w:pPr>
              <w:jc w:val="center"/>
              <w:ind w:left="11"/>
              <w:spacing w:after="0" w:line="175" w:lineRule="exact"/>
              <w:rPr>
                <w:sz w:val="20"/>
                <w:szCs w:val="20"/>
                <w:color w:val="auto"/>
              </w:rPr>
            </w:pPr>
            <w:r>
              <w:rPr>
                <w:rFonts w:ascii="Times New Roman" w:cs="Times New Roman" w:eastAsia="Times New Roman" w:hAnsi="Times New Roman"/>
                <w:sz w:val="18"/>
                <w:szCs w:val="18"/>
                <w:color w:val="auto"/>
              </w:rPr>
              <w:t>10-Q</w:t>
            </w:r>
          </w:p>
        </w:tc>
        <w:tc>
          <w:tcPr>
            <w:tcW w:w="12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001-34600</w:t>
            </w:r>
          </w:p>
        </w:tc>
        <w:tc>
          <w:tcPr>
            <w:tcW w:w="880" w:type="dxa"/>
            <w:vAlign w:val="bottom"/>
            <w:shd w:val="clear" w:color="auto" w:fill="CCEEFF"/>
          </w:tcPr>
          <w:p>
            <w:pPr>
              <w:jc w:val="center"/>
              <w:ind w:right="11"/>
              <w:spacing w:after="0" w:line="175" w:lineRule="exact"/>
              <w:rPr>
                <w:sz w:val="20"/>
                <w:szCs w:val="20"/>
                <w:color w:val="auto"/>
              </w:rPr>
            </w:pPr>
            <w:r>
              <w:rPr>
                <w:rFonts w:ascii="Times New Roman" w:cs="Times New Roman" w:eastAsia="Times New Roman" w:hAnsi="Times New Roman"/>
                <w:sz w:val="18"/>
                <w:szCs w:val="18"/>
                <w:color w:val="auto"/>
                <w:w w:val="95"/>
              </w:rPr>
              <w:t>10.1</w:t>
            </w:r>
          </w:p>
        </w:tc>
        <w:tc>
          <w:tcPr>
            <w:tcW w:w="20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8"/>
              </w:rPr>
              <w:t>August 14, 2019</w:t>
            </w:r>
          </w:p>
        </w:tc>
      </w:tr>
      <w:tr>
        <w:trPr>
          <w:trHeight w:val="215"/>
        </w:trPr>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0000FF"/>
            </w:tcBorders>
            <w:shd w:val="clear" w:color="auto" w:fill="CCEEFF"/>
          </w:tcPr>
          <w:p>
            <w:pPr>
              <w:spacing w:after="0"/>
              <w:rPr>
                <w:sz w:val="18"/>
                <w:szCs w:val="18"/>
                <w:color w:val="auto"/>
              </w:rPr>
            </w:pPr>
          </w:p>
        </w:tc>
        <w:tc>
          <w:tcPr>
            <w:tcW w:w="120" w:type="dxa"/>
            <w:vAlign w:val="bottom"/>
            <w:tcBorders>
              <w:top w:val="single" w:sz="8" w:color="0000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940" w:type="dxa"/>
            <w:vAlign w:val="bottom"/>
            <w:tcBorders>
              <w:top w:val="single" w:sz="8" w:color="0000FF"/>
            </w:tcBorders>
            <w:gridSpan w:val="5"/>
            <w:shd w:val="clear" w:color="auto" w:fill="CCEEFF"/>
          </w:tcPr>
          <w:p>
            <w:pPr>
              <w:spacing w:after="0" w:line="195"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Plan.</w:t>
              </w:r>
            </w:hyperlink>
          </w:p>
        </w:tc>
        <w:tc>
          <w:tcPr>
            <w:tcW w:w="200" w:type="dxa"/>
            <w:vAlign w:val="bottom"/>
            <w:tcBorders>
              <w:top w:val="single" w:sz="8" w:color="CCEEFF"/>
            </w:tcBorders>
            <w:gridSpan w:val="3"/>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CCEEFF"/>
            </w:tcBorders>
            <w:shd w:val="clear" w:color="auto" w:fill="CCEEFF"/>
          </w:tcPr>
          <w:p>
            <w:pPr>
              <w:spacing w:after="0"/>
              <w:rPr>
                <w:sz w:val="18"/>
                <w:szCs w:val="18"/>
                <w:color w:val="auto"/>
              </w:rPr>
            </w:pPr>
          </w:p>
        </w:tc>
      </w:tr>
      <w:tr>
        <w:trPr>
          <w:trHeight w:val="215"/>
        </w:trPr>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r>
      <w:tr>
        <w:trPr>
          <w:trHeight w:val="174"/>
        </w:trPr>
        <w:tc>
          <w:tcPr>
            <w:tcW w:w="20" w:type="dxa"/>
            <w:vAlign w:val="bottom"/>
            <w:shd w:val="clear" w:color="auto" w:fill="CCEEFF"/>
          </w:tcPr>
          <w:p>
            <w:pPr>
              <w:spacing w:after="0"/>
              <w:rPr>
                <w:sz w:val="15"/>
                <w:szCs w:val="15"/>
                <w:color w:val="auto"/>
              </w:rPr>
            </w:pPr>
          </w:p>
        </w:tc>
        <w:tc>
          <w:tcPr>
            <w:tcW w:w="800" w:type="dxa"/>
            <w:vAlign w:val="bottom"/>
            <w:gridSpan w:val="3"/>
            <w:shd w:val="clear" w:color="auto" w:fill="CCEEFF"/>
          </w:tcPr>
          <w:p>
            <w:pPr>
              <w:spacing w:after="0" w:line="175"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5.3+</w:t>
              </w:r>
            </w:hyperlink>
          </w:p>
        </w:tc>
        <w:tc>
          <w:tcPr>
            <w:tcW w:w="5380" w:type="dxa"/>
            <w:vAlign w:val="bottom"/>
            <w:gridSpan w:val="9"/>
            <w:shd w:val="clear" w:color="auto" w:fill="CCEEFF"/>
          </w:tcPr>
          <w:p>
            <w:pPr>
              <w:ind w:left="240"/>
              <w:spacing w:after="0" w:line="175"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Amendment No. 2 to Tenax Therapeutics, Inc. 2016 Stock Incentive</w:t>
              </w:r>
            </w:hyperlink>
          </w:p>
        </w:tc>
        <w:tc>
          <w:tcPr>
            <w:tcW w:w="880" w:type="dxa"/>
            <w:vAlign w:val="bottom"/>
            <w:shd w:val="clear" w:color="auto" w:fill="CCEEFF"/>
          </w:tcPr>
          <w:p>
            <w:pPr>
              <w:jc w:val="center"/>
              <w:ind w:left="11"/>
              <w:spacing w:after="0" w:line="175" w:lineRule="exact"/>
              <w:rPr>
                <w:sz w:val="20"/>
                <w:szCs w:val="20"/>
                <w:color w:val="auto"/>
              </w:rPr>
            </w:pPr>
            <w:r>
              <w:rPr>
                <w:rFonts w:ascii="Times New Roman" w:cs="Times New Roman" w:eastAsia="Times New Roman" w:hAnsi="Times New Roman"/>
                <w:sz w:val="18"/>
                <w:szCs w:val="18"/>
                <w:color w:val="auto"/>
              </w:rPr>
              <w:t>10-Q</w:t>
            </w:r>
          </w:p>
        </w:tc>
        <w:tc>
          <w:tcPr>
            <w:tcW w:w="12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001-34600</w:t>
            </w:r>
          </w:p>
        </w:tc>
        <w:tc>
          <w:tcPr>
            <w:tcW w:w="880" w:type="dxa"/>
            <w:vAlign w:val="bottom"/>
            <w:shd w:val="clear" w:color="auto" w:fill="CCEEFF"/>
          </w:tcPr>
          <w:p>
            <w:pPr>
              <w:jc w:val="center"/>
              <w:ind w:right="11"/>
              <w:spacing w:after="0" w:line="175" w:lineRule="exact"/>
              <w:rPr>
                <w:sz w:val="20"/>
                <w:szCs w:val="20"/>
                <w:color w:val="auto"/>
              </w:rPr>
            </w:pPr>
            <w:r>
              <w:rPr>
                <w:rFonts w:ascii="Times New Roman" w:cs="Times New Roman" w:eastAsia="Times New Roman" w:hAnsi="Times New Roman"/>
                <w:sz w:val="18"/>
                <w:szCs w:val="18"/>
                <w:color w:val="auto"/>
                <w:w w:val="95"/>
              </w:rPr>
              <w:t>10.1</w:t>
            </w:r>
          </w:p>
        </w:tc>
        <w:tc>
          <w:tcPr>
            <w:tcW w:w="20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8"/>
              </w:rPr>
              <w:t>August 16, 2021</w:t>
            </w:r>
          </w:p>
        </w:tc>
      </w:tr>
      <w:tr>
        <w:trPr>
          <w:trHeight w:val="215"/>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0000FF"/>
              <w:bottom w:val="single" w:sz="8" w:color="CCEEFF"/>
            </w:tcBorders>
            <w:shd w:val="clear" w:color="auto" w:fill="CCEEFF"/>
          </w:tcPr>
          <w:p>
            <w:pPr>
              <w:spacing w:after="0"/>
              <w:rPr>
                <w:sz w:val="18"/>
                <w:szCs w:val="18"/>
                <w:color w:val="auto"/>
              </w:rPr>
            </w:pPr>
          </w:p>
        </w:tc>
        <w:tc>
          <w:tcPr>
            <w:tcW w:w="120" w:type="dxa"/>
            <w:vAlign w:val="bottom"/>
            <w:tcBorders>
              <w:top w:val="single" w:sz="8" w:color="0000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0000FF"/>
              <w:bottom w:val="single" w:sz="8" w:color="0000FF"/>
            </w:tcBorders>
            <w:shd w:val="clear" w:color="auto" w:fill="CCEEFF"/>
          </w:tcPr>
          <w:p>
            <w:pPr>
              <w:spacing w:after="0" w:line="195" w:lineRule="exact"/>
              <w:rPr>
                <w:rFonts w:ascii="Times New Roman" w:cs="Times New Roman" w:eastAsia="Times New Roman" w:hAnsi="Times New Roman"/>
                <w:sz w:val="18"/>
                <w:szCs w:val="18"/>
                <w:color w:val="0000FF"/>
                <w:w w:val="98"/>
              </w:rPr>
            </w:pPr>
            <w:hyperlink r:id="rId121">
              <w:r>
                <w:rPr>
                  <w:rFonts w:ascii="Times New Roman" w:cs="Times New Roman" w:eastAsia="Times New Roman" w:hAnsi="Times New Roman"/>
                  <w:sz w:val="18"/>
                  <w:szCs w:val="18"/>
                  <w:color w:val="0000FF"/>
                  <w:w w:val="98"/>
                </w:rPr>
                <w:t>Plan.</w:t>
              </w:r>
            </w:hyperlink>
          </w:p>
        </w:tc>
        <w:tc>
          <w:tcPr>
            <w:tcW w:w="4560" w:type="dxa"/>
            <w:vAlign w:val="bottom"/>
            <w:tcBorders>
              <w:top w:val="single" w:sz="8" w:color="0000FF"/>
              <w:bottom w:val="single" w:sz="8" w:color="CCEEFF"/>
            </w:tcBorders>
            <w:gridSpan w:val="4"/>
            <w:shd w:val="clear" w:color="auto" w:fill="CCEEFF"/>
          </w:tcPr>
          <w:p>
            <w:pPr>
              <w:spacing w:after="0"/>
              <w:rPr>
                <w:sz w:val="18"/>
                <w:szCs w:val="18"/>
                <w:color w:val="auto"/>
              </w:rPr>
            </w:pPr>
          </w:p>
        </w:tc>
        <w:tc>
          <w:tcPr>
            <w:tcW w:w="20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12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20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859"/>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180" w:type="dxa"/>
            <w:vAlign w:val="bottom"/>
            <w:gridSpan w:val="6"/>
          </w:tcPr>
          <w:p>
            <w:pPr>
              <w:jc w:val="right"/>
              <w:ind w:right="280"/>
              <w:spacing w:after="0"/>
              <w:rPr>
                <w:sz w:val="20"/>
                <w:szCs w:val="20"/>
                <w:color w:val="auto"/>
              </w:rPr>
            </w:pPr>
            <w:r>
              <w:rPr>
                <w:rFonts w:ascii="Times New Roman" w:cs="Times New Roman" w:eastAsia="Times New Roman" w:hAnsi="Times New Roman"/>
                <w:sz w:val="18"/>
                <w:szCs w:val="18"/>
                <w:color w:val="auto"/>
              </w:rPr>
              <w:t>47</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758"/>
        </w:trPr>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
        <w:spacing w:after="0"/>
        <w:rPr>
          <w:rFonts w:ascii="Times New Roman" w:cs="Times New Roman" w:eastAsia="Times New Roman" w:hAnsi="Times New Roman"/>
          <w:sz w:val="17"/>
          <w:szCs w:val="17"/>
          <w:u w:val="single" w:color="auto"/>
          <w:color w:val="0000FF"/>
        </w:rPr>
      </w:pPr>
      <w:hyperlink r:id="rId124">
        <w:r>
          <w:rPr>
            <w:rFonts w:ascii="Times New Roman" w:cs="Times New Roman" w:eastAsia="Times New Roman" w:hAnsi="Times New Roman"/>
            <w:sz w:val="17"/>
            <w:szCs w:val="17"/>
            <w:u w:val="single" w:color="auto"/>
            <w:color w:val="0000FF"/>
          </w:rPr>
          <w:t>10.5.4+</w:t>
        </w:r>
      </w:hyperlink>
    </w:p>
    <w:p>
      <w:pPr>
        <w:spacing w:after="0" w:line="200" w:lineRule="exact"/>
        <w:rPr>
          <w:sz w:val="20"/>
          <w:szCs w:val="20"/>
          <w:color w:val="auto"/>
        </w:rPr>
      </w:pPr>
    </w:p>
    <w:p>
      <w:pPr>
        <w:spacing w:after="0" w:line="249" w:lineRule="exact"/>
        <w:rPr>
          <w:sz w:val="20"/>
          <w:szCs w:val="20"/>
          <w:color w:val="auto"/>
        </w:rPr>
      </w:pPr>
    </w:p>
    <w:p>
      <w:pPr>
        <w:ind w:left="20"/>
        <w:spacing w:after="0"/>
        <w:rPr>
          <w:rFonts w:ascii="Times New Roman" w:cs="Times New Roman" w:eastAsia="Times New Roman" w:hAnsi="Times New Roman"/>
          <w:sz w:val="17"/>
          <w:szCs w:val="17"/>
          <w:u w:val="single" w:color="auto"/>
          <w:color w:val="0000FF"/>
        </w:rPr>
      </w:pPr>
      <w:hyperlink r:id="rId125">
        <w:r>
          <w:rPr>
            <w:rFonts w:ascii="Times New Roman" w:cs="Times New Roman" w:eastAsia="Times New Roman" w:hAnsi="Times New Roman"/>
            <w:sz w:val="17"/>
            <w:szCs w:val="17"/>
            <w:u w:val="single" w:color="auto"/>
            <w:color w:val="0000FF"/>
          </w:rPr>
          <w:t>10.5.5+</w:t>
        </w:r>
      </w:hyperlink>
    </w:p>
    <w:p>
      <w:pPr>
        <w:spacing w:after="0" w:line="200" w:lineRule="exact"/>
        <w:rPr>
          <w:sz w:val="20"/>
          <w:szCs w:val="20"/>
          <w:color w:val="auto"/>
        </w:rPr>
      </w:pPr>
    </w:p>
    <w:p>
      <w:pPr>
        <w:spacing w:after="0" w:line="249" w:lineRule="exact"/>
        <w:rPr>
          <w:sz w:val="20"/>
          <w:szCs w:val="20"/>
          <w:color w:val="auto"/>
        </w:rPr>
      </w:pPr>
    </w:p>
    <w:p>
      <w:pPr>
        <w:ind w:left="20"/>
        <w:spacing w:after="0"/>
        <w:rPr>
          <w:rFonts w:ascii="Times New Roman" w:cs="Times New Roman" w:eastAsia="Times New Roman" w:hAnsi="Times New Roman"/>
          <w:sz w:val="17"/>
          <w:szCs w:val="17"/>
          <w:u w:val="single" w:color="auto"/>
          <w:color w:val="0000FF"/>
        </w:rPr>
      </w:pPr>
      <w:hyperlink r:id="rId125">
        <w:r>
          <w:rPr>
            <w:rFonts w:ascii="Times New Roman" w:cs="Times New Roman" w:eastAsia="Times New Roman" w:hAnsi="Times New Roman"/>
            <w:sz w:val="17"/>
            <w:szCs w:val="17"/>
            <w:u w:val="single" w:color="auto"/>
            <w:color w:val="0000FF"/>
          </w:rPr>
          <w:t>10.5.6+</w:t>
        </w:r>
      </w:hyperlink>
    </w:p>
    <w:p>
      <w:pPr>
        <w:spacing w:after="0" w:line="200" w:lineRule="exact"/>
        <w:rPr>
          <w:sz w:val="20"/>
          <w:szCs w:val="20"/>
          <w:color w:val="auto"/>
        </w:rPr>
      </w:pPr>
    </w:p>
    <w:p>
      <w:pPr>
        <w:spacing w:after="0" w:line="249"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26">
        <w:r>
          <w:rPr>
            <w:rFonts w:ascii="Times New Roman" w:cs="Times New Roman" w:eastAsia="Times New Roman" w:hAnsi="Times New Roman"/>
            <w:sz w:val="18"/>
            <w:szCs w:val="18"/>
            <w:u w:val="single" w:color="auto"/>
            <w:color w:val="0000FF"/>
          </w:rPr>
          <w:t>10.6</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5140" w:type="dxa"/>
            <w:vAlign w:val="bottom"/>
            <w:gridSpan w:val="8"/>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Form of Option issued to Non-Employee Directors under Tenax</w:t>
              </w:r>
            </w:hyperlink>
          </w:p>
        </w:tc>
        <w:tc>
          <w:tcPr>
            <w:tcW w:w="88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10-Q</w:t>
            </w: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001-34600</w:t>
            </w:r>
          </w:p>
        </w:tc>
        <w:tc>
          <w:tcPr>
            <w:tcW w:w="92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10.2</w:t>
            </w:r>
          </w:p>
        </w:tc>
        <w:tc>
          <w:tcPr>
            <w:tcW w:w="1560" w:type="dxa"/>
            <w:vAlign w:val="bottom"/>
          </w:tcPr>
          <w:p>
            <w:pPr>
              <w:jc w:val="center"/>
              <w:ind w:left="291"/>
              <w:spacing w:after="0"/>
              <w:rPr>
                <w:sz w:val="20"/>
                <w:szCs w:val="20"/>
                <w:color w:val="auto"/>
              </w:rPr>
            </w:pPr>
            <w:r>
              <w:rPr>
                <w:rFonts w:ascii="Times New Roman" w:cs="Times New Roman" w:eastAsia="Times New Roman" w:hAnsi="Times New Roman"/>
                <w:sz w:val="18"/>
                <w:szCs w:val="18"/>
                <w:color w:val="auto"/>
                <w:w w:val="98"/>
              </w:rPr>
              <w:t>August 14, 2018</w:t>
            </w:r>
          </w:p>
        </w:tc>
      </w:tr>
      <w:tr>
        <w:trPr>
          <w:trHeight w:val="20"/>
        </w:trPr>
        <w:tc>
          <w:tcPr>
            <w:tcW w:w="20" w:type="dxa"/>
            <w:vAlign w:val="bottom"/>
          </w:tcPr>
          <w:p>
            <w:pPr>
              <w:spacing w:after="0" w:line="20" w:lineRule="exact"/>
              <w:rPr>
                <w:sz w:val="1"/>
                <w:szCs w:val="1"/>
                <w:color w:val="auto"/>
              </w:rPr>
            </w:pPr>
          </w:p>
        </w:tc>
        <w:tc>
          <w:tcPr>
            <w:tcW w:w="19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5"/>
        </w:trPr>
        <w:tc>
          <w:tcPr>
            <w:tcW w:w="5140" w:type="dxa"/>
            <w:vAlign w:val="bottom"/>
            <w:gridSpan w:val="8"/>
          </w:tcPr>
          <w:p>
            <w:pPr>
              <w:spacing w:after="0" w:line="195"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Therapeutics, Inc. 2016 Stock Incentive Plan.</w:t>
              </w:r>
            </w:hyperlink>
          </w:p>
        </w:tc>
        <w:tc>
          <w:tcPr>
            <w:tcW w:w="8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9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EE"/>
            </w:tcBorders>
            <w:shd w:val="clear" w:color="auto" w:fill="0000FF"/>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09"/>
        </w:trPr>
        <w:tc>
          <w:tcPr>
            <w:tcW w:w="5140" w:type="dxa"/>
            <w:vAlign w:val="bottom"/>
            <w:gridSpan w:val="8"/>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Form of Option issued to Employees and Contractors under Tenax</w:t>
              </w:r>
            </w:hyperlink>
          </w:p>
        </w:tc>
        <w:tc>
          <w:tcPr>
            <w:tcW w:w="88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10-Q</w:t>
            </w: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001-34600</w:t>
            </w:r>
          </w:p>
        </w:tc>
        <w:tc>
          <w:tcPr>
            <w:tcW w:w="92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10.3</w:t>
            </w:r>
          </w:p>
        </w:tc>
        <w:tc>
          <w:tcPr>
            <w:tcW w:w="1560" w:type="dxa"/>
            <w:vAlign w:val="bottom"/>
          </w:tcPr>
          <w:p>
            <w:pPr>
              <w:jc w:val="center"/>
              <w:ind w:left="291"/>
              <w:spacing w:after="0"/>
              <w:rPr>
                <w:sz w:val="20"/>
                <w:szCs w:val="20"/>
                <w:color w:val="auto"/>
              </w:rPr>
            </w:pPr>
            <w:r>
              <w:rPr>
                <w:rFonts w:ascii="Times New Roman" w:cs="Times New Roman" w:eastAsia="Times New Roman" w:hAnsi="Times New Roman"/>
                <w:sz w:val="18"/>
                <w:szCs w:val="18"/>
                <w:color w:val="auto"/>
                <w:w w:val="98"/>
              </w:rPr>
              <w:t>August 14, 2018</w:t>
            </w:r>
          </w:p>
        </w:tc>
      </w:tr>
      <w:tr>
        <w:trPr>
          <w:trHeight w:val="20"/>
        </w:trPr>
        <w:tc>
          <w:tcPr>
            <w:tcW w:w="20" w:type="dxa"/>
            <w:vAlign w:val="bottom"/>
          </w:tcPr>
          <w:p>
            <w:pPr>
              <w:spacing w:after="0" w:line="20" w:lineRule="exact"/>
              <w:rPr>
                <w:sz w:val="1"/>
                <w:szCs w:val="1"/>
                <w:color w:val="auto"/>
              </w:rPr>
            </w:pPr>
          </w:p>
        </w:tc>
        <w:tc>
          <w:tcPr>
            <w:tcW w:w="19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5"/>
        </w:trPr>
        <w:tc>
          <w:tcPr>
            <w:tcW w:w="5140" w:type="dxa"/>
            <w:vAlign w:val="bottom"/>
            <w:gridSpan w:val="8"/>
          </w:tcPr>
          <w:p>
            <w:pPr>
              <w:spacing w:after="0" w:line="195"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Therapeutics, Inc. 2016 Stock Incentive Plan.</w:t>
              </w:r>
            </w:hyperlink>
          </w:p>
        </w:tc>
        <w:tc>
          <w:tcPr>
            <w:tcW w:w="8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9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EE"/>
            </w:tcBorders>
            <w:shd w:val="clear" w:color="auto" w:fill="0000FF"/>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09"/>
        </w:trPr>
        <w:tc>
          <w:tcPr>
            <w:tcW w:w="5140" w:type="dxa"/>
            <w:vAlign w:val="bottom"/>
            <w:gridSpan w:val="8"/>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Form of Incentive Stock Option Agreement under Tenax Therapeutics,</w:t>
              </w:r>
            </w:hyperlink>
          </w:p>
        </w:tc>
        <w:tc>
          <w:tcPr>
            <w:tcW w:w="88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10-Q</w:t>
            </w: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001-34600</w:t>
            </w:r>
          </w:p>
        </w:tc>
        <w:tc>
          <w:tcPr>
            <w:tcW w:w="92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10.4</w:t>
            </w:r>
          </w:p>
        </w:tc>
        <w:tc>
          <w:tcPr>
            <w:tcW w:w="1560" w:type="dxa"/>
            <w:vAlign w:val="bottom"/>
          </w:tcPr>
          <w:p>
            <w:pPr>
              <w:jc w:val="center"/>
              <w:ind w:left="291"/>
              <w:spacing w:after="0"/>
              <w:rPr>
                <w:sz w:val="20"/>
                <w:szCs w:val="20"/>
                <w:color w:val="auto"/>
              </w:rPr>
            </w:pPr>
            <w:r>
              <w:rPr>
                <w:rFonts w:ascii="Times New Roman" w:cs="Times New Roman" w:eastAsia="Times New Roman" w:hAnsi="Times New Roman"/>
                <w:sz w:val="18"/>
                <w:szCs w:val="18"/>
                <w:color w:val="auto"/>
                <w:w w:val="98"/>
              </w:rPr>
              <w:t>August 14, 2018</w:t>
            </w:r>
          </w:p>
        </w:tc>
      </w:tr>
      <w:tr>
        <w:trPr>
          <w:trHeight w:val="20"/>
        </w:trPr>
        <w:tc>
          <w:tcPr>
            <w:tcW w:w="20" w:type="dxa"/>
            <w:vAlign w:val="bottom"/>
          </w:tcPr>
          <w:p>
            <w:pPr>
              <w:spacing w:after="0" w:line="20" w:lineRule="exact"/>
              <w:rPr>
                <w:sz w:val="1"/>
                <w:szCs w:val="1"/>
                <w:color w:val="auto"/>
              </w:rPr>
            </w:pPr>
          </w:p>
        </w:tc>
        <w:tc>
          <w:tcPr>
            <w:tcW w:w="19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5"/>
        </w:trPr>
        <w:tc>
          <w:tcPr>
            <w:tcW w:w="5140" w:type="dxa"/>
            <w:vAlign w:val="bottom"/>
            <w:gridSpan w:val="8"/>
          </w:tcPr>
          <w:p>
            <w:pPr>
              <w:spacing w:after="0" w:line="195"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Inc. 2016 Stock Incentive Plan.</w:t>
              </w:r>
            </w:hyperlink>
          </w:p>
        </w:tc>
        <w:tc>
          <w:tcPr>
            <w:tcW w:w="8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9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09"/>
        </w:trPr>
        <w:tc>
          <w:tcPr>
            <w:tcW w:w="5140" w:type="dxa"/>
            <w:vAlign w:val="bottom"/>
            <w:gridSpan w:val="8"/>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Form of Securities Purchase Agreement, dated as of March 11, 2020,</w:t>
              </w:r>
            </w:hyperlink>
          </w:p>
        </w:tc>
        <w:tc>
          <w:tcPr>
            <w:tcW w:w="88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001-34600</w:t>
            </w:r>
          </w:p>
        </w:tc>
        <w:tc>
          <w:tcPr>
            <w:tcW w:w="92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10.1</w:t>
            </w:r>
          </w:p>
        </w:tc>
        <w:tc>
          <w:tcPr>
            <w:tcW w:w="1560" w:type="dxa"/>
            <w:vAlign w:val="bottom"/>
          </w:tcPr>
          <w:p>
            <w:pPr>
              <w:jc w:val="center"/>
              <w:ind w:left="291"/>
              <w:spacing w:after="0"/>
              <w:rPr>
                <w:sz w:val="20"/>
                <w:szCs w:val="20"/>
                <w:color w:val="auto"/>
              </w:rPr>
            </w:pPr>
            <w:r>
              <w:rPr>
                <w:rFonts w:ascii="Times New Roman" w:cs="Times New Roman" w:eastAsia="Times New Roman" w:hAnsi="Times New Roman"/>
                <w:sz w:val="18"/>
                <w:szCs w:val="18"/>
                <w:color w:val="auto"/>
                <w:w w:val="99"/>
              </w:rPr>
              <w:t>March 13, 2020</w:t>
            </w:r>
          </w:p>
        </w:tc>
      </w:tr>
      <w:tr>
        <w:trPr>
          <w:trHeight w:val="20"/>
        </w:trPr>
        <w:tc>
          <w:tcPr>
            <w:tcW w:w="20" w:type="dxa"/>
            <w:vAlign w:val="bottom"/>
          </w:tcPr>
          <w:p>
            <w:pPr>
              <w:spacing w:after="0" w:line="20" w:lineRule="exact"/>
              <w:rPr>
                <w:sz w:val="1"/>
                <w:szCs w:val="1"/>
                <w:color w:val="auto"/>
              </w:rPr>
            </w:pPr>
          </w:p>
        </w:tc>
        <w:tc>
          <w:tcPr>
            <w:tcW w:w="1900" w:type="dxa"/>
            <w:vAlign w:val="bottom"/>
            <w:tcBorders>
              <w:right w:val="single" w:sz="8" w:color="0000FF"/>
            </w:tcBorders>
            <w:shd w:val="clear" w:color="auto" w:fill="0000FF"/>
          </w:tcPr>
          <w:p>
            <w:pPr>
              <w:spacing w:after="0" w:line="20" w:lineRule="exact"/>
              <w:rPr>
                <w:sz w:val="1"/>
                <w:szCs w:val="1"/>
                <w:color w:val="auto"/>
              </w:rPr>
            </w:pPr>
          </w:p>
        </w:tc>
        <w:tc>
          <w:tcPr>
            <w:tcW w:w="3080" w:type="dxa"/>
            <w:vAlign w:val="bottom"/>
            <w:gridSpan w:val="5"/>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5"/>
        </w:trPr>
        <w:tc>
          <w:tcPr>
            <w:tcW w:w="5140" w:type="dxa"/>
            <w:vAlign w:val="bottom"/>
            <w:gridSpan w:val="8"/>
          </w:tcPr>
          <w:p>
            <w:pPr>
              <w:spacing w:after="0" w:line="195"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by and between Tenax Therapeutics, Inc. and the investor identified on</w:t>
              </w:r>
            </w:hyperlink>
          </w:p>
        </w:tc>
        <w:tc>
          <w:tcPr>
            <w:tcW w:w="8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Borders>
              <w:right w:val="single" w:sz="8" w:color="0000FF"/>
            </w:tcBorders>
            <w:shd w:val="clear" w:color="auto" w:fill="0000FF"/>
          </w:tcPr>
          <w:p>
            <w:pPr>
              <w:spacing w:after="0" w:line="20" w:lineRule="exact"/>
              <w:rPr>
                <w:sz w:val="1"/>
                <w:szCs w:val="1"/>
                <w:color w:val="auto"/>
              </w:rPr>
            </w:pPr>
          </w:p>
        </w:tc>
        <w:tc>
          <w:tcPr>
            <w:tcW w:w="3220" w:type="dxa"/>
            <w:vAlign w:val="bottom"/>
            <w:gridSpan w:val="6"/>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5"/>
        </w:trPr>
        <w:tc>
          <w:tcPr>
            <w:tcW w:w="5140" w:type="dxa"/>
            <w:vAlign w:val="bottom"/>
            <w:gridSpan w:val="8"/>
          </w:tcPr>
          <w:p>
            <w:pPr>
              <w:spacing w:after="0" w:line="195"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the signature page thereto.</w:t>
              </w:r>
            </w:hyperlink>
          </w:p>
        </w:tc>
        <w:tc>
          <w:tcPr>
            <w:tcW w:w="8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90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-1618615</wp:posOffset>
            </wp:positionV>
            <wp:extent cx="7132955" cy="2724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7">
                      <a:extLst>
                        <a:ext uri="{28A0092B-C50C-407E-A947-70E740481C1C}"/>
                      </a:extLst>
                    </a:blip>
                    <a:srcRect/>
                    <a:stretch>
                      <a:fillRect/>
                    </a:stretch>
                  </pic:blipFill>
                  <pic:spPr bwMode="auto">
                    <a:xfrm>
                      <a:off x="0" y="0"/>
                      <a:ext cx="7132955" cy="272415"/>
                    </a:xfrm>
                    <a:prstGeom prst="rect">
                      <a:avLst/>
                    </a:prstGeom>
                    <a:noFill/>
                  </pic:spPr>
                </pic:pic>
              </a:graphicData>
            </a:graphic>
          </wp:anchor>
        </w:drawing>
        <w:drawing>
          <wp:anchor simplePos="0" relativeHeight="251657728" behindDoc="1" locked="0" layoutInCell="0" allowOverlap="1">
            <wp:simplePos x="0" y="0"/>
            <wp:positionH relativeFrom="column">
              <wp:posOffset>-668020</wp:posOffset>
            </wp:positionH>
            <wp:positionV relativeFrom="paragraph">
              <wp:posOffset>-1209675</wp:posOffset>
            </wp:positionV>
            <wp:extent cx="7132955" cy="272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8">
                      <a:extLst>
                        <a:ext uri="{28A0092B-C50C-407E-A947-70E740481C1C}"/>
                      </a:extLst>
                    </a:blip>
                    <a:srcRect/>
                    <a:stretch>
                      <a:fillRect/>
                    </a:stretch>
                  </pic:blipFill>
                  <pic:spPr bwMode="auto">
                    <a:xfrm>
                      <a:off x="0" y="0"/>
                      <a:ext cx="7132955" cy="272415"/>
                    </a:xfrm>
                    <a:prstGeom prst="rect">
                      <a:avLst/>
                    </a:prstGeom>
                    <a:noFill/>
                  </pic:spPr>
                </pic:pic>
              </a:graphicData>
            </a:graphic>
          </wp:anchor>
        </w:drawing>
        <w:drawing>
          <wp:anchor simplePos="0" relativeHeight="251657728" behindDoc="1" locked="0" layoutInCell="0" allowOverlap="1">
            <wp:simplePos x="0" y="0"/>
            <wp:positionH relativeFrom="column">
              <wp:posOffset>-668020</wp:posOffset>
            </wp:positionH>
            <wp:positionV relativeFrom="paragraph">
              <wp:posOffset>-800735</wp:posOffset>
            </wp:positionV>
            <wp:extent cx="7132955" cy="272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9">
                      <a:extLst>
                        <a:ext uri="{28A0092B-C50C-407E-A947-70E740481C1C}"/>
                      </a:extLst>
                    </a:blip>
                    <a:srcRect/>
                    <a:stretch>
                      <a:fillRect/>
                    </a:stretch>
                  </pic:blipFill>
                  <pic:spPr bwMode="auto">
                    <a:xfrm>
                      <a:off x="0" y="0"/>
                      <a:ext cx="7132955" cy="272415"/>
                    </a:xfrm>
                    <a:prstGeom prst="rect">
                      <a:avLst/>
                    </a:prstGeom>
                    <a:noFill/>
                  </pic:spPr>
                </pic:pic>
              </a:graphicData>
            </a:graphic>
          </wp:anchor>
        </w:drawing>
        <w:drawing>
          <wp:anchor simplePos="0" relativeHeight="251657728" behindDoc="1" locked="0" layoutInCell="0" allowOverlap="1">
            <wp:simplePos x="0" y="0"/>
            <wp:positionH relativeFrom="column">
              <wp:posOffset>-668020</wp:posOffset>
            </wp:positionH>
            <wp:positionV relativeFrom="paragraph">
              <wp:posOffset>-391160</wp:posOffset>
            </wp:positionV>
            <wp:extent cx="7132955" cy="408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0">
                      <a:extLst>
                        <a:ext uri="{28A0092B-C50C-407E-A947-70E740481C1C}"/>
                      </a:extLst>
                    </a:blip>
                    <a:srcRect/>
                    <a:stretch>
                      <a:fillRect/>
                    </a:stretch>
                  </pic:blipFill>
                  <pic:spPr bwMode="auto">
                    <a:xfrm>
                      <a:off x="0" y="0"/>
                      <a:ext cx="7132955" cy="4089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0" w:space="500"/>
            <w:col w:w="10180"/>
          </w:cols>
          <w:pgMar w:left="320" w:top="117" w:right="339" w:bottom="1440" w:gutter="0" w:footer="0" w:header="0"/>
          <w:type w:val="continuous"/>
        </w:sectPr>
      </w:pP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0000FF"/>
            </w:tcBorders>
            <w:shd w:val="clear" w:color="auto" w:fill="CCEEFF"/>
          </w:tcPr>
          <w:p>
            <w:pPr>
              <w:spacing w:after="0"/>
              <w:rPr>
                <w:rFonts w:ascii="Times New Roman" w:cs="Times New Roman" w:eastAsia="Times New Roman" w:hAnsi="Times New Roman"/>
                <w:sz w:val="18"/>
                <w:szCs w:val="18"/>
                <w:color w:val="0000FF"/>
                <w:w w:val="95"/>
              </w:rPr>
            </w:pPr>
            <w:hyperlink r:id="rId131">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7</w:t>
              </w:r>
            </w:hyperlink>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5100" w:type="dxa"/>
            <w:vAlign w:val="bottom"/>
            <w:tcBorders>
              <w:bottom w:val="single" w:sz="8" w:color="0000FF"/>
            </w:tcBorders>
            <w:gridSpan w:val="17"/>
            <w:shd w:val="clear" w:color="auto" w:fill="CCEEFF"/>
          </w:tcPr>
          <w:p>
            <w:pPr>
              <w:spacing w:after="0"/>
              <w:rPr>
                <w:rFonts w:ascii="Times New Roman" w:cs="Times New Roman" w:eastAsia="Times New Roman" w:hAnsi="Times New Roman"/>
                <w:sz w:val="18"/>
                <w:szCs w:val="18"/>
                <w:color w:val="0000FF"/>
                <w:w w:val="99"/>
              </w:rPr>
            </w:pPr>
            <w:hyperlink r:id="rId131">
              <w:r>
                <w:rPr>
                  <w:rFonts w:ascii="Times New Roman" w:cs="Times New Roman" w:eastAsia="Times New Roman" w:hAnsi="Times New Roman"/>
                  <w:sz w:val="18"/>
                  <w:szCs w:val="18"/>
                  <w:color w:val="0000FF"/>
                  <w:w w:val="99"/>
                </w:rPr>
                <w:t>Form of Securities Purchase Agreement for Class C Units and Class D</w:t>
              </w:r>
            </w:hyperlink>
          </w:p>
        </w:tc>
        <w:tc>
          <w:tcPr>
            <w:tcW w:w="60" w:type="dxa"/>
            <w:vAlign w:val="bottom"/>
            <w:tcBorders>
              <w:bottom w:val="single" w:sz="8" w:color="CCEEFF"/>
            </w:tcBorders>
            <w:gridSpan w:val="2"/>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8-K</w:t>
            </w:r>
          </w:p>
        </w:tc>
        <w:tc>
          <w:tcPr>
            <w:tcW w:w="124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001-34600</w:t>
            </w:r>
          </w:p>
        </w:tc>
        <w:tc>
          <w:tcPr>
            <w:tcW w:w="920" w:type="dxa"/>
            <w:vAlign w:val="bottom"/>
            <w:tcBorders>
              <w:bottom w:val="single" w:sz="8" w:color="CCEEFF"/>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10.1</w:t>
            </w:r>
          </w:p>
        </w:tc>
        <w:tc>
          <w:tcPr>
            <w:tcW w:w="2020" w:type="dxa"/>
            <w:vAlign w:val="bottom"/>
            <w:tcBorders>
              <w:bottom w:val="single" w:sz="8" w:color="CCEEFF"/>
            </w:tcBorders>
            <w:shd w:val="clear" w:color="auto" w:fill="CCEEFF"/>
          </w:tcPr>
          <w:p>
            <w:pPr>
              <w:jc w:val="center"/>
              <w:ind w:right="11"/>
              <w:spacing w:after="0"/>
              <w:rPr>
                <w:sz w:val="20"/>
                <w:szCs w:val="20"/>
                <w:color w:val="auto"/>
              </w:rPr>
            </w:pPr>
            <w:r>
              <w:rPr>
                <w:rFonts w:ascii="Times New Roman" w:cs="Times New Roman" w:eastAsia="Times New Roman" w:hAnsi="Times New Roman"/>
                <w:sz w:val="18"/>
                <w:szCs w:val="18"/>
                <w:color w:val="auto"/>
                <w:w w:val="99"/>
              </w:rPr>
              <w:t>July 8, 2020</w:t>
            </w:r>
          </w:p>
        </w:tc>
      </w:tr>
      <w:tr>
        <w:trPr>
          <w:trHeight w:val="195"/>
        </w:trPr>
        <w:tc>
          <w:tcPr>
            <w:tcW w:w="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940" w:type="dxa"/>
            <w:vAlign w:val="bottom"/>
            <w:tcBorders>
              <w:bottom w:val="single" w:sz="8" w:color="0000FF"/>
            </w:tcBorders>
            <w:gridSpan w:val="12"/>
            <w:shd w:val="clear" w:color="auto" w:fill="CCEEFF"/>
          </w:tcPr>
          <w:p>
            <w:pPr>
              <w:spacing w:after="0" w:line="195" w:lineRule="exact"/>
              <w:rPr>
                <w:rFonts w:ascii="Times New Roman" w:cs="Times New Roman" w:eastAsia="Times New Roman" w:hAnsi="Times New Roman"/>
                <w:sz w:val="18"/>
                <w:szCs w:val="18"/>
                <w:color w:val="0000FF"/>
                <w:w w:val="99"/>
              </w:rPr>
            </w:pPr>
            <w:hyperlink r:id="rId131">
              <w:r>
                <w:rPr>
                  <w:rFonts w:ascii="Times New Roman" w:cs="Times New Roman" w:eastAsia="Times New Roman" w:hAnsi="Times New Roman"/>
                  <w:sz w:val="18"/>
                  <w:szCs w:val="18"/>
                  <w:color w:val="0000FF"/>
                  <w:w w:val="99"/>
                </w:rPr>
                <w:t>Units, dated as of July 6, 2020, by and between Tenax Therapeutics,</w:t>
              </w:r>
            </w:hyperlink>
          </w:p>
        </w:tc>
        <w:tc>
          <w:tcPr>
            <w:tcW w:w="220" w:type="dxa"/>
            <w:vAlign w:val="bottom"/>
            <w:tcBorders>
              <w:bottom w:val="single" w:sz="8" w:color="CCEEFF"/>
            </w:tcBorders>
            <w:gridSpan w:val="7"/>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2020" w:type="dxa"/>
            <w:vAlign w:val="bottom"/>
            <w:tcBorders>
              <w:bottom w:val="single" w:sz="8" w:color="CCEEFF"/>
            </w:tcBorders>
            <w:shd w:val="clear" w:color="auto" w:fill="CCEEFF"/>
          </w:tcPr>
          <w:p>
            <w:pPr>
              <w:spacing w:after="0"/>
              <w:rPr>
                <w:sz w:val="16"/>
                <w:szCs w:val="16"/>
                <w:color w:val="auto"/>
              </w:rPr>
            </w:pPr>
          </w:p>
        </w:tc>
      </w:tr>
      <w:tr>
        <w:trPr>
          <w:trHeight w:val="215"/>
        </w:trPr>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360" w:type="dxa"/>
            <w:vAlign w:val="bottom"/>
            <w:gridSpan w:val="20"/>
            <w:shd w:val="clear" w:color="auto" w:fill="CCEEFF"/>
          </w:tcPr>
          <w:p>
            <w:pPr>
              <w:ind w:left="200"/>
              <w:spacing w:after="0" w:line="195"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Inc. and the Investor.</w:t>
              </w:r>
            </w:hyperlink>
          </w:p>
        </w:tc>
        <w:tc>
          <w:tcPr>
            <w:tcW w:w="8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r>
      <w:tr>
        <w:trPr>
          <w:trHeight w:val="215"/>
        </w:trPr>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5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r>
      <w:tr>
        <w:trPr>
          <w:trHeight w:val="174"/>
        </w:trPr>
        <w:tc>
          <w:tcPr>
            <w:tcW w:w="20" w:type="dxa"/>
            <w:vAlign w:val="bottom"/>
            <w:shd w:val="clear" w:color="auto" w:fill="CCEEFF"/>
          </w:tcPr>
          <w:p>
            <w:pPr>
              <w:spacing w:after="0"/>
              <w:rPr>
                <w:sz w:val="15"/>
                <w:szCs w:val="15"/>
                <w:color w:val="auto"/>
              </w:rPr>
            </w:pPr>
          </w:p>
        </w:tc>
        <w:tc>
          <w:tcPr>
            <w:tcW w:w="500" w:type="dxa"/>
            <w:vAlign w:val="bottom"/>
            <w:gridSpan w:val="4"/>
            <w:shd w:val="clear" w:color="auto" w:fill="CCEEFF"/>
          </w:tcPr>
          <w:p>
            <w:pPr>
              <w:spacing w:after="0" w:line="175"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8.1</w:t>
              </w:r>
            </w:hyperlink>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360" w:type="dxa"/>
            <w:vAlign w:val="bottom"/>
            <w:gridSpan w:val="20"/>
            <w:shd w:val="clear" w:color="auto" w:fill="CCEEFF"/>
          </w:tcPr>
          <w:p>
            <w:pPr>
              <w:ind w:left="200"/>
              <w:spacing w:after="0" w:line="175"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Form of Securities Purchase Agreement for Class E Units and Class F</w:t>
              </w:r>
            </w:hyperlink>
          </w:p>
        </w:tc>
        <w:tc>
          <w:tcPr>
            <w:tcW w:w="840" w:type="dxa"/>
            <w:vAlign w:val="bottom"/>
            <w:shd w:val="clear" w:color="auto" w:fill="CCEEFF"/>
          </w:tcPr>
          <w:p>
            <w:pPr>
              <w:ind w:left="340"/>
              <w:spacing w:after="0" w:line="175" w:lineRule="exact"/>
              <w:rPr>
                <w:sz w:val="20"/>
                <w:szCs w:val="20"/>
                <w:color w:val="auto"/>
              </w:rPr>
            </w:pPr>
            <w:r>
              <w:rPr>
                <w:rFonts w:ascii="Times New Roman" w:cs="Times New Roman" w:eastAsia="Times New Roman" w:hAnsi="Times New Roman"/>
                <w:sz w:val="18"/>
                <w:szCs w:val="18"/>
                <w:color w:val="auto"/>
              </w:rPr>
              <w:t>8-K</w:t>
            </w:r>
          </w:p>
        </w:tc>
        <w:tc>
          <w:tcPr>
            <w:tcW w:w="1240" w:type="dxa"/>
            <w:vAlign w:val="bottom"/>
            <w:shd w:val="clear" w:color="auto" w:fill="CCEEFF"/>
          </w:tcPr>
          <w:p>
            <w:pPr>
              <w:jc w:val="right"/>
              <w:ind w:right="131"/>
              <w:spacing w:after="0" w:line="175" w:lineRule="exact"/>
              <w:rPr>
                <w:sz w:val="20"/>
                <w:szCs w:val="20"/>
                <w:color w:val="auto"/>
              </w:rPr>
            </w:pPr>
            <w:r>
              <w:rPr>
                <w:rFonts w:ascii="Times New Roman" w:cs="Times New Roman" w:eastAsia="Times New Roman" w:hAnsi="Times New Roman"/>
                <w:sz w:val="18"/>
                <w:szCs w:val="18"/>
                <w:color w:val="auto"/>
              </w:rPr>
              <w:t>001-34600</w:t>
            </w:r>
          </w:p>
        </w:tc>
        <w:tc>
          <w:tcPr>
            <w:tcW w:w="920" w:type="dxa"/>
            <w:vAlign w:val="bottom"/>
            <w:shd w:val="clear" w:color="auto" w:fill="CCEEFF"/>
          </w:tcPr>
          <w:p>
            <w:pPr>
              <w:jc w:val="right"/>
              <w:ind w:right="291"/>
              <w:spacing w:after="0" w:line="175" w:lineRule="exact"/>
              <w:rPr>
                <w:sz w:val="20"/>
                <w:szCs w:val="20"/>
                <w:color w:val="auto"/>
              </w:rPr>
            </w:pPr>
            <w:r>
              <w:rPr>
                <w:rFonts w:ascii="Times New Roman" w:cs="Times New Roman" w:eastAsia="Times New Roman" w:hAnsi="Times New Roman"/>
                <w:sz w:val="18"/>
                <w:szCs w:val="18"/>
                <w:color w:val="auto"/>
              </w:rPr>
              <w:t>10.2</w:t>
            </w:r>
          </w:p>
        </w:tc>
        <w:tc>
          <w:tcPr>
            <w:tcW w:w="2020" w:type="dxa"/>
            <w:vAlign w:val="bottom"/>
            <w:shd w:val="clear" w:color="auto" w:fill="CCEEFF"/>
          </w:tcPr>
          <w:p>
            <w:pPr>
              <w:jc w:val="center"/>
              <w:ind w:right="11"/>
              <w:spacing w:after="0" w:line="175" w:lineRule="exact"/>
              <w:rPr>
                <w:sz w:val="20"/>
                <w:szCs w:val="20"/>
                <w:color w:val="auto"/>
              </w:rPr>
            </w:pPr>
            <w:r>
              <w:rPr>
                <w:rFonts w:ascii="Times New Roman" w:cs="Times New Roman" w:eastAsia="Times New Roman" w:hAnsi="Times New Roman"/>
                <w:sz w:val="18"/>
                <w:szCs w:val="18"/>
                <w:color w:val="auto"/>
                <w:w w:val="99"/>
              </w:rPr>
              <w:t>July 8, 2020</w:t>
            </w:r>
          </w:p>
        </w:tc>
      </w:tr>
      <w:tr>
        <w:trPr>
          <w:trHeight w:val="195"/>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0000FF"/>
              <w:bottom w:val="single" w:sz="8" w:color="CCEEFF"/>
            </w:tcBorders>
            <w:shd w:val="clear" w:color="auto" w:fill="CCEEFF"/>
          </w:tcPr>
          <w:p>
            <w:pPr>
              <w:spacing w:after="0"/>
              <w:rPr>
                <w:sz w:val="16"/>
                <w:szCs w:val="16"/>
                <w:color w:val="auto"/>
              </w:rPr>
            </w:pPr>
          </w:p>
        </w:tc>
        <w:tc>
          <w:tcPr>
            <w:tcW w:w="80" w:type="dxa"/>
            <w:vAlign w:val="bottom"/>
            <w:tcBorders>
              <w:top w:val="single" w:sz="8" w:color="0000FF"/>
              <w:bottom w:val="single" w:sz="8" w:color="CCEEFF"/>
            </w:tcBorders>
            <w:shd w:val="clear" w:color="auto" w:fill="CCEEFF"/>
          </w:tcPr>
          <w:p>
            <w:pPr>
              <w:spacing w:after="0"/>
              <w:rPr>
                <w:sz w:val="16"/>
                <w:szCs w:val="16"/>
                <w:color w:val="auto"/>
              </w:rPr>
            </w:pPr>
          </w:p>
        </w:tc>
        <w:tc>
          <w:tcPr>
            <w:tcW w:w="40" w:type="dxa"/>
            <w:vAlign w:val="bottom"/>
            <w:tcBorders>
              <w:top w:val="single" w:sz="8" w:color="0000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4940" w:type="dxa"/>
            <w:vAlign w:val="bottom"/>
            <w:tcBorders>
              <w:top w:val="single" w:sz="8" w:color="0000FF"/>
              <w:bottom w:val="single" w:sz="8" w:color="0000FF"/>
            </w:tcBorders>
            <w:gridSpan w:val="12"/>
            <w:shd w:val="clear" w:color="auto" w:fill="CCEEFF"/>
          </w:tcPr>
          <w:p>
            <w:pPr>
              <w:spacing w:after="0" w:line="195" w:lineRule="exact"/>
              <w:rPr>
                <w:rFonts w:ascii="Times New Roman" w:cs="Times New Roman" w:eastAsia="Times New Roman" w:hAnsi="Times New Roman"/>
                <w:sz w:val="18"/>
                <w:szCs w:val="18"/>
                <w:color w:val="0000FF"/>
                <w:w w:val="99"/>
              </w:rPr>
            </w:pPr>
            <w:hyperlink r:id="rId132">
              <w:r>
                <w:rPr>
                  <w:rFonts w:ascii="Times New Roman" w:cs="Times New Roman" w:eastAsia="Times New Roman" w:hAnsi="Times New Roman"/>
                  <w:sz w:val="18"/>
                  <w:szCs w:val="18"/>
                  <w:color w:val="0000FF"/>
                  <w:w w:val="99"/>
                </w:rPr>
                <w:t>Units, dated as of July 6, 2020, by and between Tenax Therapeutics,</w:t>
              </w:r>
            </w:hyperlink>
          </w:p>
        </w:tc>
        <w:tc>
          <w:tcPr>
            <w:tcW w:w="140" w:type="dxa"/>
            <w:vAlign w:val="bottom"/>
            <w:tcBorders>
              <w:top w:val="single" w:sz="8" w:color="0000FF"/>
              <w:bottom w:val="single" w:sz="8" w:color="CCEEFF"/>
            </w:tcBorders>
            <w:gridSpan w:val="4"/>
            <w:shd w:val="clear" w:color="auto" w:fill="CCEEFF"/>
          </w:tcPr>
          <w:p>
            <w:pPr>
              <w:spacing w:after="0"/>
              <w:rPr>
                <w:sz w:val="16"/>
                <w:szCs w:val="16"/>
                <w:color w:val="auto"/>
              </w:rPr>
            </w:pPr>
          </w:p>
        </w:tc>
        <w:tc>
          <w:tcPr>
            <w:tcW w:w="8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840" w:type="dxa"/>
            <w:vAlign w:val="bottom"/>
            <w:tcBorders>
              <w:top w:val="single" w:sz="8" w:color="CCEEFF"/>
              <w:bottom w:val="single" w:sz="8" w:color="CCEEFF"/>
            </w:tcBorders>
            <w:shd w:val="clear" w:color="auto" w:fill="CCEEFF"/>
          </w:tcPr>
          <w:p>
            <w:pPr>
              <w:spacing w:after="0"/>
              <w:rPr>
                <w:sz w:val="16"/>
                <w:szCs w:val="16"/>
                <w:color w:val="auto"/>
              </w:rPr>
            </w:pPr>
          </w:p>
        </w:tc>
        <w:tc>
          <w:tcPr>
            <w:tcW w:w="124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CCEEFF"/>
              <w:bottom w:val="single" w:sz="8" w:color="CCEEFF"/>
            </w:tcBorders>
            <w:shd w:val="clear" w:color="auto" w:fill="CCEEFF"/>
          </w:tcPr>
          <w:p>
            <w:pPr>
              <w:spacing w:after="0"/>
              <w:rPr>
                <w:sz w:val="16"/>
                <w:szCs w:val="16"/>
                <w:color w:val="auto"/>
              </w:rPr>
            </w:pPr>
          </w:p>
        </w:tc>
        <w:tc>
          <w:tcPr>
            <w:tcW w:w="20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15"/>
        </w:trPr>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360" w:type="dxa"/>
            <w:vAlign w:val="bottom"/>
            <w:gridSpan w:val="20"/>
            <w:shd w:val="clear" w:color="auto" w:fill="CCEEFF"/>
          </w:tcPr>
          <w:p>
            <w:pPr>
              <w:ind w:left="200"/>
              <w:spacing w:after="0" w:line="195"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Inc. and the Investor.</w:t>
              </w:r>
            </w:hyperlink>
          </w:p>
        </w:tc>
        <w:tc>
          <w:tcPr>
            <w:tcW w:w="8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r>
      <w:tr>
        <w:trPr>
          <w:trHeight w:val="429"/>
        </w:trPr>
        <w:tc>
          <w:tcPr>
            <w:tcW w:w="2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1240" w:type="dxa"/>
            <w:vAlign w:val="bottom"/>
            <w:tcBorders>
              <w:top w:val="single" w:sz="8" w:color="CCEEFF"/>
            </w:tcBorders>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2020" w:type="dxa"/>
            <w:vAlign w:val="bottom"/>
            <w:tcBorders>
              <w:top w:val="single" w:sz="8" w:color="CCEEFF"/>
            </w:tcBorders>
          </w:tcPr>
          <w:p>
            <w:pPr>
              <w:spacing w:after="0"/>
              <w:rPr>
                <w:sz w:val="24"/>
                <w:szCs w:val="24"/>
                <w:color w:val="auto"/>
              </w:rPr>
            </w:pPr>
          </w:p>
        </w:tc>
      </w:tr>
      <w:tr>
        <w:trPr>
          <w:trHeight w:val="195"/>
        </w:trPr>
        <w:tc>
          <w:tcPr>
            <w:tcW w:w="520" w:type="dxa"/>
            <w:vAlign w:val="bottom"/>
            <w:gridSpan w:val="5"/>
            <w:shd w:val="clear" w:color="auto" w:fill="CCEEFF"/>
          </w:tcPr>
          <w:p>
            <w:pPr>
              <w:ind w:left="20"/>
              <w:spacing w:after="0" w:line="175"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8.2</w:t>
              </w:r>
            </w:hyperlink>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360" w:type="dxa"/>
            <w:vAlign w:val="bottom"/>
            <w:gridSpan w:val="20"/>
            <w:shd w:val="clear" w:color="auto" w:fill="CCEEFF"/>
          </w:tcPr>
          <w:p>
            <w:pPr>
              <w:ind w:left="200"/>
              <w:spacing w:after="0" w:line="175"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Waiver dated June 13, 2022</w:t>
              </w:r>
            </w:hyperlink>
            <w:r>
              <w:rPr>
                <w:rFonts w:ascii="Times New Roman" w:cs="Times New Roman" w:eastAsia="Times New Roman" w:hAnsi="Times New Roman"/>
                <w:sz w:val="18"/>
                <w:szCs w:val="18"/>
                <w:color w:val="000000"/>
              </w:rPr>
              <w:t>.</w:t>
            </w:r>
          </w:p>
        </w:tc>
        <w:tc>
          <w:tcPr>
            <w:tcW w:w="840" w:type="dxa"/>
            <w:vAlign w:val="bottom"/>
            <w:shd w:val="clear" w:color="auto" w:fill="CCEEFF"/>
          </w:tcPr>
          <w:p>
            <w:pPr>
              <w:ind w:left="340"/>
              <w:spacing w:after="0" w:line="175" w:lineRule="exact"/>
              <w:rPr>
                <w:sz w:val="20"/>
                <w:szCs w:val="20"/>
                <w:color w:val="auto"/>
              </w:rPr>
            </w:pPr>
            <w:r>
              <w:rPr>
                <w:rFonts w:ascii="Times New Roman" w:cs="Times New Roman" w:eastAsia="Times New Roman" w:hAnsi="Times New Roman"/>
                <w:sz w:val="18"/>
                <w:szCs w:val="18"/>
                <w:color w:val="auto"/>
              </w:rPr>
              <w:t>8-K</w:t>
            </w:r>
          </w:p>
        </w:tc>
        <w:tc>
          <w:tcPr>
            <w:tcW w:w="1240" w:type="dxa"/>
            <w:vAlign w:val="bottom"/>
            <w:shd w:val="clear" w:color="auto" w:fill="CCEEFF"/>
          </w:tcPr>
          <w:p>
            <w:pPr>
              <w:jc w:val="right"/>
              <w:ind w:right="131"/>
              <w:spacing w:after="0" w:line="175" w:lineRule="exact"/>
              <w:rPr>
                <w:sz w:val="20"/>
                <w:szCs w:val="20"/>
                <w:color w:val="auto"/>
              </w:rPr>
            </w:pPr>
            <w:r>
              <w:rPr>
                <w:rFonts w:ascii="Times New Roman" w:cs="Times New Roman" w:eastAsia="Times New Roman" w:hAnsi="Times New Roman"/>
                <w:sz w:val="18"/>
                <w:szCs w:val="18"/>
                <w:color w:val="auto"/>
              </w:rPr>
              <w:t>001-34600</w:t>
            </w:r>
          </w:p>
        </w:tc>
        <w:tc>
          <w:tcPr>
            <w:tcW w:w="920" w:type="dxa"/>
            <w:vAlign w:val="bottom"/>
            <w:shd w:val="clear" w:color="auto" w:fill="CCEEFF"/>
          </w:tcPr>
          <w:p>
            <w:pPr>
              <w:jc w:val="right"/>
              <w:ind w:right="291"/>
              <w:spacing w:after="0" w:line="175" w:lineRule="exact"/>
              <w:rPr>
                <w:sz w:val="20"/>
                <w:szCs w:val="20"/>
                <w:color w:val="auto"/>
              </w:rPr>
            </w:pPr>
            <w:r>
              <w:rPr>
                <w:rFonts w:ascii="Times New Roman" w:cs="Times New Roman" w:eastAsia="Times New Roman" w:hAnsi="Times New Roman"/>
                <w:sz w:val="18"/>
                <w:szCs w:val="18"/>
                <w:color w:val="auto"/>
              </w:rPr>
              <w:t>10.1</w:t>
            </w:r>
          </w:p>
        </w:tc>
        <w:tc>
          <w:tcPr>
            <w:tcW w:w="2020" w:type="dxa"/>
            <w:vAlign w:val="bottom"/>
            <w:shd w:val="clear" w:color="auto" w:fill="CCEEFF"/>
          </w:tcPr>
          <w:p>
            <w:pPr>
              <w:jc w:val="center"/>
              <w:ind w:right="11"/>
              <w:spacing w:after="0" w:line="175" w:lineRule="exact"/>
              <w:rPr>
                <w:sz w:val="20"/>
                <w:szCs w:val="20"/>
                <w:color w:val="auto"/>
              </w:rPr>
            </w:pPr>
            <w:r>
              <w:rPr>
                <w:rFonts w:ascii="Times New Roman" w:cs="Times New Roman" w:eastAsia="Times New Roman" w:hAnsi="Times New Roman"/>
                <w:sz w:val="18"/>
                <w:szCs w:val="18"/>
                <w:color w:val="auto"/>
                <w:w w:val="99"/>
              </w:rPr>
              <w:t>June 16, 2022</w:t>
            </w:r>
          </w:p>
        </w:tc>
      </w:tr>
      <w:tr>
        <w:trPr>
          <w:trHeight w:val="215"/>
        </w:trPr>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5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80" w:type="dxa"/>
            <w:vAlign w:val="bottom"/>
            <w:tcBorders>
              <w:top w:val="single" w:sz="8" w:color="0000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r>
      <w:tr>
        <w:trPr>
          <w:trHeight w:val="174"/>
        </w:trPr>
        <w:tc>
          <w:tcPr>
            <w:tcW w:w="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0000FF"/>
            </w:tcBorders>
            <w:shd w:val="clear" w:color="auto" w:fill="CCEEFF"/>
          </w:tcPr>
          <w:p>
            <w:pPr>
              <w:spacing w:after="0" w:line="175" w:lineRule="exact"/>
              <w:rPr>
                <w:rFonts w:ascii="Times New Roman" w:cs="Times New Roman" w:eastAsia="Times New Roman" w:hAnsi="Times New Roman"/>
                <w:sz w:val="18"/>
                <w:szCs w:val="18"/>
                <w:color w:val="0000FF"/>
                <w:w w:val="95"/>
              </w:rPr>
            </w:pPr>
            <w:hyperlink r:id="rId134">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9</w:t>
              </w:r>
            </w:hyperlink>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4960" w:type="dxa"/>
            <w:vAlign w:val="bottom"/>
            <w:tcBorders>
              <w:bottom w:val="single" w:sz="8" w:color="0000FF"/>
            </w:tcBorders>
            <w:gridSpan w:val="13"/>
            <w:shd w:val="clear" w:color="auto" w:fill="CCEEFF"/>
          </w:tcPr>
          <w:p>
            <w:pPr>
              <w:spacing w:after="0" w:line="175" w:lineRule="exact"/>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Form of Registration Rights Agreement, dated as of July 6, 2020, by</w:t>
              </w:r>
            </w:hyperlink>
          </w:p>
        </w:tc>
        <w:tc>
          <w:tcPr>
            <w:tcW w:w="200" w:type="dxa"/>
            <w:vAlign w:val="bottom"/>
            <w:tcBorders>
              <w:bottom w:val="single" w:sz="8" w:color="CCEEFF"/>
            </w:tcBorders>
            <w:gridSpan w:val="6"/>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ind w:left="340"/>
              <w:spacing w:after="0" w:line="175" w:lineRule="exact"/>
              <w:rPr>
                <w:sz w:val="20"/>
                <w:szCs w:val="20"/>
                <w:color w:val="auto"/>
              </w:rPr>
            </w:pPr>
            <w:r>
              <w:rPr>
                <w:rFonts w:ascii="Times New Roman" w:cs="Times New Roman" w:eastAsia="Times New Roman" w:hAnsi="Times New Roman"/>
                <w:sz w:val="18"/>
                <w:szCs w:val="18"/>
                <w:color w:val="auto"/>
              </w:rPr>
              <w:t>8-K</w:t>
            </w:r>
          </w:p>
        </w:tc>
        <w:tc>
          <w:tcPr>
            <w:tcW w:w="1240" w:type="dxa"/>
            <w:vAlign w:val="bottom"/>
            <w:tcBorders>
              <w:bottom w:val="single" w:sz="8" w:color="CCEEFF"/>
            </w:tcBorders>
            <w:shd w:val="clear" w:color="auto" w:fill="CCEEFF"/>
          </w:tcPr>
          <w:p>
            <w:pPr>
              <w:jc w:val="right"/>
              <w:ind w:right="131"/>
              <w:spacing w:after="0" w:line="175" w:lineRule="exact"/>
              <w:rPr>
                <w:sz w:val="20"/>
                <w:szCs w:val="20"/>
                <w:color w:val="auto"/>
              </w:rPr>
            </w:pPr>
            <w:r>
              <w:rPr>
                <w:rFonts w:ascii="Times New Roman" w:cs="Times New Roman" w:eastAsia="Times New Roman" w:hAnsi="Times New Roman"/>
                <w:sz w:val="18"/>
                <w:szCs w:val="18"/>
                <w:color w:val="auto"/>
              </w:rPr>
              <w:t>001-34600</w:t>
            </w:r>
          </w:p>
        </w:tc>
        <w:tc>
          <w:tcPr>
            <w:tcW w:w="920" w:type="dxa"/>
            <w:vAlign w:val="bottom"/>
            <w:tcBorders>
              <w:bottom w:val="single" w:sz="8" w:color="CCEEFF"/>
            </w:tcBorders>
            <w:shd w:val="clear" w:color="auto" w:fill="CCEEFF"/>
          </w:tcPr>
          <w:p>
            <w:pPr>
              <w:jc w:val="right"/>
              <w:ind w:right="291"/>
              <w:spacing w:after="0" w:line="175" w:lineRule="exact"/>
              <w:rPr>
                <w:sz w:val="20"/>
                <w:szCs w:val="20"/>
                <w:color w:val="auto"/>
              </w:rPr>
            </w:pPr>
            <w:r>
              <w:rPr>
                <w:rFonts w:ascii="Times New Roman" w:cs="Times New Roman" w:eastAsia="Times New Roman" w:hAnsi="Times New Roman"/>
                <w:sz w:val="18"/>
                <w:szCs w:val="18"/>
                <w:color w:val="auto"/>
              </w:rPr>
              <w:t>10.3</w:t>
            </w:r>
          </w:p>
        </w:tc>
        <w:tc>
          <w:tcPr>
            <w:tcW w:w="2020" w:type="dxa"/>
            <w:vAlign w:val="bottom"/>
            <w:tcBorders>
              <w:bottom w:val="single" w:sz="8" w:color="CCEEFF"/>
            </w:tcBorders>
            <w:shd w:val="clear" w:color="auto" w:fill="CCEEFF"/>
          </w:tcPr>
          <w:p>
            <w:pPr>
              <w:jc w:val="center"/>
              <w:ind w:right="11"/>
              <w:spacing w:after="0" w:line="175" w:lineRule="exact"/>
              <w:rPr>
                <w:sz w:val="20"/>
                <w:szCs w:val="20"/>
                <w:color w:val="auto"/>
              </w:rPr>
            </w:pPr>
            <w:r>
              <w:rPr>
                <w:rFonts w:ascii="Times New Roman" w:cs="Times New Roman" w:eastAsia="Times New Roman" w:hAnsi="Times New Roman"/>
                <w:sz w:val="18"/>
                <w:szCs w:val="18"/>
                <w:color w:val="auto"/>
                <w:w w:val="99"/>
              </w:rPr>
              <w:t>July 8, 2020</w:t>
            </w:r>
          </w:p>
        </w:tc>
      </w:tr>
      <w:tr>
        <w:trPr>
          <w:trHeight w:val="215"/>
        </w:trPr>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360" w:type="dxa"/>
            <w:vAlign w:val="bottom"/>
            <w:gridSpan w:val="20"/>
            <w:shd w:val="clear" w:color="auto" w:fill="CCEEFF"/>
          </w:tcPr>
          <w:p>
            <w:pPr>
              <w:ind w:left="200"/>
              <w:spacing w:after="0" w:line="195"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and between Tenax Therapeutics, Inc. and the Investor.</w:t>
              </w:r>
            </w:hyperlink>
          </w:p>
        </w:tc>
        <w:tc>
          <w:tcPr>
            <w:tcW w:w="8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r>
      <w:tr>
        <w:trPr>
          <w:trHeight w:val="215"/>
        </w:trPr>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5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80" w:type="dxa"/>
            <w:vAlign w:val="bottom"/>
            <w:tcBorders>
              <w:top w:val="single" w:sz="8" w:color="0000FF"/>
            </w:tcBorders>
          </w:tcPr>
          <w:p>
            <w:pPr>
              <w:spacing w:after="0"/>
              <w:rPr>
                <w:sz w:val="18"/>
                <w:szCs w:val="18"/>
                <w:color w:val="auto"/>
              </w:rPr>
            </w:pPr>
          </w:p>
        </w:tc>
        <w:tc>
          <w:tcPr>
            <w:tcW w:w="82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9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r>
      <w:tr>
        <w:trPr>
          <w:trHeight w:val="174"/>
        </w:trPr>
        <w:tc>
          <w:tcPr>
            <w:tcW w:w="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0000FF"/>
            </w:tcBorders>
            <w:gridSpan w:val="5"/>
            <w:shd w:val="clear" w:color="auto" w:fill="CCEEFF"/>
          </w:tcPr>
          <w:p>
            <w:pPr>
              <w:spacing w:after="0" w:line="175" w:lineRule="exact"/>
              <w:rPr>
                <w:rFonts w:ascii="Times New Roman" w:cs="Times New Roman" w:eastAsia="Times New Roman" w:hAnsi="Times New Roman"/>
                <w:sz w:val="18"/>
                <w:szCs w:val="18"/>
                <w:color w:val="0000FF"/>
                <w:w w:val="96"/>
              </w:rPr>
            </w:pPr>
            <w:hyperlink r:id="rId135">
              <w:r>
                <w:rPr>
                  <w:rFonts w:ascii="Times New Roman" w:cs="Times New Roman" w:eastAsia="Times New Roman" w:hAnsi="Times New Roman"/>
                  <w:sz w:val="18"/>
                  <w:szCs w:val="18"/>
                  <w:color w:val="0000FF"/>
                  <w:w w:val="96"/>
                </w:rPr>
                <w:t>10.</w:t>
              </w:r>
              <w:r>
                <w:rPr>
                  <w:rFonts w:ascii="Times New Roman" w:cs="Times New Roman" w:eastAsia="Times New Roman" w:hAnsi="Times New Roman"/>
                  <w:sz w:val="18"/>
                  <w:szCs w:val="18"/>
                  <w:u w:val="single" w:color="auto"/>
                  <w:color w:val="0000FF"/>
                  <w:w w:val="96"/>
                </w:rPr>
                <w:t>10.1+</w:t>
              </w:r>
            </w:hyperlink>
          </w:p>
        </w:tc>
        <w:tc>
          <w:tcPr>
            <w:tcW w:w="2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5100" w:type="dxa"/>
            <w:vAlign w:val="bottom"/>
            <w:tcBorders>
              <w:bottom w:val="single" w:sz="8" w:color="0000FF"/>
            </w:tcBorders>
            <w:gridSpan w:val="17"/>
            <w:shd w:val="clear" w:color="auto" w:fill="CCEEFF"/>
          </w:tcPr>
          <w:p>
            <w:pPr>
              <w:spacing w:after="0" w:line="175" w:lineRule="exact"/>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Executive Employment Agreement with Dr. Stuart Rich dated January</w:t>
              </w:r>
            </w:hyperlink>
          </w:p>
        </w:tc>
        <w:tc>
          <w:tcPr>
            <w:tcW w:w="60" w:type="dxa"/>
            <w:vAlign w:val="bottom"/>
            <w:tcBorders>
              <w:bottom w:val="single" w:sz="8" w:color="CCEEFF"/>
            </w:tcBorders>
            <w:gridSpan w:val="2"/>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ind w:left="340"/>
              <w:spacing w:after="0" w:line="175" w:lineRule="exact"/>
              <w:rPr>
                <w:sz w:val="20"/>
                <w:szCs w:val="20"/>
                <w:color w:val="auto"/>
              </w:rPr>
            </w:pPr>
            <w:r>
              <w:rPr>
                <w:rFonts w:ascii="Times New Roman" w:cs="Times New Roman" w:eastAsia="Times New Roman" w:hAnsi="Times New Roman"/>
                <w:sz w:val="18"/>
                <w:szCs w:val="18"/>
                <w:color w:val="auto"/>
              </w:rPr>
              <w:t>8-K</w:t>
            </w:r>
          </w:p>
        </w:tc>
        <w:tc>
          <w:tcPr>
            <w:tcW w:w="1240" w:type="dxa"/>
            <w:vAlign w:val="bottom"/>
            <w:tcBorders>
              <w:bottom w:val="single" w:sz="8" w:color="CCEEFF"/>
            </w:tcBorders>
            <w:shd w:val="clear" w:color="auto" w:fill="CCEEFF"/>
          </w:tcPr>
          <w:p>
            <w:pPr>
              <w:jc w:val="right"/>
              <w:ind w:right="131"/>
              <w:spacing w:after="0" w:line="175" w:lineRule="exact"/>
              <w:rPr>
                <w:sz w:val="20"/>
                <w:szCs w:val="20"/>
                <w:color w:val="auto"/>
              </w:rPr>
            </w:pPr>
            <w:r>
              <w:rPr>
                <w:rFonts w:ascii="Times New Roman" w:cs="Times New Roman" w:eastAsia="Times New Roman" w:hAnsi="Times New Roman"/>
                <w:sz w:val="18"/>
                <w:szCs w:val="18"/>
                <w:color w:val="auto"/>
              </w:rPr>
              <w:t>001-34600</w:t>
            </w:r>
          </w:p>
        </w:tc>
        <w:tc>
          <w:tcPr>
            <w:tcW w:w="920" w:type="dxa"/>
            <w:vAlign w:val="bottom"/>
            <w:tcBorders>
              <w:bottom w:val="single" w:sz="8" w:color="CCEEFF"/>
            </w:tcBorders>
            <w:shd w:val="clear" w:color="auto" w:fill="CCEEFF"/>
          </w:tcPr>
          <w:p>
            <w:pPr>
              <w:jc w:val="right"/>
              <w:ind w:right="291"/>
              <w:spacing w:after="0" w:line="175" w:lineRule="exact"/>
              <w:rPr>
                <w:sz w:val="20"/>
                <w:szCs w:val="20"/>
                <w:color w:val="auto"/>
              </w:rPr>
            </w:pPr>
            <w:r>
              <w:rPr>
                <w:rFonts w:ascii="Times New Roman" w:cs="Times New Roman" w:eastAsia="Times New Roman" w:hAnsi="Times New Roman"/>
                <w:sz w:val="18"/>
                <w:szCs w:val="18"/>
                <w:color w:val="auto"/>
              </w:rPr>
              <w:t>10.1</w:t>
            </w:r>
          </w:p>
        </w:tc>
        <w:tc>
          <w:tcPr>
            <w:tcW w:w="202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8"/>
              </w:rPr>
              <w:t>January 19, 2021</w:t>
            </w:r>
          </w:p>
        </w:tc>
      </w:tr>
      <w:tr>
        <w:trPr>
          <w:trHeight w:val="215"/>
        </w:trPr>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00"/>
              <w:spacing w:after="0" w:line="195"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15, 2021.</w:t>
              </w:r>
            </w:hyperlink>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r>
      <w:tr>
        <w:trPr>
          <w:trHeight w:val="215"/>
        </w:trPr>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0000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r>
      <w:tr>
        <w:trPr>
          <w:trHeight w:val="174"/>
        </w:trPr>
        <w:tc>
          <w:tcPr>
            <w:tcW w:w="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0000FF"/>
            </w:tcBorders>
            <w:gridSpan w:val="5"/>
            <w:shd w:val="clear" w:color="auto" w:fill="CCEEFF"/>
          </w:tcPr>
          <w:p>
            <w:pPr>
              <w:spacing w:after="0" w:line="175" w:lineRule="exact"/>
              <w:rPr>
                <w:rFonts w:ascii="Times New Roman" w:cs="Times New Roman" w:eastAsia="Times New Roman" w:hAnsi="Times New Roman"/>
                <w:sz w:val="18"/>
                <w:szCs w:val="18"/>
                <w:color w:val="0000FF"/>
                <w:w w:val="96"/>
              </w:rPr>
            </w:pPr>
            <w:hyperlink r:id="rId136">
              <w:r>
                <w:rPr>
                  <w:rFonts w:ascii="Times New Roman" w:cs="Times New Roman" w:eastAsia="Times New Roman" w:hAnsi="Times New Roman"/>
                  <w:sz w:val="18"/>
                  <w:szCs w:val="18"/>
                  <w:color w:val="0000FF"/>
                  <w:w w:val="96"/>
                </w:rPr>
                <w:t>10.</w:t>
              </w:r>
              <w:r>
                <w:rPr>
                  <w:rFonts w:ascii="Times New Roman" w:cs="Times New Roman" w:eastAsia="Times New Roman" w:hAnsi="Times New Roman"/>
                  <w:sz w:val="18"/>
                  <w:szCs w:val="18"/>
                  <w:u w:val="single" w:color="auto"/>
                  <w:color w:val="0000FF"/>
                  <w:w w:val="96"/>
                </w:rPr>
                <w:t>10.2+</w:t>
              </w:r>
            </w:hyperlink>
          </w:p>
        </w:tc>
        <w:tc>
          <w:tcPr>
            <w:tcW w:w="2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5160" w:type="dxa"/>
            <w:vAlign w:val="bottom"/>
            <w:tcBorders>
              <w:bottom w:val="single" w:sz="8" w:color="0000FF"/>
            </w:tcBorders>
            <w:gridSpan w:val="19"/>
            <w:shd w:val="clear" w:color="auto" w:fill="CCEEFF"/>
          </w:tcPr>
          <w:p>
            <w:pPr>
              <w:spacing w:after="0" w:line="175" w:lineRule="exact"/>
              <w:rPr>
                <w:rFonts w:ascii="Times New Roman" w:cs="Times New Roman" w:eastAsia="Times New Roman" w:hAnsi="Times New Roman"/>
                <w:sz w:val="18"/>
                <w:szCs w:val="18"/>
                <w:color w:val="0000FF"/>
                <w:w w:val="99"/>
              </w:rPr>
            </w:pPr>
            <w:hyperlink r:id="rId136">
              <w:r>
                <w:rPr>
                  <w:rFonts w:ascii="Times New Roman" w:cs="Times New Roman" w:eastAsia="Times New Roman" w:hAnsi="Times New Roman"/>
                  <w:sz w:val="18"/>
                  <w:szCs w:val="18"/>
                  <w:color w:val="0000FF"/>
                  <w:w w:val="99"/>
                </w:rPr>
                <w:t>Amendment to Executive Employment Agreement with Dr. Stuart Rich</w:t>
              </w:r>
            </w:hyperlink>
          </w:p>
        </w:tc>
        <w:tc>
          <w:tcPr>
            <w:tcW w:w="840" w:type="dxa"/>
            <w:vAlign w:val="bottom"/>
            <w:tcBorders>
              <w:bottom w:val="single" w:sz="8" w:color="CCEEFF"/>
            </w:tcBorders>
            <w:shd w:val="clear" w:color="auto" w:fill="CCEEFF"/>
          </w:tcPr>
          <w:p>
            <w:pPr>
              <w:ind w:left="340"/>
              <w:spacing w:after="0" w:line="175" w:lineRule="exact"/>
              <w:rPr>
                <w:sz w:val="20"/>
                <w:szCs w:val="20"/>
                <w:color w:val="auto"/>
              </w:rPr>
            </w:pPr>
            <w:r>
              <w:rPr>
                <w:rFonts w:ascii="Times New Roman" w:cs="Times New Roman" w:eastAsia="Times New Roman" w:hAnsi="Times New Roman"/>
                <w:sz w:val="18"/>
                <w:szCs w:val="18"/>
                <w:color w:val="auto"/>
              </w:rPr>
              <w:t>8-K</w:t>
            </w:r>
          </w:p>
        </w:tc>
        <w:tc>
          <w:tcPr>
            <w:tcW w:w="1240" w:type="dxa"/>
            <w:vAlign w:val="bottom"/>
            <w:tcBorders>
              <w:bottom w:val="single" w:sz="8" w:color="CCEEFF"/>
            </w:tcBorders>
            <w:shd w:val="clear" w:color="auto" w:fill="CCEEFF"/>
          </w:tcPr>
          <w:p>
            <w:pPr>
              <w:jc w:val="right"/>
              <w:ind w:right="131"/>
              <w:spacing w:after="0" w:line="175" w:lineRule="exact"/>
              <w:rPr>
                <w:sz w:val="20"/>
                <w:szCs w:val="20"/>
                <w:color w:val="auto"/>
              </w:rPr>
            </w:pPr>
            <w:r>
              <w:rPr>
                <w:rFonts w:ascii="Times New Roman" w:cs="Times New Roman" w:eastAsia="Times New Roman" w:hAnsi="Times New Roman"/>
                <w:sz w:val="18"/>
                <w:szCs w:val="18"/>
                <w:color w:val="auto"/>
              </w:rPr>
              <w:t>001-34600</w:t>
            </w:r>
          </w:p>
        </w:tc>
        <w:tc>
          <w:tcPr>
            <w:tcW w:w="920" w:type="dxa"/>
            <w:vAlign w:val="bottom"/>
            <w:tcBorders>
              <w:bottom w:val="single" w:sz="8" w:color="CCEEFF"/>
            </w:tcBorders>
            <w:shd w:val="clear" w:color="auto" w:fill="CCEEFF"/>
          </w:tcPr>
          <w:p>
            <w:pPr>
              <w:jc w:val="right"/>
              <w:ind w:right="291"/>
              <w:spacing w:after="0" w:line="175" w:lineRule="exact"/>
              <w:rPr>
                <w:sz w:val="20"/>
                <w:szCs w:val="20"/>
                <w:color w:val="auto"/>
              </w:rPr>
            </w:pPr>
            <w:r>
              <w:rPr>
                <w:rFonts w:ascii="Times New Roman" w:cs="Times New Roman" w:eastAsia="Times New Roman" w:hAnsi="Times New Roman"/>
                <w:sz w:val="18"/>
                <w:szCs w:val="18"/>
                <w:color w:val="auto"/>
              </w:rPr>
              <w:t>10.2</w:t>
            </w:r>
          </w:p>
        </w:tc>
        <w:tc>
          <w:tcPr>
            <w:tcW w:w="2020" w:type="dxa"/>
            <w:vAlign w:val="bottom"/>
            <w:tcBorders>
              <w:bottom w:val="single" w:sz="8" w:color="CCEEFF"/>
            </w:tcBorders>
            <w:shd w:val="clear" w:color="auto" w:fill="CCEEFF"/>
          </w:tcPr>
          <w:p>
            <w:pPr>
              <w:jc w:val="center"/>
              <w:ind w:right="11"/>
              <w:spacing w:after="0" w:line="175" w:lineRule="exact"/>
              <w:rPr>
                <w:sz w:val="20"/>
                <w:szCs w:val="20"/>
                <w:color w:val="auto"/>
              </w:rPr>
            </w:pPr>
            <w:r>
              <w:rPr>
                <w:rFonts w:ascii="Times New Roman" w:cs="Times New Roman" w:eastAsia="Times New Roman" w:hAnsi="Times New Roman"/>
                <w:sz w:val="18"/>
                <w:szCs w:val="18"/>
                <w:color w:val="auto"/>
                <w:w w:val="99"/>
              </w:rPr>
              <w:t>June 13, 2024</w:t>
            </w:r>
          </w:p>
        </w:tc>
      </w:tr>
      <w:tr>
        <w:trPr>
          <w:trHeight w:val="215"/>
        </w:trPr>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360" w:type="dxa"/>
            <w:vAlign w:val="bottom"/>
            <w:gridSpan w:val="20"/>
            <w:shd w:val="clear" w:color="auto" w:fill="CCEEFF"/>
          </w:tcPr>
          <w:p>
            <w:pPr>
              <w:ind w:left="200"/>
              <w:spacing w:after="0" w:line="195"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dated June 12, 2024.</w:t>
              </w:r>
            </w:hyperlink>
          </w:p>
        </w:tc>
        <w:tc>
          <w:tcPr>
            <w:tcW w:w="8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r>
      <w:tr>
        <w:trPr>
          <w:trHeight w:val="215"/>
        </w:trPr>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580" w:type="dxa"/>
            <w:vAlign w:val="bottom"/>
            <w:tcBorders>
              <w:top w:val="single" w:sz="8" w:color="0000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r>
      <w:tr>
        <w:trPr>
          <w:trHeight w:val="174"/>
        </w:trPr>
        <w:tc>
          <w:tcPr>
            <w:tcW w:w="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0000FF"/>
            </w:tcBorders>
            <w:gridSpan w:val="2"/>
            <w:shd w:val="clear" w:color="auto" w:fill="CCEEFF"/>
          </w:tcPr>
          <w:p>
            <w:pPr>
              <w:spacing w:after="0" w:line="175" w:lineRule="exact"/>
              <w:rPr>
                <w:rFonts w:ascii="Times New Roman" w:cs="Times New Roman" w:eastAsia="Times New Roman" w:hAnsi="Times New Roman"/>
                <w:sz w:val="18"/>
                <w:szCs w:val="18"/>
                <w:color w:val="0000FF"/>
                <w:w w:val="93"/>
              </w:rPr>
            </w:pPr>
            <w:hyperlink r:id="rId137">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11</w:t>
              </w:r>
            </w:hyperlink>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5060" w:type="dxa"/>
            <w:vAlign w:val="bottom"/>
            <w:tcBorders>
              <w:bottom w:val="single" w:sz="8" w:color="0000FF"/>
            </w:tcBorders>
            <w:gridSpan w:val="15"/>
            <w:shd w:val="clear" w:color="auto" w:fill="CCEEFF"/>
          </w:tcPr>
          <w:p>
            <w:pPr>
              <w:spacing w:after="0" w:line="175" w:lineRule="exact"/>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Securities Purchase Agreement for Unregistered Pre-Funded Warrant,</w:t>
              </w:r>
            </w:hyperlink>
          </w:p>
        </w:tc>
        <w:tc>
          <w:tcPr>
            <w:tcW w:w="100" w:type="dxa"/>
            <w:vAlign w:val="bottom"/>
            <w:tcBorders>
              <w:bottom w:val="single" w:sz="8" w:color="CCEEFF"/>
            </w:tcBorders>
            <w:gridSpan w:val="4"/>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ind w:left="340"/>
              <w:spacing w:after="0" w:line="175" w:lineRule="exact"/>
              <w:rPr>
                <w:sz w:val="20"/>
                <w:szCs w:val="20"/>
                <w:color w:val="auto"/>
              </w:rPr>
            </w:pPr>
            <w:r>
              <w:rPr>
                <w:rFonts w:ascii="Times New Roman" w:cs="Times New Roman" w:eastAsia="Times New Roman" w:hAnsi="Times New Roman"/>
                <w:sz w:val="18"/>
                <w:szCs w:val="18"/>
                <w:color w:val="auto"/>
              </w:rPr>
              <w:t>8-K</w:t>
            </w:r>
          </w:p>
        </w:tc>
        <w:tc>
          <w:tcPr>
            <w:tcW w:w="1240" w:type="dxa"/>
            <w:vAlign w:val="bottom"/>
            <w:tcBorders>
              <w:bottom w:val="single" w:sz="8" w:color="CCEEFF"/>
            </w:tcBorders>
            <w:shd w:val="clear" w:color="auto" w:fill="CCEEFF"/>
          </w:tcPr>
          <w:p>
            <w:pPr>
              <w:jc w:val="right"/>
              <w:ind w:right="131"/>
              <w:spacing w:after="0" w:line="175" w:lineRule="exact"/>
              <w:rPr>
                <w:sz w:val="20"/>
                <w:szCs w:val="20"/>
                <w:color w:val="auto"/>
              </w:rPr>
            </w:pPr>
            <w:r>
              <w:rPr>
                <w:rFonts w:ascii="Times New Roman" w:cs="Times New Roman" w:eastAsia="Times New Roman" w:hAnsi="Times New Roman"/>
                <w:sz w:val="18"/>
                <w:szCs w:val="18"/>
                <w:color w:val="auto"/>
              </w:rPr>
              <w:t>001-34600</w:t>
            </w:r>
          </w:p>
        </w:tc>
        <w:tc>
          <w:tcPr>
            <w:tcW w:w="920" w:type="dxa"/>
            <w:vAlign w:val="bottom"/>
            <w:tcBorders>
              <w:bottom w:val="single" w:sz="8" w:color="CCEEFF"/>
            </w:tcBorders>
            <w:shd w:val="clear" w:color="auto" w:fill="CCEEFF"/>
          </w:tcPr>
          <w:p>
            <w:pPr>
              <w:jc w:val="right"/>
              <w:ind w:right="291"/>
              <w:spacing w:after="0" w:line="175" w:lineRule="exact"/>
              <w:rPr>
                <w:sz w:val="20"/>
                <w:szCs w:val="20"/>
                <w:color w:val="auto"/>
              </w:rPr>
            </w:pPr>
            <w:r>
              <w:rPr>
                <w:rFonts w:ascii="Times New Roman" w:cs="Times New Roman" w:eastAsia="Times New Roman" w:hAnsi="Times New Roman"/>
                <w:sz w:val="18"/>
                <w:szCs w:val="18"/>
                <w:color w:val="auto"/>
              </w:rPr>
              <w:t>10.1</w:t>
            </w:r>
          </w:p>
        </w:tc>
        <w:tc>
          <w:tcPr>
            <w:tcW w:w="2020" w:type="dxa"/>
            <w:vAlign w:val="bottom"/>
            <w:tcBorders>
              <w:bottom w:val="single" w:sz="8" w:color="CCEEFF"/>
            </w:tcBorders>
            <w:shd w:val="clear" w:color="auto" w:fill="CCEEFF"/>
          </w:tcPr>
          <w:p>
            <w:pPr>
              <w:jc w:val="center"/>
              <w:ind w:right="11"/>
              <w:spacing w:after="0" w:line="175" w:lineRule="exact"/>
              <w:rPr>
                <w:sz w:val="20"/>
                <w:szCs w:val="20"/>
                <w:color w:val="auto"/>
              </w:rPr>
            </w:pPr>
            <w:r>
              <w:rPr>
                <w:rFonts w:ascii="Times New Roman" w:cs="Times New Roman" w:eastAsia="Times New Roman" w:hAnsi="Times New Roman"/>
                <w:sz w:val="18"/>
                <w:szCs w:val="18"/>
                <w:color w:val="auto"/>
                <w:w w:val="99"/>
              </w:rPr>
              <w:t>July 8, 2021</w:t>
            </w:r>
          </w:p>
        </w:tc>
      </w:tr>
      <w:tr>
        <w:trPr>
          <w:trHeight w:val="195"/>
        </w:trPr>
        <w:tc>
          <w:tcPr>
            <w:tcW w:w="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5040" w:type="dxa"/>
            <w:vAlign w:val="bottom"/>
            <w:tcBorders>
              <w:bottom w:val="single" w:sz="8" w:color="0000FF"/>
            </w:tcBorders>
            <w:gridSpan w:val="14"/>
            <w:shd w:val="clear" w:color="auto" w:fill="CCEEFF"/>
          </w:tcPr>
          <w:p>
            <w:pPr>
              <w:spacing w:after="0" w:line="195" w:lineRule="exact"/>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dated as of July 6, 2021 by and between Tenax Therapeutics, Inc. and</w:t>
              </w:r>
            </w:hyperlink>
          </w:p>
        </w:tc>
        <w:tc>
          <w:tcPr>
            <w:tcW w:w="120" w:type="dxa"/>
            <w:vAlign w:val="bottom"/>
            <w:tcBorders>
              <w:bottom w:val="single" w:sz="8" w:color="CCEEFF"/>
            </w:tcBorders>
            <w:gridSpan w:val="5"/>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2020" w:type="dxa"/>
            <w:vAlign w:val="bottom"/>
            <w:tcBorders>
              <w:bottom w:val="single" w:sz="8" w:color="CCEEFF"/>
            </w:tcBorders>
            <w:shd w:val="clear" w:color="auto" w:fill="CCEEFF"/>
          </w:tcPr>
          <w:p>
            <w:pPr>
              <w:spacing w:after="0"/>
              <w:rPr>
                <w:sz w:val="16"/>
                <w:szCs w:val="16"/>
                <w:color w:val="auto"/>
              </w:rPr>
            </w:pPr>
          </w:p>
        </w:tc>
      </w:tr>
      <w:tr>
        <w:trPr>
          <w:trHeight w:val="215"/>
        </w:trPr>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360" w:type="dxa"/>
            <w:vAlign w:val="bottom"/>
            <w:gridSpan w:val="20"/>
            <w:shd w:val="clear" w:color="auto" w:fill="CCEEFF"/>
          </w:tcPr>
          <w:p>
            <w:pPr>
              <w:ind w:left="200"/>
              <w:spacing w:after="0" w:line="195"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the Investor.</w:t>
              </w:r>
            </w:hyperlink>
          </w:p>
        </w:tc>
        <w:tc>
          <w:tcPr>
            <w:tcW w:w="8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r>
      <w:tr>
        <w:trPr>
          <w:trHeight w:val="215"/>
        </w:trPr>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r>
      <w:tr>
        <w:trPr>
          <w:trHeight w:val="174"/>
        </w:trPr>
        <w:tc>
          <w:tcPr>
            <w:tcW w:w="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0000FF"/>
            </w:tcBorders>
            <w:gridSpan w:val="2"/>
            <w:shd w:val="clear" w:color="auto" w:fill="CCEEFF"/>
          </w:tcPr>
          <w:p>
            <w:pPr>
              <w:spacing w:after="0" w:line="175" w:lineRule="exact"/>
              <w:rPr>
                <w:rFonts w:ascii="Times New Roman" w:cs="Times New Roman" w:eastAsia="Times New Roman" w:hAnsi="Times New Roman"/>
                <w:sz w:val="18"/>
                <w:szCs w:val="18"/>
                <w:color w:val="0000FF"/>
                <w:w w:val="93"/>
              </w:rPr>
            </w:pPr>
            <w:hyperlink r:id="rId138">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12</w:t>
              </w:r>
            </w:hyperlink>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4900" w:type="dxa"/>
            <w:vAlign w:val="bottom"/>
            <w:tcBorders>
              <w:bottom w:val="single" w:sz="8" w:color="0000FF"/>
            </w:tcBorders>
            <w:gridSpan w:val="11"/>
            <w:shd w:val="clear" w:color="auto" w:fill="CCEEFF"/>
          </w:tcPr>
          <w:p>
            <w:pPr>
              <w:spacing w:after="0" w:line="175"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Registration Rights Agreement, dated July 6, 2021, by and between</w:t>
              </w:r>
            </w:hyperlink>
          </w:p>
        </w:tc>
        <w:tc>
          <w:tcPr>
            <w:tcW w:w="260" w:type="dxa"/>
            <w:vAlign w:val="bottom"/>
            <w:tcBorders>
              <w:bottom w:val="single" w:sz="8" w:color="CCEEFF"/>
            </w:tcBorders>
            <w:gridSpan w:val="8"/>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ind w:left="340"/>
              <w:spacing w:after="0" w:line="175" w:lineRule="exact"/>
              <w:rPr>
                <w:sz w:val="20"/>
                <w:szCs w:val="20"/>
                <w:color w:val="auto"/>
              </w:rPr>
            </w:pPr>
            <w:r>
              <w:rPr>
                <w:rFonts w:ascii="Times New Roman" w:cs="Times New Roman" w:eastAsia="Times New Roman" w:hAnsi="Times New Roman"/>
                <w:sz w:val="18"/>
                <w:szCs w:val="18"/>
                <w:color w:val="auto"/>
              </w:rPr>
              <w:t>8-K</w:t>
            </w:r>
          </w:p>
        </w:tc>
        <w:tc>
          <w:tcPr>
            <w:tcW w:w="1240" w:type="dxa"/>
            <w:vAlign w:val="bottom"/>
            <w:tcBorders>
              <w:bottom w:val="single" w:sz="8" w:color="CCEEFF"/>
            </w:tcBorders>
            <w:shd w:val="clear" w:color="auto" w:fill="CCEEFF"/>
          </w:tcPr>
          <w:p>
            <w:pPr>
              <w:jc w:val="right"/>
              <w:ind w:right="131"/>
              <w:spacing w:after="0" w:line="175" w:lineRule="exact"/>
              <w:rPr>
                <w:sz w:val="20"/>
                <w:szCs w:val="20"/>
                <w:color w:val="auto"/>
              </w:rPr>
            </w:pPr>
            <w:r>
              <w:rPr>
                <w:rFonts w:ascii="Times New Roman" w:cs="Times New Roman" w:eastAsia="Times New Roman" w:hAnsi="Times New Roman"/>
                <w:sz w:val="18"/>
                <w:szCs w:val="18"/>
                <w:color w:val="auto"/>
              </w:rPr>
              <w:t>001-34600</w:t>
            </w:r>
          </w:p>
        </w:tc>
        <w:tc>
          <w:tcPr>
            <w:tcW w:w="920" w:type="dxa"/>
            <w:vAlign w:val="bottom"/>
            <w:tcBorders>
              <w:bottom w:val="single" w:sz="8" w:color="CCEEFF"/>
            </w:tcBorders>
            <w:shd w:val="clear" w:color="auto" w:fill="CCEEFF"/>
          </w:tcPr>
          <w:p>
            <w:pPr>
              <w:jc w:val="right"/>
              <w:ind w:right="291"/>
              <w:spacing w:after="0" w:line="175" w:lineRule="exact"/>
              <w:rPr>
                <w:sz w:val="20"/>
                <w:szCs w:val="20"/>
                <w:color w:val="auto"/>
              </w:rPr>
            </w:pPr>
            <w:r>
              <w:rPr>
                <w:rFonts w:ascii="Times New Roman" w:cs="Times New Roman" w:eastAsia="Times New Roman" w:hAnsi="Times New Roman"/>
                <w:sz w:val="18"/>
                <w:szCs w:val="18"/>
                <w:color w:val="auto"/>
              </w:rPr>
              <w:t>10.2</w:t>
            </w:r>
          </w:p>
        </w:tc>
        <w:tc>
          <w:tcPr>
            <w:tcW w:w="2020" w:type="dxa"/>
            <w:vAlign w:val="bottom"/>
            <w:tcBorders>
              <w:bottom w:val="single" w:sz="8" w:color="CCEEFF"/>
            </w:tcBorders>
            <w:shd w:val="clear" w:color="auto" w:fill="CCEEFF"/>
          </w:tcPr>
          <w:p>
            <w:pPr>
              <w:jc w:val="center"/>
              <w:ind w:right="11"/>
              <w:spacing w:after="0" w:line="175" w:lineRule="exact"/>
              <w:rPr>
                <w:sz w:val="20"/>
                <w:szCs w:val="20"/>
                <w:color w:val="auto"/>
              </w:rPr>
            </w:pPr>
            <w:r>
              <w:rPr>
                <w:rFonts w:ascii="Times New Roman" w:cs="Times New Roman" w:eastAsia="Times New Roman" w:hAnsi="Times New Roman"/>
                <w:sz w:val="18"/>
                <w:szCs w:val="18"/>
                <w:color w:val="auto"/>
                <w:w w:val="99"/>
              </w:rPr>
              <w:t>July 8, 2021</w:t>
            </w:r>
          </w:p>
        </w:tc>
      </w:tr>
      <w:tr>
        <w:trPr>
          <w:trHeight w:val="215"/>
        </w:trPr>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360" w:type="dxa"/>
            <w:vAlign w:val="bottom"/>
            <w:gridSpan w:val="20"/>
            <w:shd w:val="clear" w:color="auto" w:fill="CCEEFF"/>
          </w:tcPr>
          <w:p>
            <w:pPr>
              <w:ind w:left="200"/>
              <w:spacing w:after="0" w:line="195"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Tenax Therapeutics, Inc. and the Investor.</w:t>
              </w:r>
            </w:hyperlink>
          </w:p>
        </w:tc>
        <w:tc>
          <w:tcPr>
            <w:tcW w:w="8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r>
      <w:tr>
        <w:trPr>
          <w:trHeight w:val="215"/>
        </w:trPr>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5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80" w:type="dxa"/>
            <w:vAlign w:val="bottom"/>
            <w:tcBorders>
              <w:top w:val="single" w:sz="8" w:color="0000FF"/>
            </w:tcBorders>
          </w:tcPr>
          <w:p>
            <w:pPr>
              <w:spacing w:after="0"/>
              <w:rPr>
                <w:sz w:val="18"/>
                <w:szCs w:val="18"/>
                <w:color w:val="auto"/>
              </w:rPr>
            </w:pPr>
          </w:p>
        </w:tc>
        <w:tc>
          <w:tcPr>
            <w:tcW w:w="82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r>
      <w:tr>
        <w:trPr>
          <w:trHeight w:val="174"/>
        </w:trPr>
        <w:tc>
          <w:tcPr>
            <w:tcW w:w="20" w:type="dxa"/>
            <w:vAlign w:val="bottom"/>
            <w:shd w:val="clear" w:color="auto" w:fill="CCEEFF"/>
          </w:tcPr>
          <w:p>
            <w:pPr>
              <w:spacing w:after="0"/>
              <w:rPr>
                <w:sz w:val="15"/>
                <w:szCs w:val="15"/>
                <w:color w:val="auto"/>
              </w:rPr>
            </w:pPr>
          </w:p>
        </w:tc>
        <w:tc>
          <w:tcPr>
            <w:tcW w:w="640" w:type="dxa"/>
            <w:vAlign w:val="bottom"/>
            <w:gridSpan w:val="5"/>
            <w:shd w:val="clear" w:color="auto" w:fill="CCEEFF"/>
          </w:tcPr>
          <w:p>
            <w:pPr>
              <w:spacing w:after="0" w:line="175"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13+</w:t>
              </w:r>
            </w:hyperlink>
          </w:p>
        </w:tc>
        <w:tc>
          <w:tcPr>
            <w:tcW w:w="200" w:type="dxa"/>
            <w:vAlign w:val="bottom"/>
            <w:shd w:val="clear" w:color="auto" w:fill="CCEEFF"/>
          </w:tcPr>
          <w:p>
            <w:pPr>
              <w:spacing w:after="0"/>
              <w:rPr>
                <w:sz w:val="15"/>
                <w:szCs w:val="15"/>
                <w:color w:val="auto"/>
              </w:rPr>
            </w:pPr>
          </w:p>
        </w:tc>
        <w:tc>
          <w:tcPr>
            <w:tcW w:w="5360" w:type="dxa"/>
            <w:vAlign w:val="bottom"/>
            <w:gridSpan w:val="20"/>
            <w:shd w:val="clear" w:color="auto" w:fill="CCEEFF"/>
          </w:tcPr>
          <w:p>
            <w:pPr>
              <w:ind w:left="200"/>
              <w:spacing w:after="0" w:line="175"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Executive Employment Agreement dated July 6, 2021, by and between</w:t>
              </w:r>
            </w:hyperlink>
          </w:p>
        </w:tc>
        <w:tc>
          <w:tcPr>
            <w:tcW w:w="840" w:type="dxa"/>
            <w:vAlign w:val="bottom"/>
            <w:shd w:val="clear" w:color="auto" w:fill="CCEEFF"/>
          </w:tcPr>
          <w:p>
            <w:pPr>
              <w:ind w:left="340"/>
              <w:spacing w:after="0" w:line="175" w:lineRule="exact"/>
              <w:rPr>
                <w:sz w:val="20"/>
                <w:szCs w:val="20"/>
                <w:color w:val="auto"/>
              </w:rPr>
            </w:pPr>
            <w:r>
              <w:rPr>
                <w:rFonts w:ascii="Times New Roman" w:cs="Times New Roman" w:eastAsia="Times New Roman" w:hAnsi="Times New Roman"/>
                <w:sz w:val="18"/>
                <w:szCs w:val="18"/>
                <w:color w:val="auto"/>
              </w:rPr>
              <w:t>8-K</w:t>
            </w:r>
          </w:p>
        </w:tc>
        <w:tc>
          <w:tcPr>
            <w:tcW w:w="1240" w:type="dxa"/>
            <w:vAlign w:val="bottom"/>
            <w:shd w:val="clear" w:color="auto" w:fill="CCEEFF"/>
          </w:tcPr>
          <w:p>
            <w:pPr>
              <w:jc w:val="right"/>
              <w:ind w:right="131"/>
              <w:spacing w:after="0" w:line="175" w:lineRule="exact"/>
              <w:rPr>
                <w:sz w:val="20"/>
                <w:szCs w:val="20"/>
                <w:color w:val="auto"/>
              </w:rPr>
            </w:pPr>
            <w:r>
              <w:rPr>
                <w:rFonts w:ascii="Times New Roman" w:cs="Times New Roman" w:eastAsia="Times New Roman" w:hAnsi="Times New Roman"/>
                <w:sz w:val="18"/>
                <w:szCs w:val="18"/>
                <w:color w:val="auto"/>
              </w:rPr>
              <w:t>001-34600</w:t>
            </w:r>
          </w:p>
        </w:tc>
        <w:tc>
          <w:tcPr>
            <w:tcW w:w="920" w:type="dxa"/>
            <w:vAlign w:val="bottom"/>
            <w:shd w:val="clear" w:color="auto" w:fill="CCEEFF"/>
          </w:tcPr>
          <w:p>
            <w:pPr>
              <w:jc w:val="right"/>
              <w:ind w:right="291"/>
              <w:spacing w:after="0" w:line="175" w:lineRule="exact"/>
              <w:rPr>
                <w:sz w:val="20"/>
                <w:szCs w:val="20"/>
                <w:color w:val="auto"/>
              </w:rPr>
            </w:pPr>
            <w:r>
              <w:rPr>
                <w:rFonts w:ascii="Times New Roman" w:cs="Times New Roman" w:eastAsia="Times New Roman" w:hAnsi="Times New Roman"/>
                <w:sz w:val="18"/>
                <w:szCs w:val="18"/>
                <w:color w:val="auto"/>
              </w:rPr>
              <w:t>10.4</w:t>
            </w:r>
          </w:p>
        </w:tc>
        <w:tc>
          <w:tcPr>
            <w:tcW w:w="2020" w:type="dxa"/>
            <w:vAlign w:val="bottom"/>
            <w:shd w:val="clear" w:color="auto" w:fill="CCEEFF"/>
          </w:tcPr>
          <w:p>
            <w:pPr>
              <w:jc w:val="center"/>
              <w:ind w:right="11"/>
              <w:spacing w:after="0" w:line="175" w:lineRule="exact"/>
              <w:rPr>
                <w:sz w:val="20"/>
                <w:szCs w:val="20"/>
                <w:color w:val="auto"/>
              </w:rPr>
            </w:pPr>
            <w:r>
              <w:rPr>
                <w:rFonts w:ascii="Times New Roman" w:cs="Times New Roman" w:eastAsia="Times New Roman" w:hAnsi="Times New Roman"/>
                <w:sz w:val="18"/>
                <w:szCs w:val="18"/>
                <w:color w:val="auto"/>
                <w:w w:val="99"/>
              </w:rPr>
              <w:t>July 8, 2021</w:t>
            </w:r>
          </w:p>
        </w:tc>
      </w:tr>
      <w:tr>
        <w:trPr>
          <w:trHeight w:val="215"/>
        </w:trPr>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60" w:type="dxa"/>
            <w:vAlign w:val="bottom"/>
            <w:tcBorders>
              <w:top w:val="single" w:sz="8" w:color="0000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140" w:type="dxa"/>
            <w:vAlign w:val="bottom"/>
            <w:tcBorders>
              <w:top w:val="single" w:sz="8" w:color="0000FF"/>
            </w:tcBorders>
            <w:gridSpan w:val="18"/>
            <w:shd w:val="clear" w:color="auto" w:fill="CCEEFF"/>
          </w:tcPr>
          <w:p>
            <w:pPr>
              <w:spacing w:after="0" w:line="195"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Tenax Therapeutics, Inc. and Christopher T. Giordano.</w:t>
              </w:r>
            </w:hyperlink>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CCEEFF"/>
            </w:tcBorders>
            <w:shd w:val="clear" w:color="auto" w:fill="CCEEFF"/>
          </w:tcPr>
          <w:p>
            <w:pPr>
              <w:spacing w:after="0"/>
              <w:rPr>
                <w:sz w:val="18"/>
                <w:szCs w:val="18"/>
                <w:color w:val="auto"/>
              </w:rPr>
            </w:pPr>
          </w:p>
        </w:tc>
      </w:tr>
      <w:tr>
        <w:trPr>
          <w:trHeight w:val="215"/>
        </w:trPr>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5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80" w:type="dxa"/>
            <w:vAlign w:val="bottom"/>
            <w:tcBorders>
              <w:top w:val="single" w:sz="8" w:color="0000FF"/>
            </w:tcBorders>
          </w:tcPr>
          <w:p>
            <w:pPr>
              <w:spacing w:after="0"/>
              <w:rPr>
                <w:sz w:val="18"/>
                <w:szCs w:val="18"/>
                <w:color w:val="auto"/>
              </w:rPr>
            </w:pPr>
          </w:p>
        </w:tc>
        <w:tc>
          <w:tcPr>
            <w:tcW w:w="82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920" w:type="dxa"/>
            <w:vAlign w:val="bottom"/>
            <w:tcBorders>
              <w:top w:val="single" w:sz="8" w:color="0000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r>
      <w:tr>
        <w:trPr>
          <w:trHeight w:val="174"/>
        </w:trPr>
        <w:tc>
          <w:tcPr>
            <w:tcW w:w="20" w:type="dxa"/>
            <w:vAlign w:val="bottom"/>
            <w:shd w:val="clear" w:color="auto" w:fill="CCEEFF"/>
          </w:tcPr>
          <w:p>
            <w:pPr>
              <w:spacing w:after="0"/>
              <w:rPr>
                <w:sz w:val="15"/>
                <w:szCs w:val="15"/>
                <w:color w:val="auto"/>
              </w:rPr>
            </w:pPr>
          </w:p>
        </w:tc>
        <w:tc>
          <w:tcPr>
            <w:tcW w:w="640" w:type="dxa"/>
            <w:vAlign w:val="bottom"/>
            <w:gridSpan w:val="5"/>
            <w:shd w:val="clear" w:color="auto" w:fill="CCEEFF"/>
          </w:tcPr>
          <w:p>
            <w:pPr>
              <w:spacing w:after="0" w:line="175"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14+</w:t>
              </w:r>
            </w:hyperlink>
          </w:p>
        </w:tc>
        <w:tc>
          <w:tcPr>
            <w:tcW w:w="200" w:type="dxa"/>
            <w:vAlign w:val="bottom"/>
            <w:shd w:val="clear" w:color="auto" w:fill="CCEEFF"/>
          </w:tcPr>
          <w:p>
            <w:pPr>
              <w:spacing w:after="0"/>
              <w:rPr>
                <w:sz w:val="15"/>
                <w:szCs w:val="15"/>
                <w:color w:val="auto"/>
              </w:rPr>
            </w:pPr>
          </w:p>
        </w:tc>
        <w:tc>
          <w:tcPr>
            <w:tcW w:w="5360" w:type="dxa"/>
            <w:vAlign w:val="bottom"/>
            <w:gridSpan w:val="20"/>
            <w:shd w:val="clear" w:color="auto" w:fill="CCEEFF"/>
          </w:tcPr>
          <w:p>
            <w:pPr>
              <w:ind w:left="200"/>
              <w:spacing w:after="0" w:line="175"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Plan for Employee Inducement Stock Options adopted July 6, 2021</w:t>
              </w:r>
            </w:hyperlink>
          </w:p>
        </w:tc>
        <w:tc>
          <w:tcPr>
            <w:tcW w:w="840" w:type="dxa"/>
            <w:vAlign w:val="bottom"/>
            <w:shd w:val="clear" w:color="auto" w:fill="CCEEFF"/>
          </w:tcPr>
          <w:p>
            <w:pPr>
              <w:ind w:left="340"/>
              <w:spacing w:after="0" w:line="175" w:lineRule="exact"/>
              <w:rPr>
                <w:sz w:val="20"/>
                <w:szCs w:val="20"/>
                <w:color w:val="auto"/>
              </w:rPr>
            </w:pPr>
            <w:r>
              <w:rPr>
                <w:rFonts w:ascii="Times New Roman" w:cs="Times New Roman" w:eastAsia="Times New Roman" w:hAnsi="Times New Roman"/>
                <w:sz w:val="18"/>
                <w:szCs w:val="18"/>
                <w:color w:val="auto"/>
              </w:rPr>
              <w:t>8-K</w:t>
            </w:r>
          </w:p>
        </w:tc>
        <w:tc>
          <w:tcPr>
            <w:tcW w:w="1240" w:type="dxa"/>
            <w:vAlign w:val="bottom"/>
            <w:shd w:val="clear" w:color="auto" w:fill="CCEEFF"/>
          </w:tcPr>
          <w:p>
            <w:pPr>
              <w:jc w:val="right"/>
              <w:ind w:right="131"/>
              <w:spacing w:after="0" w:line="175" w:lineRule="exact"/>
              <w:rPr>
                <w:sz w:val="20"/>
                <w:szCs w:val="20"/>
                <w:color w:val="auto"/>
              </w:rPr>
            </w:pPr>
            <w:r>
              <w:rPr>
                <w:rFonts w:ascii="Times New Roman" w:cs="Times New Roman" w:eastAsia="Times New Roman" w:hAnsi="Times New Roman"/>
                <w:sz w:val="18"/>
                <w:szCs w:val="18"/>
                <w:color w:val="auto"/>
              </w:rPr>
              <w:t>001-34600</w:t>
            </w:r>
          </w:p>
        </w:tc>
        <w:tc>
          <w:tcPr>
            <w:tcW w:w="920" w:type="dxa"/>
            <w:vAlign w:val="bottom"/>
            <w:shd w:val="clear" w:color="auto" w:fill="CCEEFF"/>
          </w:tcPr>
          <w:p>
            <w:pPr>
              <w:jc w:val="right"/>
              <w:ind w:right="291"/>
              <w:spacing w:after="0" w:line="175" w:lineRule="exact"/>
              <w:rPr>
                <w:sz w:val="20"/>
                <w:szCs w:val="20"/>
                <w:color w:val="auto"/>
              </w:rPr>
            </w:pPr>
            <w:r>
              <w:rPr>
                <w:rFonts w:ascii="Times New Roman" w:cs="Times New Roman" w:eastAsia="Times New Roman" w:hAnsi="Times New Roman"/>
                <w:sz w:val="18"/>
                <w:szCs w:val="18"/>
                <w:color w:val="auto"/>
              </w:rPr>
              <w:t>10.5</w:t>
            </w:r>
          </w:p>
        </w:tc>
        <w:tc>
          <w:tcPr>
            <w:tcW w:w="2020" w:type="dxa"/>
            <w:vAlign w:val="bottom"/>
            <w:shd w:val="clear" w:color="auto" w:fill="CCEEFF"/>
          </w:tcPr>
          <w:p>
            <w:pPr>
              <w:jc w:val="center"/>
              <w:ind w:right="11"/>
              <w:spacing w:after="0" w:line="175" w:lineRule="exact"/>
              <w:rPr>
                <w:sz w:val="20"/>
                <w:szCs w:val="20"/>
                <w:color w:val="auto"/>
              </w:rPr>
            </w:pPr>
            <w:r>
              <w:rPr>
                <w:rFonts w:ascii="Times New Roman" w:cs="Times New Roman" w:eastAsia="Times New Roman" w:hAnsi="Times New Roman"/>
                <w:sz w:val="18"/>
                <w:szCs w:val="18"/>
                <w:color w:val="auto"/>
                <w:w w:val="99"/>
              </w:rPr>
              <w:t>July 8, 2021</w:t>
            </w:r>
          </w:p>
        </w:tc>
      </w:tr>
      <w:tr>
        <w:trPr>
          <w:trHeight w:val="215"/>
        </w:trPr>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60" w:type="dxa"/>
            <w:vAlign w:val="bottom"/>
            <w:tcBorders>
              <w:top w:val="single" w:sz="8" w:color="0000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880" w:type="dxa"/>
            <w:vAlign w:val="bottom"/>
            <w:tcBorders>
              <w:top w:val="single" w:sz="8" w:color="0000FF"/>
            </w:tcBorders>
            <w:gridSpan w:val="10"/>
            <w:shd w:val="clear" w:color="auto" w:fill="CCEEFF"/>
          </w:tcPr>
          <w:p>
            <w:pPr>
              <w:spacing w:after="0" w:line="195"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with Form of Stock Option Agreement.</w:t>
              </w:r>
            </w:hyperlink>
          </w:p>
        </w:tc>
        <w:tc>
          <w:tcPr>
            <w:tcW w:w="280" w:type="dxa"/>
            <w:vAlign w:val="bottom"/>
            <w:tcBorders>
              <w:top w:val="single" w:sz="8" w:color="CCEEFF"/>
            </w:tcBorders>
            <w:gridSpan w:val="9"/>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CCEEFF"/>
            </w:tcBorders>
            <w:shd w:val="clear" w:color="auto" w:fill="CCEEFF"/>
          </w:tcPr>
          <w:p>
            <w:pPr>
              <w:spacing w:after="0"/>
              <w:rPr>
                <w:sz w:val="18"/>
                <w:szCs w:val="18"/>
                <w:color w:val="auto"/>
              </w:rPr>
            </w:pPr>
          </w:p>
        </w:tc>
      </w:tr>
      <w:tr>
        <w:trPr>
          <w:trHeight w:val="859"/>
        </w:trPr>
        <w:tc>
          <w:tcPr>
            <w:tcW w:w="2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820" w:type="dxa"/>
            <w:vAlign w:val="bottom"/>
            <w:tcBorders>
              <w:top w:val="single" w:sz="8" w:color="0000FF"/>
            </w:tcBorders>
            <w:gridSpan w:val="6"/>
          </w:tcPr>
          <w:p>
            <w:pPr>
              <w:spacing w:after="0"/>
              <w:rPr>
                <w:sz w:val="24"/>
                <w:szCs w:val="24"/>
                <w:color w:val="auto"/>
              </w:rPr>
            </w:pPr>
          </w:p>
        </w:tc>
        <w:tc>
          <w:tcPr>
            <w:tcW w:w="2060" w:type="dxa"/>
            <w:vAlign w:val="bottom"/>
            <w:tcBorders>
              <w:top w:val="single" w:sz="8" w:color="CCEEFF"/>
            </w:tcBorders>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1240" w:type="dxa"/>
            <w:vAlign w:val="bottom"/>
            <w:tcBorders>
              <w:top w:val="single" w:sz="8" w:color="CCEEFF"/>
            </w:tcBorders>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2020" w:type="dxa"/>
            <w:vAlign w:val="bottom"/>
            <w:tcBorders>
              <w:top w:val="single" w:sz="8" w:color="CCEEFF"/>
            </w:tcBorders>
          </w:tcPr>
          <w:p>
            <w:pPr>
              <w:spacing w:after="0"/>
              <w:rPr>
                <w:sz w:val="24"/>
                <w:szCs w:val="24"/>
                <w:color w:val="auto"/>
              </w:rPr>
            </w:pPr>
          </w:p>
        </w:tc>
      </w:tr>
      <w:tr>
        <w:trPr>
          <w:trHeight w:val="758"/>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ectPr>
          <w:pgSz w:w="11900" w:h="16838" w:orient="portrait"/>
          <w:cols w:equalWidth="0" w:num="1">
            <w:col w:w="10900"/>
          </w:cols>
          <w:pgMar w:left="320" w:top="117"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
        <w:spacing w:after="0"/>
        <w:rPr>
          <w:rFonts w:ascii="Times New Roman" w:cs="Times New Roman" w:eastAsia="Times New Roman" w:hAnsi="Times New Roman"/>
          <w:sz w:val="17"/>
          <w:szCs w:val="17"/>
          <w:u w:val="single" w:color="auto"/>
          <w:color w:val="0000FF"/>
        </w:rPr>
      </w:pPr>
      <w:hyperlink r:id="rId143">
        <w:r>
          <w:rPr>
            <w:rFonts w:ascii="Times New Roman" w:cs="Times New Roman" w:eastAsia="Times New Roman" w:hAnsi="Times New Roman"/>
            <w:sz w:val="17"/>
            <w:szCs w:val="17"/>
            <w:u w:val="single" w:color="auto"/>
            <w:color w:val="0000FF"/>
          </w:rPr>
          <w:t>10.15 +*</w:t>
        </w:r>
      </w:hyperlink>
    </w:p>
    <w:p>
      <w:pPr>
        <w:spacing w:after="0" w:line="200" w:lineRule="exact"/>
        <w:rPr>
          <w:sz w:val="20"/>
          <w:szCs w:val="20"/>
          <w:color w:val="auto"/>
        </w:rPr>
      </w:pPr>
    </w:p>
    <w:p>
      <w:pPr>
        <w:spacing w:after="0" w:line="249"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44">
        <w:r>
          <w:rPr>
            <w:rFonts w:ascii="Times New Roman" w:cs="Times New Roman" w:eastAsia="Times New Roman" w:hAnsi="Times New Roman"/>
            <w:sz w:val="18"/>
            <w:szCs w:val="18"/>
            <w:u w:val="single" w:color="auto"/>
            <w:color w:val="0000FF"/>
          </w:rPr>
          <w:t>10.16</w:t>
        </w:r>
      </w:hyperlink>
    </w:p>
    <w:p>
      <w:pPr>
        <w:spacing w:after="0" w:line="200" w:lineRule="exact"/>
        <w:rPr>
          <w:sz w:val="20"/>
          <w:szCs w:val="20"/>
          <w:color w:val="auto"/>
        </w:rPr>
      </w:pPr>
    </w:p>
    <w:p>
      <w:pPr>
        <w:spacing w:after="0" w:line="237"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45">
        <w:r>
          <w:rPr>
            <w:rFonts w:ascii="Times New Roman" w:cs="Times New Roman" w:eastAsia="Times New Roman" w:hAnsi="Times New Roman"/>
            <w:sz w:val="18"/>
            <w:szCs w:val="18"/>
            <w:u w:val="single" w:color="auto"/>
            <w:color w:val="0000FF"/>
          </w:rPr>
          <w:t>10.17</w:t>
        </w:r>
      </w:hyperlink>
    </w:p>
    <w:p>
      <w:pPr>
        <w:spacing w:after="0" w:line="200" w:lineRule="exact"/>
        <w:rPr>
          <w:sz w:val="20"/>
          <w:szCs w:val="20"/>
          <w:color w:val="auto"/>
        </w:rPr>
      </w:pPr>
    </w:p>
    <w:p>
      <w:pPr>
        <w:spacing w:after="0" w:line="237"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46">
        <w:r>
          <w:rPr>
            <w:rFonts w:ascii="Times New Roman" w:cs="Times New Roman" w:eastAsia="Times New Roman" w:hAnsi="Times New Roman"/>
            <w:sz w:val="18"/>
            <w:szCs w:val="18"/>
            <w:u w:val="single" w:color="auto"/>
            <w:color w:val="0000FF"/>
          </w:rPr>
          <w:t>10.18+</w:t>
        </w:r>
      </w:hyperlink>
    </w:p>
    <w:p>
      <w:pPr>
        <w:spacing w:after="0" w:line="222" w:lineRule="exact"/>
        <w:rPr>
          <w:sz w:val="20"/>
          <w:szCs w:val="20"/>
          <w:color w:val="auto"/>
        </w:rPr>
      </w:pPr>
    </w:p>
    <w:p>
      <w:pPr>
        <w:ind w:left="20"/>
        <w:spacing w:after="0"/>
        <w:rPr>
          <w:rFonts w:ascii="Times New Roman" w:cs="Times New Roman" w:eastAsia="Times New Roman" w:hAnsi="Times New Roman"/>
          <w:sz w:val="17"/>
          <w:szCs w:val="17"/>
          <w:u w:val="single" w:color="auto"/>
          <w:color w:val="0000FF"/>
        </w:rPr>
      </w:pPr>
      <w:hyperlink r:id="rId147">
        <w:r>
          <w:rPr>
            <w:rFonts w:ascii="Times New Roman" w:cs="Times New Roman" w:eastAsia="Times New Roman" w:hAnsi="Times New Roman"/>
            <w:sz w:val="17"/>
            <w:szCs w:val="17"/>
            <w:u w:val="single" w:color="auto"/>
            <w:color w:val="0000FF"/>
          </w:rPr>
          <w:t>10.18.2+</w:t>
        </w:r>
      </w:hyperlink>
    </w:p>
    <w:p>
      <w:pPr>
        <w:spacing w:after="0" w:line="200" w:lineRule="exact"/>
        <w:rPr>
          <w:sz w:val="20"/>
          <w:szCs w:val="20"/>
          <w:color w:val="auto"/>
        </w:rPr>
      </w:pPr>
    </w:p>
    <w:p>
      <w:pPr>
        <w:spacing w:after="0" w:line="249" w:lineRule="exact"/>
        <w:rPr>
          <w:sz w:val="20"/>
          <w:szCs w:val="20"/>
          <w:color w:val="auto"/>
        </w:rPr>
      </w:pPr>
    </w:p>
    <w:p>
      <w:pPr>
        <w:ind w:left="20"/>
        <w:spacing w:after="0"/>
        <w:rPr>
          <w:rFonts w:ascii="Times New Roman" w:cs="Times New Roman" w:eastAsia="Times New Roman" w:hAnsi="Times New Roman"/>
          <w:sz w:val="17"/>
          <w:szCs w:val="17"/>
          <w:u w:val="single" w:color="auto"/>
          <w:color w:val="0000FF"/>
        </w:rPr>
      </w:pPr>
      <w:hyperlink r:id="rId148">
        <w:r>
          <w:rPr>
            <w:rFonts w:ascii="Times New Roman" w:cs="Times New Roman" w:eastAsia="Times New Roman" w:hAnsi="Times New Roman"/>
            <w:sz w:val="17"/>
            <w:szCs w:val="17"/>
            <w:u w:val="single" w:color="auto"/>
            <w:color w:val="0000FF"/>
          </w:rPr>
          <w:t>10.18.3+</w:t>
        </w:r>
      </w:hyperlink>
    </w:p>
    <w:p>
      <w:pPr>
        <w:spacing w:after="0" w:line="200" w:lineRule="exact"/>
        <w:rPr>
          <w:sz w:val="20"/>
          <w:szCs w:val="20"/>
          <w:color w:val="auto"/>
        </w:rPr>
      </w:pPr>
    </w:p>
    <w:p>
      <w:pPr>
        <w:spacing w:after="0" w:line="249" w:lineRule="exact"/>
        <w:rPr>
          <w:sz w:val="20"/>
          <w:szCs w:val="20"/>
          <w:color w:val="auto"/>
        </w:rPr>
      </w:pPr>
    </w:p>
    <w:p>
      <w:pPr>
        <w:ind w:left="20"/>
        <w:spacing w:after="0"/>
        <w:rPr>
          <w:rFonts w:ascii="Times New Roman" w:cs="Times New Roman" w:eastAsia="Times New Roman" w:hAnsi="Times New Roman"/>
          <w:sz w:val="17"/>
          <w:szCs w:val="17"/>
          <w:u w:val="single" w:color="auto"/>
          <w:color w:val="0000FF"/>
        </w:rPr>
      </w:pPr>
      <w:hyperlink r:id="rId149">
        <w:r>
          <w:rPr>
            <w:rFonts w:ascii="Times New Roman" w:cs="Times New Roman" w:eastAsia="Times New Roman" w:hAnsi="Times New Roman"/>
            <w:sz w:val="17"/>
            <w:szCs w:val="17"/>
            <w:u w:val="single" w:color="auto"/>
            <w:color w:val="0000FF"/>
          </w:rPr>
          <w:t>10.18.4+</w:t>
        </w:r>
      </w:hyperlink>
    </w:p>
    <w:p>
      <w:pPr>
        <w:spacing w:after="0" w:line="200" w:lineRule="exact"/>
        <w:rPr>
          <w:sz w:val="20"/>
          <w:szCs w:val="20"/>
          <w:color w:val="auto"/>
        </w:rPr>
      </w:pPr>
    </w:p>
    <w:p>
      <w:pPr>
        <w:spacing w:after="0" w:line="356"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50">
        <w:r>
          <w:rPr>
            <w:rFonts w:ascii="Times New Roman" w:cs="Times New Roman" w:eastAsia="Times New Roman" w:hAnsi="Times New Roman"/>
            <w:sz w:val="18"/>
            <w:szCs w:val="18"/>
            <w:u w:val="single" w:color="auto"/>
            <w:color w:val="0000FF"/>
          </w:rPr>
          <w:t>10.19</w:t>
        </w:r>
      </w:hyperlink>
    </w:p>
    <w:p>
      <w:pPr>
        <w:spacing w:after="0" w:line="200" w:lineRule="exact"/>
        <w:rPr>
          <w:sz w:val="20"/>
          <w:szCs w:val="20"/>
          <w:color w:val="auto"/>
        </w:rPr>
      </w:pPr>
    </w:p>
    <w:p>
      <w:pPr>
        <w:spacing w:after="0" w:line="345"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51">
        <w:r>
          <w:rPr>
            <w:rFonts w:ascii="Times New Roman" w:cs="Times New Roman" w:eastAsia="Times New Roman" w:hAnsi="Times New Roman"/>
            <w:sz w:val="18"/>
            <w:szCs w:val="18"/>
            <w:u w:val="single" w:color="auto"/>
            <w:color w:val="0000FF"/>
          </w:rPr>
          <w:t>10.20</w:t>
        </w:r>
      </w:hyperlink>
    </w:p>
    <w:p>
      <w:pPr>
        <w:spacing w:after="0" w:line="200" w:lineRule="exact"/>
        <w:rPr>
          <w:sz w:val="20"/>
          <w:szCs w:val="20"/>
          <w:color w:val="auto"/>
        </w:rPr>
      </w:pPr>
    </w:p>
    <w:p>
      <w:pPr>
        <w:spacing w:after="0" w:line="345"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52">
        <w:r>
          <w:rPr>
            <w:rFonts w:ascii="Times New Roman" w:cs="Times New Roman" w:eastAsia="Times New Roman" w:hAnsi="Times New Roman"/>
            <w:sz w:val="18"/>
            <w:szCs w:val="18"/>
            <w:u w:val="single" w:color="auto"/>
            <w:color w:val="0000FF"/>
          </w:rPr>
          <w:t>10.21</w:t>
        </w:r>
      </w:hyperlink>
    </w:p>
    <w:p>
      <w:pPr>
        <w:spacing w:after="0" w:line="200" w:lineRule="exact"/>
        <w:rPr>
          <w:sz w:val="20"/>
          <w:szCs w:val="20"/>
          <w:color w:val="auto"/>
        </w:rPr>
      </w:pPr>
    </w:p>
    <w:p>
      <w:pPr>
        <w:spacing w:after="0" w:line="237"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53">
        <w:r>
          <w:rPr>
            <w:rFonts w:ascii="Times New Roman" w:cs="Times New Roman" w:eastAsia="Times New Roman" w:hAnsi="Times New Roman"/>
            <w:sz w:val="18"/>
            <w:szCs w:val="18"/>
            <w:u w:val="single" w:color="auto"/>
            <w:color w:val="0000FF"/>
          </w:rPr>
          <w:t>10.22</w:t>
        </w:r>
      </w:hyperlink>
    </w:p>
    <w:p>
      <w:pPr>
        <w:spacing w:after="0" w:line="200" w:lineRule="exact"/>
        <w:rPr>
          <w:sz w:val="20"/>
          <w:szCs w:val="20"/>
          <w:color w:val="auto"/>
        </w:rPr>
      </w:pPr>
    </w:p>
    <w:p>
      <w:pPr>
        <w:spacing w:after="0" w:line="345"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54">
        <w:r>
          <w:rPr>
            <w:rFonts w:ascii="Times New Roman" w:cs="Times New Roman" w:eastAsia="Times New Roman" w:hAnsi="Times New Roman"/>
            <w:sz w:val="18"/>
            <w:szCs w:val="18"/>
            <w:u w:val="single" w:color="auto"/>
            <w:color w:val="0000FF"/>
          </w:rPr>
          <w:t>10.23</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55">
        <w:r>
          <w:rPr>
            <w:rFonts w:ascii="Times New Roman" w:cs="Times New Roman" w:eastAsia="Times New Roman" w:hAnsi="Times New Roman"/>
            <w:sz w:val="18"/>
            <w:szCs w:val="18"/>
            <w:u w:val="single" w:color="auto"/>
            <w:color w:val="0000FF"/>
          </w:rPr>
          <w:t>10.24</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56">
        <w:r>
          <w:rPr>
            <w:rFonts w:ascii="Times New Roman" w:cs="Times New Roman" w:eastAsia="Times New Roman" w:hAnsi="Times New Roman"/>
            <w:sz w:val="18"/>
            <w:szCs w:val="18"/>
            <w:u w:val="single" w:color="auto"/>
            <w:color w:val="0000FF"/>
          </w:rPr>
          <w:t>10.25</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40"/>
        <w:spacing w:after="0" w:line="279" w:lineRule="auto"/>
        <w:rPr>
          <w:rFonts w:ascii="Times New Roman" w:cs="Times New Roman" w:eastAsia="Times New Roman" w:hAnsi="Times New Roman"/>
          <w:sz w:val="18"/>
          <w:szCs w:val="18"/>
          <w:u w:val="single" w:color="auto"/>
          <w:color w:val="0000FF"/>
        </w:rPr>
      </w:pPr>
      <w:hyperlink r:id="rId143">
        <w:r>
          <w:rPr>
            <w:rFonts w:ascii="Times New Roman" w:cs="Times New Roman" w:eastAsia="Times New Roman" w:hAnsi="Times New Roman"/>
            <w:sz w:val="18"/>
            <w:szCs w:val="18"/>
            <w:u w:val="single" w:color="auto"/>
            <w:color w:val="0000FF"/>
          </w:rPr>
          <w:t>Consulting Agreement dated October 14, 2021, by and between Tenax</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Therapeutics, Inc. and Danforth Advisors,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-293370</wp:posOffset>
            </wp:positionV>
            <wp:extent cx="7132955" cy="2724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57">
                      <a:extLst>
                        <a:ext uri="{28A0092B-C50C-407E-A947-70E740481C1C}"/>
                      </a:extLst>
                    </a:blip>
                    <a:srcRect/>
                    <a:stretch>
                      <a:fillRect/>
                    </a:stretch>
                  </pic:blipFill>
                  <pic:spPr bwMode="auto">
                    <a:xfrm>
                      <a:off x="0" y="0"/>
                      <a:ext cx="7132955" cy="272415"/>
                    </a:xfrm>
                    <a:prstGeom prst="rect">
                      <a:avLst/>
                    </a:prstGeom>
                    <a:noFill/>
                  </pic:spPr>
                </pic:pic>
              </a:graphicData>
            </a:graphic>
          </wp:anchor>
        </w:drawing>
      </w:r>
    </w:p>
    <w:p>
      <w:pPr>
        <w:spacing w:after="0" w:line="143" w:lineRule="exact"/>
        <w:rPr>
          <w:sz w:val="20"/>
          <w:szCs w:val="20"/>
          <w:color w:val="auto"/>
        </w:rPr>
      </w:pPr>
    </w:p>
    <w:p>
      <w:pPr>
        <w:spacing w:after="0" w:line="279" w:lineRule="auto"/>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u w:val="single" w:color="auto"/>
            <w:color w:val="0000FF"/>
          </w:rPr>
          <w:t>Securities Purchase Agreement for Units, dated as of May 17, 2022, by</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and between the Company and the Investor</w:t>
        </w:r>
        <w:r>
          <w:rPr>
            <w:rFonts w:ascii="Times New Roman" w:cs="Times New Roman" w:eastAsia="Times New Roman" w:hAnsi="Times New Roman"/>
            <w:sz w:val="18"/>
            <w:szCs w:val="18"/>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-293370</wp:posOffset>
            </wp:positionV>
            <wp:extent cx="7132955" cy="2724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58">
                      <a:extLst>
                        <a:ext uri="{28A0092B-C50C-407E-A947-70E740481C1C}"/>
                      </a:extLst>
                    </a:blip>
                    <a:srcRect/>
                    <a:stretch>
                      <a:fillRect/>
                    </a:stretch>
                  </pic:blipFill>
                  <pic:spPr bwMode="auto">
                    <a:xfrm>
                      <a:off x="0" y="0"/>
                      <a:ext cx="7132955" cy="272415"/>
                    </a:xfrm>
                    <a:prstGeom prst="rect">
                      <a:avLst/>
                    </a:prstGeom>
                    <a:noFill/>
                  </pic:spPr>
                </pic:pic>
              </a:graphicData>
            </a:graphic>
          </wp:anchor>
        </w:drawing>
      </w:r>
    </w:p>
    <w:p>
      <w:pPr>
        <w:spacing w:after="0" w:line="143" w:lineRule="exact"/>
        <w:rPr>
          <w:sz w:val="20"/>
          <w:szCs w:val="20"/>
          <w:color w:val="auto"/>
        </w:rPr>
      </w:pPr>
    </w:p>
    <w:p>
      <w:pPr>
        <w:ind w:right="380"/>
        <w:spacing w:after="0" w:line="279" w:lineRule="auto"/>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u w:val="single" w:color="auto"/>
            <w:color w:val="0000FF"/>
          </w:rPr>
          <w:t>Registration Rights Agreement, dated as of May 17, 2022, by and</w:t>
        </w:r>
      </w:hyperlink>
      <w:r>
        <w:rPr>
          <w:rFonts w:ascii="Times New Roman" w:cs="Times New Roman" w:eastAsia="Times New Roman" w:hAnsi="Times New Roman"/>
          <w:sz w:val="18"/>
          <w:szCs w:val="18"/>
          <w:u w:val="single" w:color="auto"/>
          <w:color w:val="0000FF"/>
        </w:rPr>
        <w:t xml:space="preserve"> </w:t>
      </w:r>
      <w:hyperlink r:id="rId145">
        <w:r>
          <w:rPr>
            <w:rFonts w:ascii="Times New Roman" w:cs="Times New Roman" w:eastAsia="Times New Roman" w:hAnsi="Times New Roman"/>
            <w:sz w:val="18"/>
            <w:szCs w:val="18"/>
            <w:u w:val="single" w:color="auto"/>
            <w:color w:val="0000FF"/>
          </w:rPr>
          <w:t>between the Company and the Investor</w:t>
        </w:r>
        <w:r>
          <w:rPr>
            <w:rFonts w:ascii="Times New Roman" w:cs="Times New Roman" w:eastAsia="Times New Roman" w:hAnsi="Times New Roman"/>
            <w:sz w:val="18"/>
            <w:szCs w:val="18"/>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-293370</wp:posOffset>
            </wp:positionV>
            <wp:extent cx="7132955" cy="2724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59">
                      <a:extLst>
                        <a:ext uri="{28A0092B-C50C-407E-A947-70E740481C1C}"/>
                      </a:extLst>
                    </a:blip>
                    <a:srcRect/>
                    <a:stretch>
                      <a:fillRect/>
                    </a:stretch>
                  </pic:blipFill>
                  <pic:spPr bwMode="auto">
                    <a:xfrm>
                      <a:off x="0" y="0"/>
                      <a:ext cx="7132955" cy="272415"/>
                    </a:xfrm>
                    <a:prstGeom prst="rect">
                      <a:avLst/>
                    </a:prstGeom>
                    <a:noFill/>
                  </pic:spPr>
                </pic:pic>
              </a:graphicData>
            </a:graphic>
          </wp:anchor>
        </w:drawing>
      </w:r>
    </w:p>
    <w:p>
      <w:pPr>
        <w:spacing w:after="0" w:line="143" w:lineRule="exact"/>
        <w:rPr>
          <w:sz w:val="20"/>
          <w:szCs w:val="20"/>
          <w:color w:val="auto"/>
        </w:rPr>
      </w:pPr>
    </w:p>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u w:val="single" w:color="auto"/>
            <w:color w:val="0000FF"/>
          </w:rPr>
          <w:t>Tenax Therapeutics, Inc. 2022 Stock Incentive Plan</w:t>
        </w:r>
      </w:hyperlink>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-119380</wp:posOffset>
            </wp:positionV>
            <wp:extent cx="7132955" cy="1365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60">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spacing w:after="0" w:line="202" w:lineRule="exact"/>
        <w:rPr>
          <w:sz w:val="20"/>
          <w:szCs w:val="20"/>
          <w:color w:val="auto"/>
        </w:rPr>
      </w:pPr>
    </w:p>
    <w:p>
      <w:pPr>
        <w:ind w:right="640"/>
        <w:spacing w:after="0" w:line="279" w:lineRule="auto"/>
        <w:rPr>
          <w:rFonts w:ascii="Times New Roman" w:cs="Times New Roman" w:eastAsia="Times New Roman" w:hAnsi="Times New Roman"/>
          <w:sz w:val="18"/>
          <w:szCs w:val="18"/>
          <w:u w:val="single" w:color="auto"/>
          <w:color w:val="0000FF"/>
        </w:rPr>
      </w:pPr>
      <w:hyperlink r:id="rId147">
        <w:r>
          <w:rPr>
            <w:rFonts w:ascii="Times New Roman" w:cs="Times New Roman" w:eastAsia="Times New Roman" w:hAnsi="Times New Roman"/>
            <w:sz w:val="18"/>
            <w:szCs w:val="18"/>
            <w:u w:val="single" w:color="auto"/>
            <w:color w:val="0000FF"/>
          </w:rPr>
          <w:t>Amendment No. 1 to the Tenax Therapeutics, Inc. 2022 Stock</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Incentive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-293370</wp:posOffset>
            </wp:positionV>
            <wp:extent cx="7132955" cy="2724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61">
                      <a:extLst>
                        <a:ext uri="{28A0092B-C50C-407E-A947-70E740481C1C}"/>
                      </a:extLst>
                    </a:blip>
                    <a:srcRect/>
                    <a:stretch>
                      <a:fillRect/>
                    </a:stretch>
                  </pic:blipFill>
                  <pic:spPr bwMode="auto">
                    <a:xfrm>
                      <a:off x="0" y="0"/>
                      <a:ext cx="7132955" cy="272415"/>
                    </a:xfrm>
                    <a:prstGeom prst="rect">
                      <a:avLst/>
                    </a:prstGeom>
                    <a:noFill/>
                  </pic:spPr>
                </pic:pic>
              </a:graphicData>
            </a:graphic>
          </wp:anchor>
        </w:drawing>
      </w:r>
    </w:p>
    <w:p>
      <w:pPr>
        <w:spacing w:after="0" w:line="143" w:lineRule="exact"/>
        <w:rPr>
          <w:sz w:val="20"/>
          <w:szCs w:val="20"/>
          <w:color w:val="auto"/>
        </w:rPr>
      </w:pPr>
    </w:p>
    <w:p>
      <w:pPr>
        <w:ind w:right="640"/>
        <w:spacing w:after="0" w:line="279" w:lineRule="auto"/>
        <w:rPr>
          <w:rFonts w:ascii="Times New Roman" w:cs="Times New Roman" w:eastAsia="Times New Roman" w:hAnsi="Times New Roman"/>
          <w:sz w:val="18"/>
          <w:szCs w:val="18"/>
          <w:u w:val="single" w:color="auto"/>
          <w:color w:val="0000FF"/>
        </w:rPr>
      </w:pPr>
      <w:hyperlink r:id="rId148">
        <w:r>
          <w:rPr>
            <w:rFonts w:ascii="Times New Roman" w:cs="Times New Roman" w:eastAsia="Times New Roman" w:hAnsi="Times New Roman"/>
            <w:sz w:val="18"/>
            <w:szCs w:val="18"/>
            <w:u w:val="single" w:color="auto"/>
            <w:color w:val="0000FF"/>
          </w:rPr>
          <w:t>Amendment No. 2 to the Tenax Therapeutics, Inc. 2022 Stock</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Incentive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-293370</wp:posOffset>
            </wp:positionV>
            <wp:extent cx="7132955" cy="2724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62">
                      <a:extLst>
                        <a:ext uri="{28A0092B-C50C-407E-A947-70E740481C1C}"/>
                      </a:extLst>
                    </a:blip>
                    <a:srcRect/>
                    <a:stretch>
                      <a:fillRect/>
                    </a:stretch>
                  </pic:blipFill>
                  <pic:spPr bwMode="auto">
                    <a:xfrm>
                      <a:off x="0" y="0"/>
                      <a:ext cx="7132955" cy="272415"/>
                    </a:xfrm>
                    <a:prstGeom prst="rect">
                      <a:avLst/>
                    </a:prstGeom>
                    <a:noFill/>
                  </pic:spPr>
                </pic:pic>
              </a:graphicData>
            </a:graphic>
          </wp:anchor>
        </w:drawing>
      </w:r>
    </w:p>
    <w:p>
      <w:pPr>
        <w:spacing w:after="0" w:line="143" w:lineRule="exact"/>
        <w:rPr>
          <w:sz w:val="20"/>
          <w:szCs w:val="20"/>
          <w:color w:val="auto"/>
        </w:rPr>
      </w:pPr>
    </w:p>
    <w:p>
      <w:pPr>
        <w:ind w:left="100" w:right="140"/>
        <w:spacing w:after="0" w:line="279" w:lineRule="auto"/>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u w:val="single" w:color="auto"/>
            <w:color w:val="0000FF"/>
          </w:rPr>
          <w:t>Form of Notice of Stock Option Grant and Award Agreement under</w:t>
        </w:r>
      </w:hyperlink>
      <w:r>
        <w:rPr>
          <w:rFonts w:ascii="Times New Roman" w:cs="Times New Roman" w:eastAsia="Times New Roman" w:hAnsi="Times New Roman"/>
          <w:sz w:val="18"/>
          <w:szCs w:val="18"/>
          <w:u w:val="single" w:color="auto"/>
          <w:color w:val="0000FF"/>
        </w:rPr>
        <w:t xml:space="preserve"> </w:t>
      </w:r>
      <w:hyperlink r:id="rId149">
        <w:r>
          <w:rPr>
            <w:rFonts w:ascii="Times New Roman" w:cs="Times New Roman" w:eastAsia="Times New Roman" w:hAnsi="Times New Roman"/>
            <w:sz w:val="18"/>
            <w:szCs w:val="18"/>
            <w:u w:val="single" w:color="auto"/>
            <w:color w:val="0000FF"/>
          </w:rPr>
          <w:t>the Tenax Therapeutics, Inc. 2022 Stock Incentive Plan</w:t>
        </w:r>
        <w:r>
          <w:rPr>
            <w:rFonts w:ascii="Times New Roman" w:cs="Times New Roman" w:eastAsia="Times New Roman" w:hAnsi="Times New Roman"/>
            <w:sz w:val="18"/>
            <w:szCs w:val="18"/>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-293370</wp:posOffset>
            </wp:positionV>
            <wp:extent cx="7132955" cy="2724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63">
                      <a:extLst>
                        <a:ext uri="{28A0092B-C50C-407E-A947-70E740481C1C}"/>
                      </a:extLst>
                    </a:blip>
                    <a:srcRect/>
                    <a:stretch>
                      <a:fillRect/>
                    </a:stretch>
                  </pic:blipFill>
                  <pic:spPr bwMode="auto">
                    <a:xfrm>
                      <a:off x="0" y="0"/>
                      <a:ext cx="7132955" cy="272415"/>
                    </a:xfrm>
                    <a:prstGeom prst="rect">
                      <a:avLst/>
                    </a:prstGeom>
                    <a:noFill/>
                  </pic:spPr>
                </pic:pic>
              </a:graphicData>
            </a:graphic>
          </wp:anchor>
        </w:drawing>
      </w:r>
    </w:p>
    <w:p>
      <w:pPr>
        <w:spacing w:after="0" w:line="143" w:lineRule="exact"/>
        <w:rPr>
          <w:sz w:val="20"/>
          <w:szCs w:val="20"/>
          <w:color w:val="auto"/>
        </w:rPr>
      </w:pPr>
    </w:p>
    <w:p>
      <w:pPr>
        <w:ind w:left="100" w:right="100"/>
        <w:spacing w:after="0" w:line="310" w:lineRule="auto"/>
        <w:rPr>
          <w:rFonts w:ascii="Times New Roman" w:cs="Times New Roman" w:eastAsia="Times New Roman" w:hAnsi="Times New Roman"/>
          <w:sz w:val="17"/>
          <w:szCs w:val="17"/>
          <w:u w:val="single" w:color="auto"/>
          <w:color w:val="0000FF"/>
        </w:rPr>
      </w:pPr>
      <w:hyperlink r:id="rId150">
        <w:r>
          <w:rPr>
            <w:rFonts w:ascii="Times New Roman" w:cs="Times New Roman" w:eastAsia="Times New Roman" w:hAnsi="Times New Roman"/>
            <w:sz w:val="17"/>
            <w:szCs w:val="17"/>
            <w:u w:val="single" w:color="auto"/>
            <w:color w:val="0000FF"/>
          </w:rPr>
          <w:t>Placement Agency Agreement, dated as of February 3, 2023, by and</w:t>
        </w:r>
      </w:hyperlink>
      <w:r>
        <w:rPr>
          <w:rFonts w:ascii="Times New Roman" w:cs="Times New Roman" w:eastAsia="Times New Roman" w:hAnsi="Times New Roman"/>
          <w:sz w:val="17"/>
          <w:szCs w:val="17"/>
          <w:u w:val="single" w:color="auto"/>
          <w:color w:val="0000FF"/>
        </w:rPr>
        <w:t xml:space="preserve"> </w:t>
      </w:r>
      <w:hyperlink r:id="rId150">
        <w:r>
          <w:rPr>
            <w:rFonts w:ascii="Times New Roman" w:cs="Times New Roman" w:eastAsia="Times New Roman" w:hAnsi="Times New Roman"/>
            <w:sz w:val="17"/>
            <w:szCs w:val="17"/>
            <w:u w:val="single" w:color="auto"/>
            <w:color w:val="0000FF"/>
          </w:rPr>
          <w:t>between Tenax Therapeutics, Inc. and Roth Capital Partners,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-308610</wp:posOffset>
            </wp:positionV>
            <wp:extent cx="7132955" cy="2724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64">
                      <a:extLst>
                        <a:ext uri="{28A0092B-C50C-407E-A947-70E740481C1C}"/>
                      </a:extLst>
                    </a:blip>
                    <a:srcRect/>
                    <a:stretch>
                      <a:fillRect/>
                    </a:stretch>
                  </pic:blipFill>
                  <pic:spPr bwMode="auto">
                    <a:xfrm>
                      <a:off x="0" y="0"/>
                      <a:ext cx="7132955" cy="272415"/>
                    </a:xfrm>
                    <a:prstGeom prst="rect">
                      <a:avLst/>
                    </a:prstGeom>
                    <a:noFill/>
                  </pic:spPr>
                </pic:pic>
              </a:graphicData>
            </a:graphic>
          </wp:anchor>
        </w:drawing>
      </w:r>
    </w:p>
    <w:p>
      <w:pPr>
        <w:spacing w:after="0" w:line="119" w:lineRule="exact"/>
        <w:rPr>
          <w:sz w:val="20"/>
          <w:szCs w:val="20"/>
          <w:color w:val="auto"/>
        </w:rPr>
      </w:pPr>
    </w:p>
    <w:p>
      <w:pPr>
        <w:ind w:left="100" w:right="40"/>
        <w:spacing w:after="0" w:line="264" w:lineRule="auto"/>
        <w:rPr>
          <w:rFonts w:ascii="Times New Roman" w:cs="Times New Roman" w:eastAsia="Times New Roman" w:hAnsi="Times New Roman"/>
          <w:sz w:val="18"/>
          <w:szCs w:val="18"/>
          <w:u w:val="single" w:color="auto"/>
          <w:color w:val="0000FF"/>
        </w:rPr>
      </w:pPr>
      <w:hyperlink r:id="rId151">
        <w:r>
          <w:rPr>
            <w:rFonts w:ascii="Times New Roman" w:cs="Times New Roman" w:eastAsia="Times New Roman" w:hAnsi="Times New Roman"/>
            <w:sz w:val="18"/>
            <w:szCs w:val="18"/>
            <w:u w:val="single" w:color="auto"/>
            <w:color w:val="0000FF"/>
          </w:rPr>
          <w:t>Form of Securities Purchase Agreement dated as of February 3, 2023</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by and between Tenax Therapeutics, Inc. and the purchasers named</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therein.</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-668020</wp:posOffset>
            </wp:positionH>
            <wp:positionV relativeFrom="paragraph">
              <wp:posOffset>-421640</wp:posOffset>
            </wp:positionV>
            <wp:extent cx="7132955" cy="408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65">
                      <a:extLst>
                        <a:ext uri="{28A0092B-C50C-407E-A947-70E740481C1C}"/>
                      </a:extLst>
                    </a:blip>
                    <a:srcRect/>
                    <a:stretch>
                      <a:fillRect/>
                    </a:stretch>
                  </pic:blipFill>
                  <pic:spPr bwMode="auto">
                    <a:xfrm>
                      <a:off x="0" y="0"/>
                      <a:ext cx="7132955" cy="408940"/>
                    </a:xfrm>
                    <a:prstGeom prst="rect">
                      <a:avLst/>
                    </a:prstGeom>
                    <a:noFill/>
                  </pic:spPr>
                </pic:pic>
              </a:graphicData>
            </a:graphic>
          </wp:anchor>
        </w:drawing>
      </w:r>
    </w:p>
    <w:p>
      <w:pPr>
        <w:spacing w:after="0" w:line="156" w:lineRule="exact"/>
        <w:rPr>
          <w:rFonts w:ascii="Times New Roman" w:cs="Times New Roman" w:eastAsia="Times New Roman" w:hAnsi="Times New Roman"/>
          <w:sz w:val="18"/>
          <w:szCs w:val="18"/>
          <w:u w:val="single" w:color="auto"/>
          <w:color w:val="0000FF"/>
        </w:rPr>
      </w:pPr>
    </w:p>
    <w:p>
      <w:pPr>
        <w:ind w:left="100" w:right="100"/>
        <w:spacing w:after="0" w:line="310" w:lineRule="auto"/>
        <w:rPr>
          <w:rFonts w:ascii="Times New Roman" w:cs="Times New Roman" w:eastAsia="Times New Roman" w:hAnsi="Times New Roman"/>
          <w:sz w:val="17"/>
          <w:szCs w:val="17"/>
          <w:u w:val="single" w:color="auto"/>
          <w:color w:val="0000FF"/>
        </w:rPr>
      </w:pPr>
      <w:hyperlink r:id="rId152">
        <w:r>
          <w:rPr>
            <w:rFonts w:ascii="Times New Roman" w:cs="Times New Roman" w:eastAsia="Times New Roman" w:hAnsi="Times New Roman"/>
            <w:sz w:val="17"/>
            <w:szCs w:val="17"/>
            <w:u w:val="single" w:color="auto"/>
            <w:color w:val="0000FF"/>
          </w:rPr>
          <w:t>Form of Leak-Out Agreement, dated as of February 3, 2023 by and</w:t>
        </w:r>
      </w:hyperlink>
      <w:r>
        <w:rPr>
          <w:rFonts w:ascii="Times New Roman" w:cs="Times New Roman" w:eastAsia="Times New Roman" w:hAnsi="Times New Roman"/>
          <w:sz w:val="17"/>
          <w:szCs w:val="17"/>
          <w:u w:val="single" w:color="auto"/>
          <w:color w:val="0000FF"/>
        </w:rPr>
        <w:t xml:space="preserve"> </w:t>
      </w:r>
      <w:hyperlink r:id="rId152">
        <w:r>
          <w:rPr>
            <w:rFonts w:ascii="Times New Roman" w:cs="Times New Roman" w:eastAsia="Times New Roman" w:hAnsi="Times New Roman"/>
            <w:sz w:val="17"/>
            <w:szCs w:val="17"/>
            <w:u w:val="single" w:color="auto"/>
            <w:color w:val="0000FF"/>
          </w:rPr>
          <w:t>between Tenax Therapeutics, Inc. and the purchasers named therein.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-308610</wp:posOffset>
            </wp:positionV>
            <wp:extent cx="7132955" cy="2724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66">
                      <a:extLst>
                        <a:ext uri="{28A0092B-C50C-407E-A947-70E740481C1C}"/>
                      </a:extLst>
                    </a:blip>
                    <a:srcRect/>
                    <a:stretch>
                      <a:fillRect/>
                    </a:stretch>
                  </pic:blipFill>
                  <pic:spPr bwMode="auto">
                    <a:xfrm>
                      <a:off x="0" y="0"/>
                      <a:ext cx="7132955" cy="272415"/>
                    </a:xfrm>
                    <a:prstGeom prst="rect">
                      <a:avLst/>
                    </a:prstGeom>
                    <a:noFill/>
                  </pic:spPr>
                </pic:pic>
              </a:graphicData>
            </a:graphic>
          </wp:anchor>
        </w:drawing>
      </w:r>
    </w:p>
    <w:p>
      <w:pPr>
        <w:spacing w:after="0" w:line="119" w:lineRule="exact"/>
        <w:rPr>
          <w:sz w:val="20"/>
          <w:szCs w:val="20"/>
          <w:color w:val="auto"/>
        </w:rPr>
      </w:pPr>
    </w:p>
    <w:p>
      <w:pPr>
        <w:ind w:left="100" w:right="100"/>
        <w:spacing w:after="0" w:line="310" w:lineRule="auto"/>
        <w:rPr>
          <w:rFonts w:ascii="Times New Roman" w:cs="Times New Roman" w:eastAsia="Times New Roman" w:hAnsi="Times New Roman"/>
          <w:sz w:val="17"/>
          <w:szCs w:val="17"/>
          <w:u w:val="single" w:color="auto"/>
          <w:color w:val="0000FF"/>
        </w:rPr>
      </w:pPr>
      <w:hyperlink r:id="rId153">
        <w:r>
          <w:rPr>
            <w:rFonts w:ascii="Times New Roman" w:cs="Times New Roman" w:eastAsia="Times New Roman" w:hAnsi="Times New Roman"/>
            <w:sz w:val="17"/>
            <w:szCs w:val="17"/>
            <w:u w:val="single" w:color="auto"/>
            <w:color w:val="0000FF"/>
          </w:rPr>
          <w:t>Placement Agency Agreement, dated as of February 8, 2024, by and</w:t>
        </w:r>
      </w:hyperlink>
      <w:r>
        <w:rPr>
          <w:rFonts w:ascii="Times New Roman" w:cs="Times New Roman" w:eastAsia="Times New Roman" w:hAnsi="Times New Roman"/>
          <w:sz w:val="17"/>
          <w:szCs w:val="17"/>
          <w:u w:val="single" w:color="auto"/>
          <w:color w:val="0000FF"/>
        </w:rPr>
        <w:t xml:space="preserve"> </w:t>
      </w:r>
      <w:hyperlink r:id="rId153">
        <w:r>
          <w:rPr>
            <w:rFonts w:ascii="Times New Roman" w:cs="Times New Roman" w:eastAsia="Times New Roman" w:hAnsi="Times New Roman"/>
            <w:sz w:val="17"/>
            <w:szCs w:val="17"/>
            <w:u w:val="single" w:color="auto"/>
            <w:color w:val="0000FF"/>
          </w:rPr>
          <w:t>between Tenax Therapeutics, Inc. and Roth Capital Partners,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-308610</wp:posOffset>
            </wp:positionV>
            <wp:extent cx="7132955" cy="2724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67">
                      <a:extLst>
                        <a:ext uri="{28A0092B-C50C-407E-A947-70E740481C1C}"/>
                      </a:extLst>
                    </a:blip>
                    <a:srcRect/>
                    <a:stretch>
                      <a:fillRect/>
                    </a:stretch>
                  </pic:blipFill>
                  <pic:spPr bwMode="auto">
                    <a:xfrm>
                      <a:off x="0" y="0"/>
                      <a:ext cx="7132955" cy="272415"/>
                    </a:xfrm>
                    <a:prstGeom prst="rect">
                      <a:avLst/>
                    </a:prstGeom>
                    <a:noFill/>
                  </pic:spPr>
                </pic:pic>
              </a:graphicData>
            </a:graphic>
          </wp:anchor>
        </w:drawing>
      </w:r>
    </w:p>
    <w:p>
      <w:pPr>
        <w:spacing w:after="0" w:line="119" w:lineRule="exact"/>
        <w:rPr>
          <w:sz w:val="20"/>
          <w:szCs w:val="20"/>
          <w:color w:val="auto"/>
        </w:rPr>
      </w:pPr>
    </w:p>
    <w:p>
      <w:pPr>
        <w:ind w:left="100" w:right="240"/>
        <w:spacing w:after="0" w:line="264" w:lineRule="auto"/>
        <w:rPr>
          <w:rFonts w:ascii="Times New Roman" w:cs="Times New Roman" w:eastAsia="Times New Roman" w:hAnsi="Times New Roman"/>
          <w:sz w:val="18"/>
          <w:szCs w:val="18"/>
          <w:u w:val="single" w:color="auto"/>
          <w:color w:val="0000FF"/>
        </w:rPr>
      </w:pPr>
      <w:hyperlink r:id="rId154">
        <w:r>
          <w:rPr>
            <w:rFonts w:ascii="Times New Roman" w:cs="Times New Roman" w:eastAsia="Times New Roman" w:hAnsi="Times New Roman"/>
            <w:sz w:val="18"/>
            <w:szCs w:val="18"/>
            <w:u w:val="single" w:color="auto"/>
            <w:color w:val="0000FF"/>
          </w:rPr>
          <w:t>Form of Securities Purchase Agreement, dated as of February 8,</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2024, by and between Tenax Therapeutics, Inc. and the purchasers</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named therein.</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-668020</wp:posOffset>
            </wp:positionH>
            <wp:positionV relativeFrom="paragraph">
              <wp:posOffset>-421640</wp:posOffset>
            </wp:positionV>
            <wp:extent cx="7132955" cy="408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68">
                      <a:extLst>
                        <a:ext uri="{28A0092B-C50C-407E-A947-70E740481C1C}"/>
                      </a:extLst>
                    </a:blip>
                    <a:srcRect/>
                    <a:stretch>
                      <a:fillRect/>
                    </a:stretch>
                  </pic:blipFill>
                  <pic:spPr bwMode="auto">
                    <a:xfrm>
                      <a:off x="0" y="0"/>
                      <a:ext cx="7132955" cy="408940"/>
                    </a:xfrm>
                    <a:prstGeom prst="rect">
                      <a:avLst/>
                    </a:prstGeom>
                    <a:noFill/>
                  </pic:spPr>
                </pic:pic>
              </a:graphicData>
            </a:graphic>
          </wp:anchor>
        </w:drawing>
      </w:r>
    </w:p>
    <w:p>
      <w:pPr>
        <w:spacing w:after="0" w:line="156" w:lineRule="exact"/>
        <w:rPr>
          <w:rFonts w:ascii="Times New Roman" w:cs="Times New Roman" w:eastAsia="Times New Roman" w:hAnsi="Times New Roman"/>
          <w:sz w:val="18"/>
          <w:szCs w:val="18"/>
          <w:u w:val="single" w:color="auto"/>
          <w:color w:val="0000FF"/>
        </w:rPr>
      </w:pPr>
    </w:p>
    <w:p>
      <w:pPr>
        <w:jc w:val="both"/>
        <w:ind w:left="100" w:right="80"/>
        <w:spacing w:after="0" w:line="264" w:lineRule="auto"/>
        <w:rPr>
          <w:rFonts w:ascii="Times New Roman" w:cs="Times New Roman" w:eastAsia="Times New Roman" w:hAnsi="Times New Roman"/>
          <w:sz w:val="18"/>
          <w:szCs w:val="18"/>
          <w:u w:val="single" w:color="auto"/>
          <w:color w:val="0000FF"/>
        </w:rPr>
      </w:pPr>
      <w:hyperlink r:id="rId155">
        <w:r>
          <w:rPr>
            <w:rFonts w:ascii="Times New Roman" w:cs="Times New Roman" w:eastAsia="Times New Roman" w:hAnsi="Times New Roman"/>
            <w:sz w:val="18"/>
            <w:szCs w:val="18"/>
            <w:u w:val="single" w:color="auto"/>
            <w:color w:val="0000FF"/>
          </w:rPr>
          <w:t>Form of Securities Purchase Agreement, dated as of August 6, 2024,</w:t>
        </w:r>
      </w:hyperlink>
      <w:r>
        <w:rPr>
          <w:rFonts w:ascii="Times New Roman" w:cs="Times New Roman" w:eastAsia="Times New Roman" w:hAnsi="Times New Roman"/>
          <w:sz w:val="18"/>
          <w:szCs w:val="18"/>
          <w:u w:val="single" w:color="auto"/>
          <w:color w:val="0000FF"/>
        </w:rPr>
        <w:t xml:space="preserve"> </w:t>
      </w:r>
      <w:hyperlink r:id="rId155">
        <w:r>
          <w:rPr>
            <w:rFonts w:ascii="Times New Roman" w:cs="Times New Roman" w:eastAsia="Times New Roman" w:hAnsi="Times New Roman"/>
            <w:sz w:val="18"/>
            <w:szCs w:val="18"/>
            <w:u w:val="single" w:color="auto"/>
            <w:color w:val="0000FF"/>
          </w:rPr>
          <w:t>by and between Tenax Therapeutics, Inc. and the purchasers named</w:t>
        </w:r>
      </w:hyperlink>
      <w:r>
        <w:rPr>
          <w:rFonts w:ascii="Times New Roman" w:cs="Times New Roman" w:eastAsia="Times New Roman" w:hAnsi="Times New Roman"/>
          <w:sz w:val="18"/>
          <w:szCs w:val="18"/>
          <w:u w:val="single" w:color="auto"/>
          <w:color w:val="0000FF"/>
        </w:rPr>
        <w:t xml:space="preserve"> </w:t>
      </w:r>
      <w:hyperlink r:id="rId155">
        <w:r>
          <w:rPr>
            <w:rFonts w:ascii="Times New Roman" w:cs="Times New Roman" w:eastAsia="Times New Roman" w:hAnsi="Times New Roman"/>
            <w:sz w:val="18"/>
            <w:szCs w:val="18"/>
            <w:u w:val="single" w:color="auto"/>
            <w:color w:val="0000FF"/>
          </w:rPr>
          <w:t>therein.</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-668020</wp:posOffset>
            </wp:positionH>
            <wp:positionV relativeFrom="paragraph">
              <wp:posOffset>-421640</wp:posOffset>
            </wp:positionV>
            <wp:extent cx="7132955" cy="408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69">
                      <a:extLst>
                        <a:ext uri="{28A0092B-C50C-407E-A947-70E740481C1C}"/>
                      </a:extLst>
                    </a:blip>
                    <a:srcRect/>
                    <a:stretch>
                      <a:fillRect/>
                    </a:stretch>
                  </pic:blipFill>
                  <pic:spPr bwMode="auto">
                    <a:xfrm>
                      <a:off x="0" y="0"/>
                      <a:ext cx="7132955" cy="408940"/>
                    </a:xfrm>
                    <a:prstGeom prst="rect">
                      <a:avLst/>
                    </a:prstGeom>
                    <a:noFill/>
                  </pic:spPr>
                </pic:pic>
              </a:graphicData>
            </a:graphic>
          </wp:anchor>
        </w:drawing>
      </w:r>
    </w:p>
    <w:p>
      <w:pPr>
        <w:spacing w:after="0" w:line="156" w:lineRule="exact"/>
        <w:rPr>
          <w:rFonts w:ascii="Times New Roman" w:cs="Times New Roman" w:eastAsia="Times New Roman" w:hAnsi="Times New Roman"/>
          <w:sz w:val="18"/>
          <w:szCs w:val="18"/>
          <w:u w:val="single" w:color="auto"/>
          <w:color w:val="0000FF"/>
        </w:rPr>
      </w:pPr>
    </w:p>
    <w:p>
      <w:pPr>
        <w:jc w:val="both"/>
        <w:ind w:left="100" w:right="100"/>
        <w:spacing w:after="0" w:line="264" w:lineRule="auto"/>
        <w:rPr>
          <w:rFonts w:ascii="Times New Roman" w:cs="Times New Roman" w:eastAsia="Times New Roman" w:hAnsi="Times New Roman"/>
          <w:sz w:val="18"/>
          <w:szCs w:val="18"/>
          <w:u w:val="single" w:color="auto"/>
          <w:color w:val="0000FF"/>
        </w:rPr>
      </w:pPr>
      <w:hyperlink r:id="rId156">
        <w:r>
          <w:rPr>
            <w:rFonts w:ascii="Times New Roman" w:cs="Times New Roman" w:eastAsia="Times New Roman" w:hAnsi="Times New Roman"/>
            <w:sz w:val="18"/>
            <w:szCs w:val="18"/>
            <w:u w:val="single" w:color="auto"/>
            <w:color w:val="0000FF"/>
          </w:rPr>
          <w:t>Form of Registration Rights Agreement, dated as of August 6, 2024,</w:t>
        </w:r>
      </w:hyperlink>
      <w:r>
        <w:rPr>
          <w:rFonts w:ascii="Times New Roman" w:cs="Times New Roman" w:eastAsia="Times New Roman" w:hAnsi="Times New Roman"/>
          <w:sz w:val="18"/>
          <w:szCs w:val="18"/>
          <w:u w:val="single" w:color="auto"/>
          <w:color w:val="0000FF"/>
        </w:rPr>
        <w:t xml:space="preserve"> </w:t>
      </w:r>
      <w:hyperlink r:id="rId156">
        <w:r>
          <w:rPr>
            <w:rFonts w:ascii="Times New Roman" w:cs="Times New Roman" w:eastAsia="Times New Roman" w:hAnsi="Times New Roman"/>
            <w:sz w:val="18"/>
            <w:szCs w:val="18"/>
            <w:u w:val="single" w:color="auto"/>
            <w:color w:val="0000FF"/>
          </w:rPr>
          <w:t>by and between Tenax Therapeutics, Inc. and the purchasers named</w:t>
        </w:r>
      </w:hyperlink>
      <w:r>
        <w:rPr>
          <w:rFonts w:ascii="Times New Roman" w:cs="Times New Roman" w:eastAsia="Times New Roman" w:hAnsi="Times New Roman"/>
          <w:sz w:val="18"/>
          <w:szCs w:val="18"/>
          <w:u w:val="single" w:color="auto"/>
          <w:color w:val="0000FF"/>
        </w:rPr>
        <w:t xml:space="preserve"> </w:t>
      </w:r>
      <w:hyperlink r:id="rId156">
        <w:r>
          <w:rPr>
            <w:rFonts w:ascii="Times New Roman" w:cs="Times New Roman" w:eastAsia="Times New Roman" w:hAnsi="Times New Roman"/>
            <w:sz w:val="18"/>
            <w:szCs w:val="18"/>
            <w:u w:val="single" w:color="auto"/>
            <w:color w:val="0000FF"/>
          </w:rPr>
          <w:t>therein.</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-668020</wp:posOffset>
            </wp:positionH>
            <wp:positionV relativeFrom="paragraph">
              <wp:posOffset>-421640</wp:posOffset>
            </wp:positionV>
            <wp:extent cx="7132955" cy="408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70">
                      <a:extLst>
                        <a:ext uri="{28A0092B-C50C-407E-A947-70E740481C1C}"/>
                      </a:extLst>
                    </a:blip>
                    <a:srcRect/>
                    <a:stretch>
                      <a:fillRect/>
                    </a:stretch>
                  </pic:blipFill>
                  <pic:spPr bwMode="auto">
                    <a:xfrm>
                      <a:off x="0" y="0"/>
                      <a:ext cx="7132955" cy="408940"/>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92" w:lineRule="exact"/>
        <w:rPr>
          <w:rFonts w:ascii="Times New Roman" w:cs="Times New Roman" w:eastAsia="Times New Roman" w:hAnsi="Times New Roman"/>
          <w:sz w:val="18"/>
          <w:szCs w:val="18"/>
          <w:u w:val="single" w:color="auto"/>
          <w:color w:val="0000FF"/>
        </w:rPr>
      </w:pPr>
    </w:p>
    <w:p>
      <w:pPr>
        <w:spacing w:after="0" w:line="1" w:lineRule="exact"/>
        <w:rPr>
          <w:rFonts w:ascii="Times New Roman" w:cs="Times New Roman" w:eastAsia="Times New Roman" w:hAnsi="Times New Roman"/>
          <w:sz w:val="1"/>
          <w:szCs w:val="1"/>
          <w:u w:val="single" w:color="auto"/>
          <w:color w:val="0000FF"/>
        </w:rPr>
      </w:pPr>
    </w:p>
    <w:tbl>
      <w:tblPr>
        <w:tblLayout w:type="fixed"/>
        <w:tblInd w:w="0" w:type="dxa"/>
        <w:tblCellMar>
          <w:top w:w="0" w:type="dxa"/>
          <w:left w:w="0" w:type="dxa"/>
          <w:bottom w:w="0" w:type="dxa"/>
          <w:right w:w="0" w:type="dxa"/>
        </w:tblCellMar>
      </w:tblPr>
      <w:tr>
        <w:trPr>
          <w:trHeight w:val="233"/>
        </w:trPr>
        <w:tc>
          <w:tcPr>
            <w:tcW w:w="580" w:type="dxa"/>
            <w:vAlign w:val="bottom"/>
          </w:tcPr>
          <w:p>
            <w:pPr>
              <w:jc w:val="center"/>
              <w:ind w:right="111"/>
              <w:spacing w:after="0"/>
              <w:rPr>
                <w:sz w:val="20"/>
                <w:szCs w:val="20"/>
                <w:color w:val="auto"/>
              </w:rPr>
            </w:pPr>
            <w:r>
              <w:rPr>
                <w:rFonts w:ascii="Times New Roman" w:cs="Times New Roman" w:eastAsia="Times New Roman" w:hAnsi="Times New Roman"/>
                <w:sz w:val="18"/>
                <w:szCs w:val="18"/>
                <w:color w:val="auto"/>
              </w:rPr>
              <w:t>10-K</w:t>
            </w:r>
          </w:p>
        </w:tc>
        <w:tc>
          <w:tcPr>
            <w:tcW w:w="12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001-34600</w:t>
            </w:r>
          </w:p>
        </w:tc>
        <w:tc>
          <w:tcPr>
            <w:tcW w:w="94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10.20</w:t>
            </w:r>
          </w:p>
        </w:tc>
        <w:tc>
          <w:tcPr>
            <w:tcW w:w="1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March 29, 2022</w:t>
            </w:r>
          </w:p>
        </w:tc>
      </w:tr>
      <w:tr>
        <w:trPr>
          <w:trHeight w:val="644"/>
        </w:trPr>
        <w:tc>
          <w:tcPr>
            <w:tcW w:w="58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001-34600</w:t>
            </w:r>
          </w:p>
        </w:tc>
        <w:tc>
          <w:tcPr>
            <w:tcW w:w="94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5"/>
              </w:rPr>
              <w:t>10.1</w:t>
            </w:r>
          </w:p>
        </w:tc>
        <w:tc>
          <w:tcPr>
            <w:tcW w:w="1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May 20, 2022</w:t>
            </w:r>
          </w:p>
        </w:tc>
      </w:tr>
      <w:tr>
        <w:trPr>
          <w:trHeight w:val="644"/>
        </w:trPr>
        <w:tc>
          <w:tcPr>
            <w:tcW w:w="58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001-34600</w:t>
            </w:r>
          </w:p>
        </w:tc>
        <w:tc>
          <w:tcPr>
            <w:tcW w:w="94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5"/>
              </w:rPr>
              <w:t>10.2</w:t>
            </w:r>
          </w:p>
        </w:tc>
        <w:tc>
          <w:tcPr>
            <w:tcW w:w="1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May 20, 2022</w:t>
            </w:r>
          </w:p>
        </w:tc>
      </w:tr>
      <w:tr>
        <w:trPr>
          <w:trHeight w:val="644"/>
        </w:trPr>
        <w:tc>
          <w:tcPr>
            <w:tcW w:w="58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001-34600</w:t>
            </w:r>
          </w:p>
        </w:tc>
        <w:tc>
          <w:tcPr>
            <w:tcW w:w="94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5"/>
              </w:rPr>
              <w:t>10.1</w:t>
            </w:r>
          </w:p>
        </w:tc>
        <w:tc>
          <w:tcPr>
            <w:tcW w:w="1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June 10, 2022</w:t>
            </w:r>
          </w:p>
        </w:tc>
      </w:tr>
      <w:tr>
        <w:trPr>
          <w:trHeight w:val="429"/>
        </w:trPr>
        <w:tc>
          <w:tcPr>
            <w:tcW w:w="58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001-34600</w:t>
            </w:r>
          </w:p>
        </w:tc>
        <w:tc>
          <w:tcPr>
            <w:tcW w:w="94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5"/>
              </w:rPr>
              <w:t>10.1</w:t>
            </w:r>
          </w:p>
        </w:tc>
        <w:tc>
          <w:tcPr>
            <w:tcW w:w="1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June 13, 2024</w:t>
            </w:r>
          </w:p>
        </w:tc>
      </w:tr>
      <w:tr>
        <w:trPr>
          <w:trHeight w:val="644"/>
        </w:trPr>
        <w:tc>
          <w:tcPr>
            <w:tcW w:w="58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001-34600</w:t>
            </w:r>
          </w:p>
        </w:tc>
        <w:tc>
          <w:tcPr>
            <w:tcW w:w="94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5"/>
              </w:rPr>
              <w:t>10.1</w:t>
            </w:r>
          </w:p>
        </w:tc>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October 30, 2024</w:t>
            </w:r>
          </w:p>
        </w:tc>
      </w:tr>
      <w:tr>
        <w:trPr>
          <w:trHeight w:val="644"/>
        </w:trPr>
        <w:tc>
          <w:tcPr>
            <w:tcW w:w="58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001-34600</w:t>
            </w:r>
          </w:p>
        </w:tc>
        <w:tc>
          <w:tcPr>
            <w:tcW w:w="94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10.2</w:t>
            </w:r>
          </w:p>
        </w:tc>
        <w:tc>
          <w:tcPr>
            <w:tcW w:w="1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June 10, 2022</w:t>
            </w:r>
          </w:p>
        </w:tc>
      </w:tr>
      <w:tr>
        <w:trPr>
          <w:trHeight w:val="752"/>
        </w:trPr>
        <w:tc>
          <w:tcPr>
            <w:tcW w:w="58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001-34600</w:t>
            </w:r>
          </w:p>
        </w:tc>
        <w:tc>
          <w:tcPr>
            <w:tcW w:w="94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10.1</w:t>
            </w:r>
          </w:p>
        </w:tc>
        <w:tc>
          <w:tcPr>
            <w:tcW w:w="1680" w:type="dxa"/>
            <w:vAlign w:val="bottom"/>
          </w:tcPr>
          <w:p>
            <w:pPr>
              <w:jc w:val="center"/>
              <w:ind w:left="251"/>
              <w:spacing w:after="0"/>
              <w:rPr>
                <w:sz w:val="20"/>
                <w:szCs w:val="20"/>
                <w:color w:val="auto"/>
              </w:rPr>
            </w:pPr>
            <w:r>
              <w:rPr>
                <w:rFonts w:ascii="Times New Roman" w:cs="Times New Roman" w:eastAsia="Times New Roman" w:hAnsi="Times New Roman"/>
                <w:sz w:val="18"/>
                <w:szCs w:val="18"/>
                <w:color w:val="auto"/>
                <w:w w:val="98"/>
              </w:rPr>
              <w:t>February 7, 2023</w:t>
            </w:r>
          </w:p>
        </w:tc>
      </w:tr>
      <w:tr>
        <w:trPr>
          <w:trHeight w:val="752"/>
        </w:trPr>
        <w:tc>
          <w:tcPr>
            <w:tcW w:w="58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001-34600</w:t>
            </w:r>
          </w:p>
        </w:tc>
        <w:tc>
          <w:tcPr>
            <w:tcW w:w="94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10.2</w:t>
            </w:r>
          </w:p>
        </w:tc>
        <w:tc>
          <w:tcPr>
            <w:tcW w:w="1680" w:type="dxa"/>
            <w:vAlign w:val="bottom"/>
          </w:tcPr>
          <w:p>
            <w:pPr>
              <w:jc w:val="center"/>
              <w:ind w:left="251"/>
              <w:spacing w:after="0"/>
              <w:rPr>
                <w:sz w:val="20"/>
                <w:szCs w:val="20"/>
                <w:color w:val="auto"/>
              </w:rPr>
            </w:pPr>
            <w:r>
              <w:rPr>
                <w:rFonts w:ascii="Times New Roman" w:cs="Times New Roman" w:eastAsia="Times New Roman" w:hAnsi="Times New Roman"/>
                <w:sz w:val="18"/>
                <w:szCs w:val="18"/>
                <w:color w:val="auto"/>
                <w:w w:val="98"/>
              </w:rPr>
              <w:t>February 7, 2023</w:t>
            </w:r>
          </w:p>
        </w:tc>
      </w:tr>
      <w:tr>
        <w:trPr>
          <w:trHeight w:val="752"/>
        </w:trPr>
        <w:tc>
          <w:tcPr>
            <w:tcW w:w="58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001-34600</w:t>
            </w:r>
          </w:p>
        </w:tc>
        <w:tc>
          <w:tcPr>
            <w:tcW w:w="94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10.3</w:t>
            </w:r>
          </w:p>
        </w:tc>
        <w:tc>
          <w:tcPr>
            <w:tcW w:w="1680" w:type="dxa"/>
            <w:vAlign w:val="bottom"/>
          </w:tcPr>
          <w:p>
            <w:pPr>
              <w:jc w:val="center"/>
              <w:ind w:left="251"/>
              <w:spacing w:after="0"/>
              <w:rPr>
                <w:sz w:val="20"/>
                <w:szCs w:val="20"/>
                <w:color w:val="auto"/>
              </w:rPr>
            </w:pPr>
            <w:r>
              <w:rPr>
                <w:rFonts w:ascii="Times New Roman" w:cs="Times New Roman" w:eastAsia="Times New Roman" w:hAnsi="Times New Roman"/>
                <w:sz w:val="18"/>
                <w:szCs w:val="18"/>
                <w:color w:val="auto"/>
                <w:w w:val="98"/>
              </w:rPr>
              <w:t>February 7, 2023</w:t>
            </w:r>
          </w:p>
        </w:tc>
      </w:tr>
      <w:tr>
        <w:trPr>
          <w:trHeight w:val="644"/>
        </w:trPr>
        <w:tc>
          <w:tcPr>
            <w:tcW w:w="58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001-34600</w:t>
            </w:r>
          </w:p>
        </w:tc>
        <w:tc>
          <w:tcPr>
            <w:tcW w:w="94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10.1</w:t>
            </w:r>
          </w:p>
        </w:tc>
        <w:tc>
          <w:tcPr>
            <w:tcW w:w="1680" w:type="dxa"/>
            <w:vAlign w:val="bottom"/>
          </w:tcPr>
          <w:p>
            <w:pPr>
              <w:jc w:val="center"/>
              <w:ind w:left="271"/>
              <w:spacing w:after="0"/>
              <w:rPr>
                <w:sz w:val="20"/>
                <w:szCs w:val="20"/>
                <w:color w:val="auto"/>
              </w:rPr>
            </w:pPr>
            <w:r>
              <w:rPr>
                <w:rFonts w:ascii="Times New Roman" w:cs="Times New Roman" w:eastAsia="Times New Roman" w:hAnsi="Times New Roman"/>
                <w:sz w:val="18"/>
                <w:szCs w:val="18"/>
                <w:color w:val="auto"/>
                <w:w w:val="99"/>
              </w:rPr>
              <w:t>February 12, 2024</w:t>
            </w:r>
          </w:p>
        </w:tc>
      </w:tr>
      <w:tr>
        <w:trPr>
          <w:trHeight w:val="752"/>
        </w:trPr>
        <w:tc>
          <w:tcPr>
            <w:tcW w:w="58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001-34600</w:t>
            </w:r>
          </w:p>
        </w:tc>
        <w:tc>
          <w:tcPr>
            <w:tcW w:w="94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10.2</w:t>
            </w:r>
          </w:p>
        </w:tc>
        <w:tc>
          <w:tcPr>
            <w:tcW w:w="1680" w:type="dxa"/>
            <w:vAlign w:val="bottom"/>
          </w:tcPr>
          <w:p>
            <w:pPr>
              <w:jc w:val="center"/>
              <w:ind w:left="271"/>
              <w:spacing w:after="0"/>
              <w:rPr>
                <w:sz w:val="20"/>
                <w:szCs w:val="20"/>
                <w:color w:val="auto"/>
              </w:rPr>
            </w:pPr>
            <w:r>
              <w:rPr>
                <w:rFonts w:ascii="Times New Roman" w:cs="Times New Roman" w:eastAsia="Times New Roman" w:hAnsi="Times New Roman"/>
                <w:sz w:val="18"/>
                <w:szCs w:val="18"/>
                <w:color w:val="auto"/>
                <w:w w:val="99"/>
              </w:rPr>
              <w:t>February 12, 2024</w:t>
            </w:r>
          </w:p>
        </w:tc>
      </w:tr>
      <w:tr>
        <w:trPr>
          <w:trHeight w:val="859"/>
        </w:trPr>
        <w:tc>
          <w:tcPr>
            <w:tcW w:w="58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001-34600</w:t>
            </w:r>
          </w:p>
        </w:tc>
        <w:tc>
          <w:tcPr>
            <w:tcW w:w="94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10.1</w:t>
            </w:r>
          </w:p>
        </w:tc>
        <w:tc>
          <w:tcPr>
            <w:tcW w:w="1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August 6, 2024</w:t>
            </w:r>
          </w:p>
        </w:tc>
      </w:tr>
      <w:tr>
        <w:trPr>
          <w:trHeight w:val="859"/>
        </w:trPr>
        <w:tc>
          <w:tcPr>
            <w:tcW w:w="58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001-34600</w:t>
            </w:r>
          </w:p>
        </w:tc>
        <w:tc>
          <w:tcPr>
            <w:tcW w:w="94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10.2</w:t>
            </w:r>
          </w:p>
        </w:tc>
        <w:tc>
          <w:tcPr>
            <w:tcW w:w="1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August 6, 2024</w:t>
            </w:r>
          </w:p>
        </w:tc>
      </w:tr>
    </w:tbl>
    <w:p>
      <w:pPr>
        <w:spacing w:after="0" w:line="434" w:lineRule="exact"/>
        <w:rPr>
          <w:rFonts w:ascii="Times New Roman" w:cs="Times New Roman" w:eastAsia="Times New Roman" w:hAnsi="Times New Roman"/>
          <w:sz w:val="18"/>
          <w:szCs w:val="18"/>
          <w:u w:val="single" w:color="auto"/>
          <w:color w:val="0000FF"/>
        </w:rPr>
      </w:pPr>
    </w:p>
    <w:p>
      <w:pPr>
        <w:sectPr>
          <w:pgSz w:w="11900" w:h="16838" w:orient="portrait"/>
          <w:cols w:equalWidth="0" w:num="3">
            <w:col w:w="660" w:space="400"/>
            <w:col w:w="5100" w:space="340"/>
            <w:col w:w="4400"/>
          </w:cols>
          <w:pgMar w:left="320" w:top="117" w:right="679" w:bottom="1440" w:gutter="0" w:footer="0" w:header="0"/>
          <w:type w:val="continuous"/>
        </w:sectPr>
      </w:pPr>
    </w:p>
    <w:p>
      <w:pPr>
        <w:spacing w:after="0" w:line="200" w:lineRule="exact"/>
        <w:rPr>
          <w:rFonts w:ascii="Times New Roman" w:cs="Times New Roman" w:eastAsia="Times New Roman" w:hAnsi="Times New Roman"/>
          <w:sz w:val="18"/>
          <w:szCs w:val="18"/>
          <w:u w:val="single" w:color="auto"/>
          <w:color w:val="0000FF"/>
        </w:rPr>
      </w:pPr>
    </w:p>
    <w:p>
      <w:pPr>
        <w:spacing w:after="0" w:line="205" w:lineRule="exact"/>
        <w:rPr>
          <w:rFonts w:ascii="Times New Roman" w:cs="Times New Roman" w:eastAsia="Times New Roman" w:hAnsi="Times New Roman"/>
          <w:sz w:val="18"/>
          <w:szCs w:val="18"/>
          <w:u w:val="single" w:color="auto"/>
          <w:color w:val="0000FF"/>
        </w:rPr>
      </w:pPr>
    </w:p>
    <w:p>
      <w:pPr>
        <w:jc w:val="center"/>
        <w:ind w:right="-3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7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00"/>
          </w:cols>
          <w:pgMar w:left="320" w:top="117" w:right="67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10.26+</w:t>
            </w:r>
          </w:p>
        </w:tc>
        <w:tc>
          <w:tcPr>
            <w:tcW w:w="50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Form of Inducement Stock Option Award Agreement</w:t>
            </w:r>
          </w:p>
        </w:tc>
        <w:tc>
          <w:tcPr>
            <w:tcW w:w="0" w:type="dxa"/>
            <w:vAlign w:val="bottom"/>
          </w:tcPr>
          <w:p>
            <w:pPr>
              <w:spacing w:after="0"/>
              <w:rPr>
                <w:sz w:val="1"/>
                <w:szCs w:val="1"/>
                <w:color w:val="auto"/>
              </w:rPr>
            </w:pPr>
          </w:p>
        </w:tc>
      </w:tr>
      <w:tr>
        <w:trPr>
          <w:trHeight w:val="389"/>
        </w:trPr>
        <w:tc>
          <w:tcPr>
            <w:tcW w:w="400" w:type="dxa"/>
            <w:vAlign w:val="bottom"/>
            <w:gridSpan w:val="3"/>
            <w:vMerge w:val="restart"/>
          </w:tcPr>
          <w:p>
            <w:pPr>
              <w:spacing w:after="0"/>
              <w:rPr>
                <w:rFonts w:ascii="Times New Roman" w:cs="Times New Roman" w:eastAsia="Times New Roman" w:hAnsi="Times New Roman"/>
                <w:sz w:val="18"/>
                <w:szCs w:val="18"/>
                <w:color w:val="0000FF"/>
                <w:w w:val="93"/>
              </w:rPr>
            </w:pPr>
            <w:hyperlink r:id="rId172">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27</w:t>
              </w:r>
            </w:hyperlink>
          </w:p>
        </w:tc>
        <w:tc>
          <w:tcPr>
            <w:tcW w:w="740" w:type="dxa"/>
            <w:vAlign w:val="bottom"/>
          </w:tcPr>
          <w:p>
            <w:pPr>
              <w:spacing w:after="0"/>
              <w:rPr>
                <w:sz w:val="24"/>
                <w:szCs w:val="24"/>
                <w:color w:val="auto"/>
              </w:rPr>
            </w:pPr>
          </w:p>
        </w:tc>
        <w:tc>
          <w:tcPr>
            <w:tcW w:w="504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172">
              <w:r>
                <w:rPr>
                  <w:rFonts w:ascii="Times New Roman" w:cs="Times New Roman" w:eastAsia="Times New Roman" w:hAnsi="Times New Roman"/>
                  <w:sz w:val="18"/>
                  <w:szCs w:val="18"/>
                  <w:color w:val="0000FF"/>
                  <w:w w:val="99"/>
                </w:rPr>
                <w:t>Form of Securities Purchase Agreement, dated March 4, 2025, by and</w:t>
              </w:r>
            </w:hyperlink>
          </w:p>
        </w:tc>
        <w:tc>
          <w:tcPr>
            <w:tcW w:w="0" w:type="dxa"/>
            <w:vAlign w:val="bottom"/>
          </w:tcPr>
          <w:p>
            <w:pPr>
              <w:spacing w:after="0"/>
              <w:rPr>
                <w:sz w:val="1"/>
                <w:szCs w:val="1"/>
                <w:color w:val="auto"/>
              </w:rPr>
            </w:pPr>
          </w:p>
        </w:tc>
      </w:tr>
      <w:tr>
        <w:trPr>
          <w:trHeight w:val="92"/>
        </w:trPr>
        <w:tc>
          <w:tcPr>
            <w:tcW w:w="400" w:type="dxa"/>
            <w:vAlign w:val="bottom"/>
            <w:tcBorders>
              <w:bottom w:val="single" w:sz="8" w:color="0000FF"/>
            </w:tcBorders>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4920" w:type="dxa"/>
            <w:vAlign w:val="bottom"/>
            <w:gridSpan w:val="12"/>
            <w:vMerge w:val="restart"/>
          </w:tcPr>
          <w:p>
            <w:pPr>
              <w:spacing w:after="0" w:line="195"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among Tenax Therapeutics, Inc. and the investors signatory thereto.</w:t>
              </w:r>
            </w:hyperlink>
          </w:p>
        </w:tc>
        <w:tc>
          <w:tcPr>
            <w:tcW w:w="120" w:type="dxa"/>
            <w:vAlign w:val="bottom"/>
            <w:gridSpan w:val="2"/>
            <w:vMerge w:val="restart"/>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920" w:type="dxa"/>
            <w:vAlign w:val="bottom"/>
            <w:tcBorders>
              <w:bottom w:val="single" w:sz="8" w:color="0000EE"/>
            </w:tcBorders>
            <w:gridSpan w:val="12"/>
            <w:vMerge w:val="continue"/>
          </w:tcPr>
          <w:p>
            <w:pPr>
              <w:spacing w:after="0"/>
              <w:rPr>
                <w:sz w:val="7"/>
                <w:szCs w:val="7"/>
                <w:color w:val="auto"/>
              </w:rPr>
            </w:pPr>
          </w:p>
        </w:tc>
        <w:tc>
          <w:tcPr>
            <w:tcW w:w="1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09"/>
        </w:trPr>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90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173">
              <w:r>
                <w:rPr>
                  <w:rFonts w:ascii="Times New Roman" w:cs="Times New Roman" w:eastAsia="Times New Roman" w:hAnsi="Times New Roman"/>
                  <w:sz w:val="18"/>
                  <w:szCs w:val="18"/>
                  <w:color w:val="0000FF"/>
                  <w:w w:val="99"/>
                </w:rPr>
                <w:t>Form of Registration Rights Agreement, dated as of March 5, 2025,</w:t>
              </w:r>
            </w:hyperlink>
          </w:p>
        </w:tc>
        <w:tc>
          <w:tcPr>
            <w:tcW w:w="1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00" w:type="dxa"/>
            <w:vAlign w:val="bottom"/>
            <w:tcBorders>
              <w:bottom w:val="single" w:sz="8" w:color="0000FF"/>
            </w:tcBorders>
            <w:gridSpan w:val="3"/>
          </w:tcPr>
          <w:p>
            <w:pPr>
              <w:spacing w:after="0" w:line="195" w:lineRule="exact"/>
              <w:rPr>
                <w:rFonts w:ascii="Times New Roman" w:cs="Times New Roman" w:eastAsia="Times New Roman" w:hAnsi="Times New Roman"/>
                <w:sz w:val="18"/>
                <w:szCs w:val="18"/>
                <w:color w:val="0000FF"/>
                <w:w w:val="93"/>
              </w:rPr>
            </w:pPr>
            <w:hyperlink r:id="rId173">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28</w:t>
              </w:r>
            </w:hyperlink>
          </w:p>
        </w:tc>
        <w:tc>
          <w:tcPr>
            <w:tcW w:w="740" w:type="dxa"/>
            <w:vAlign w:val="bottom"/>
          </w:tcPr>
          <w:p>
            <w:pPr>
              <w:spacing w:after="0"/>
              <w:rPr>
                <w:sz w:val="16"/>
                <w:szCs w:val="16"/>
                <w:color w:val="auto"/>
              </w:rPr>
            </w:pPr>
          </w:p>
        </w:tc>
        <w:tc>
          <w:tcPr>
            <w:tcW w:w="4880" w:type="dxa"/>
            <w:vAlign w:val="bottom"/>
            <w:tcBorders>
              <w:bottom w:val="single" w:sz="8" w:color="0000FF"/>
            </w:tcBorders>
            <w:gridSpan w:val="10"/>
          </w:tcPr>
          <w:p>
            <w:pPr>
              <w:spacing w:after="0" w:line="195" w:lineRule="exact"/>
              <w:rPr>
                <w:rFonts w:ascii="Times New Roman" w:cs="Times New Roman" w:eastAsia="Times New Roman" w:hAnsi="Times New Roman"/>
                <w:sz w:val="18"/>
                <w:szCs w:val="18"/>
                <w:color w:val="0000FF"/>
                <w:w w:val="99"/>
              </w:rPr>
            </w:pPr>
            <w:hyperlink r:id="rId173">
              <w:r>
                <w:rPr>
                  <w:rFonts w:ascii="Times New Roman" w:cs="Times New Roman" w:eastAsia="Times New Roman" w:hAnsi="Times New Roman"/>
                  <w:sz w:val="18"/>
                  <w:szCs w:val="18"/>
                  <w:color w:val="0000FF"/>
                  <w:w w:val="99"/>
                </w:rPr>
                <w:t>by and between Tenax Therapeutics, Inc. and the purchasers named</w:t>
              </w:r>
            </w:hyperlink>
          </w:p>
        </w:tc>
        <w:tc>
          <w:tcPr>
            <w:tcW w:w="16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40" w:type="dxa"/>
            <w:vAlign w:val="bottom"/>
            <w:gridSpan w:val="14"/>
          </w:tcPr>
          <w:p>
            <w:pPr>
              <w:spacing w:after="0" w:line="195"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therein.</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19.1</w:t>
            </w: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Tenax Therapeutics, Inc. Insider Trading Policy, dated as of</w:t>
            </w:r>
          </w:p>
        </w:tc>
        <w:tc>
          <w:tcPr>
            <w:tcW w:w="0" w:type="dxa"/>
            <w:vAlign w:val="bottom"/>
          </w:tcPr>
          <w:p>
            <w:pPr>
              <w:spacing w:after="0"/>
              <w:rPr>
                <w:sz w:val="1"/>
                <w:szCs w:val="1"/>
                <w:color w:val="auto"/>
              </w:rPr>
            </w:pPr>
          </w:p>
        </w:tc>
      </w:tr>
      <w:tr>
        <w:trPr>
          <w:trHeight w:val="126"/>
        </w:trPr>
        <w:tc>
          <w:tcPr>
            <w:tcW w:w="34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4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color w:val="auto"/>
              </w:rPr>
              <w:t>September 20, 2023.</w:t>
            </w:r>
          </w:p>
        </w:tc>
        <w:tc>
          <w:tcPr>
            <w:tcW w:w="0" w:type="dxa"/>
            <w:vAlign w:val="bottom"/>
          </w:tcPr>
          <w:p>
            <w:pPr>
              <w:spacing w:after="0"/>
              <w:rPr>
                <w:sz w:val="1"/>
                <w:szCs w:val="1"/>
                <w:color w:val="auto"/>
              </w:rPr>
            </w:pPr>
          </w:p>
        </w:tc>
      </w:tr>
      <w:tr>
        <w:trPr>
          <w:trHeight w:val="107"/>
        </w:trPr>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40" w:type="dxa"/>
            <w:vAlign w:val="bottom"/>
            <w:gridSpan w:val="1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89"/>
        </w:trPr>
        <w:tc>
          <w:tcPr>
            <w:tcW w:w="320" w:type="dxa"/>
            <w:vAlign w:val="bottom"/>
            <w:tcBorders>
              <w:bottom w:val="single" w:sz="8" w:color="0000FF"/>
            </w:tcBorders>
          </w:tcPr>
          <w:p>
            <w:pPr>
              <w:spacing w:after="0"/>
              <w:rPr>
                <w:rFonts w:ascii="Times New Roman" w:cs="Times New Roman" w:eastAsia="Times New Roman" w:hAnsi="Times New Roman"/>
                <w:sz w:val="18"/>
                <w:szCs w:val="18"/>
                <w:color w:val="0000FF"/>
                <w:w w:val="95"/>
              </w:rPr>
            </w:pPr>
            <w:hyperlink r:id="rId174">
              <w:r>
                <w:rPr>
                  <w:rFonts w:ascii="Times New Roman" w:cs="Times New Roman" w:eastAsia="Times New Roman" w:hAnsi="Times New Roman"/>
                  <w:sz w:val="18"/>
                  <w:szCs w:val="18"/>
                  <w:color w:val="0000FF"/>
                  <w:w w:val="95"/>
                </w:rPr>
                <w:t>21.</w:t>
              </w:r>
              <w:r>
                <w:rPr>
                  <w:rFonts w:ascii="Times New Roman" w:cs="Times New Roman" w:eastAsia="Times New Roman" w:hAnsi="Times New Roman"/>
                  <w:sz w:val="18"/>
                  <w:szCs w:val="18"/>
                  <w:u w:val="single" w:color="auto"/>
                  <w:color w:val="0000FF"/>
                  <w:w w:val="95"/>
                </w:rPr>
                <w:t>1</w:t>
              </w:r>
            </w:hyperlink>
          </w:p>
        </w:tc>
        <w:tc>
          <w:tcPr>
            <w:tcW w:w="20" w:type="dxa"/>
            <w:vAlign w:val="bottom"/>
            <w:tcBorders>
              <w:bottom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2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8"/>
              </w:rPr>
            </w:pPr>
            <w:hyperlink r:id="rId174">
              <w:r>
                <w:rPr>
                  <w:rFonts w:ascii="Times New Roman" w:cs="Times New Roman" w:eastAsia="Times New Roman" w:hAnsi="Times New Roman"/>
                  <w:sz w:val="18"/>
                  <w:szCs w:val="18"/>
                  <w:color w:val="0000FF"/>
                  <w:w w:val="98"/>
                </w:rPr>
                <w:t>List of Subsidiaries of Registrant.</w:t>
              </w:r>
            </w:hyperlink>
          </w:p>
        </w:tc>
        <w:tc>
          <w:tcPr>
            <w:tcW w:w="26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23.</w:t>
            </w:r>
            <w:r>
              <w:rPr>
                <w:rFonts w:ascii="Times New Roman" w:cs="Times New Roman" w:eastAsia="Times New Roman" w:hAnsi="Times New Roman"/>
                <w:sz w:val="18"/>
                <w:szCs w:val="18"/>
                <w:u w:val="single" w:color="auto"/>
                <w:color w:val="0000FF"/>
                <w:w w:val="95"/>
              </w:rPr>
              <w:t>1</w:t>
            </w:r>
          </w:p>
        </w:tc>
        <w:tc>
          <w:tcPr>
            <w:tcW w:w="20" w:type="dxa"/>
            <w:vAlign w:val="bottom"/>
            <w:tcBorders>
              <w:bottom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3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Consent of Independent Registered Public Accounting Firm.</w:t>
            </w:r>
          </w:p>
        </w:tc>
        <w:tc>
          <w:tcPr>
            <w:tcW w:w="7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7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Certification of President and Chief Executive Officer Pursuant to</w:t>
            </w:r>
          </w:p>
        </w:tc>
        <w:tc>
          <w:tcPr>
            <w:tcW w:w="2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40" w:type="dxa"/>
            <w:vAlign w:val="bottom"/>
            <w:tcBorders>
              <w:bottom w:val="single" w:sz="8" w:color="0000FF"/>
            </w:tcBorders>
            <w:gridSpan w:val="5"/>
          </w:tcPr>
          <w:p>
            <w:pPr>
              <w:spacing w:after="0" w:line="195" w:lineRule="exact"/>
              <w:rPr>
                <w:sz w:val="20"/>
                <w:szCs w:val="20"/>
                <w:color w:val="auto"/>
              </w:rPr>
            </w:pPr>
            <w:r>
              <w:rPr>
                <w:rFonts w:ascii="Times New Roman" w:cs="Times New Roman" w:eastAsia="Times New Roman" w:hAnsi="Times New Roman"/>
                <w:sz w:val="18"/>
                <w:szCs w:val="18"/>
                <w:color w:val="0000FF"/>
                <w:w w:val="98"/>
              </w:rPr>
              <w:t>Section 302 of the Sarbanes-Oxley Act of 2002.</w:t>
            </w:r>
          </w:p>
        </w:tc>
        <w:tc>
          <w:tcPr>
            <w:tcW w:w="20" w:type="dxa"/>
            <w:vAlign w:val="bottom"/>
            <w:tcBorders>
              <w:bottom w:val="single" w:sz="8" w:color="0000EE"/>
            </w:tcBorders>
          </w:tcPr>
          <w:p>
            <w:pPr>
              <w:spacing w:after="0"/>
              <w:rPr>
                <w:sz w:val="16"/>
                <w:szCs w:val="16"/>
                <w:color w:val="auto"/>
              </w:rPr>
            </w:pPr>
          </w:p>
        </w:tc>
        <w:tc>
          <w:tcPr>
            <w:tcW w:w="1580" w:type="dxa"/>
            <w:vAlign w:val="bottom"/>
            <w:gridSpan w:val="8"/>
          </w:tcPr>
          <w:p>
            <w:pPr>
              <w:spacing w:after="0"/>
              <w:rPr>
                <w:sz w:val="16"/>
                <w:szCs w:val="16"/>
                <w:color w:val="auto"/>
              </w:rPr>
            </w:pPr>
          </w:p>
        </w:tc>
        <w:tc>
          <w:tcPr>
            <w:tcW w:w="0" w:type="dxa"/>
            <w:vAlign w:val="bottom"/>
          </w:tcPr>
          <w:p>
            <w:pPr>
              <w:spacing w:after="0"/>
              <w:rPr>
                <w:sz w:val="1"/>
                <w:szCs w:val="1"/>
                <w:color w:val="auto"/>
              </w:rPr>
            </w:pPr>
          </w:p>
        </w:tc>
      </w:tr>
      <w:tr>
        <w:trPr>
          <w:trHeight w:val="409"/>
        </w:trPr>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Certification of Interim Chief Financial Officer Pursuant to Section</w:t>
            </w:r>
          </w:p>
        </w:tc>
        <w:tc>
          <w:tcPr>
            <w:tcW w:w="1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60" w:type="dxa"/>
            <w:vAlign w:val="bottom"/>
            <w:tcBorders>
              <w:bottom w:val="single" w:sz="8" w:color="0000FF"/>
            </w:tcBorders>
            <w:gridSpan w:val="4"/>
          </w:tcPr>
          <w:p>
            <w:pPr>
              <w:spacing w:after="0" w:line="195" w:lineRule="exact"/>
              <w:rPr>
                <w:sz w:val="20"/>
                <w:szCs w:val="20"/>
                <w:color w:val="auto"/>
              </w:rPr>
            </w:pPr>
            <w:r>
              <w:rPr>
                <w:rFonts w:ascii="Times New Roman" w:cs="Times New Roman" w:eastAsia="Times New Roman" w:hAnsi="Times New Roman"/>
                <w:sz w:val="18"/>
                <w:szCs w:val="18"/>
                <w:color w:val="0000FF"/>
                <w:w w:val="98"/>
              </w:rPr>
              <w:t>302 of the Sarbanes-Oxley Act of 2002.</w:t>
            </w:r>
          </w:p>
        </w:tc>
        <w:tc>
          <w:tcPr>
            <w:tcW w:w="2180" w:type="dxa"/>
            <w:vAlign w:val="bottom"/>
            <w:gridSpan w:val="10"/>
          </w:tcPr>
          <w:p>
            <w:pPr>
              <w:spacing w:after="0"/>
              <w:rPr>
                <w:sz w:val="16"/>
                <w:szCs w:val="16"/>
                <w:color w:val="auto"/>
              </w:rPr>
            </w:pPr>
          </w:p>
        </w:tc>
        <w:tc>
          <w:tcPr>
            <w:tcW w:w="0" w:type="dxa"/>
            <w:vAlign w:val="bottom"/>
          </w:tcPr>
          <w:p>
            <w:pPr>
              <w:spacing w:after="0"/>
              <w:rPr>
                <w:sz w:val="1"/>
                <w:szCs w:val="1"/>
                <w:color w:val="auto"/>
              </w:rPr>
            </w:pPr>
          </w:p>
        </w:tc>
      </w:tr>
      <w:tr>
        <w:trPr>
          <w:trHeight w:val="409"/>
        </w:trPr>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Certification of the President and Chief Executive Officer pursuant to</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780" w:type="dxa"/>
            <w:vAlign w:val="bottom"/>
            <w:tcBorders>
              <w:bottom w:val="single" w:sz="8" w:color="0000FF"/>
            </w:tcBorders>
            <w:gridSpan w:val="8"/>
          </w:tcPr>
          <w:p>
            <w:pPr>
              <w:spacing w:after="0" w:line="195" w:lineRule="exact"/>
              <w:rPr>
                <w:sz w:val="20"/>
                <w:szCs w:val="20"/>
                <w:color w:val="auto"/>
              </w:rPr>
            </w:pPr>
            <w:r>
              <w:rPr>
                <w:rFonts w:ascii="Times New Roman" w:cs="Times New Roman" w:eastAsia="Times New Roman" w:hAnsi="Times New Roman"/>
                <w:sz w:val="18"/>
                <w:szCs w:val="18"/>
                <w:color w:val="0000FF"/>
                <w:w w:val="99"/>
              </w:rPr>
              <w:t>18 U.S.C. Section 1350, as adopted pursuant to Section 906 of the</w:t>
            </w:r>
          </w:p>
        </w:tc>
        <w:tc>
          <w:tcPr>
            <w:tcW w:w="260" w:type="dxa"/>
            <w:vAlign w:val="bottom"/>
            <w:gridSpan w:val="6"/>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40" w:type="dxa"/>
            <w:vAlign w:val="bottom"/>
            <w:gridSpan w:val="14"/>
          </w:tcPr>
          <w:p>
            <w:pPr>
              <w:spacing w:after="0" w:line="195" w:lineRule="exact"/>
              <w:rPr>
                <w:sz w:val="20"/>
                <w:szCs w:val="20"/>
                <w:color w:val="auto"/>
              </w:rPr>
            </w:pPr>
            <w:r>
              <w:rPr>
                <w:rFonts w:ascii="Times New Roman" w:cs="Times New Roman" w:eastAsia="Times New Roman" w:hAnsi="Times New Roman"/>
                <w:sz w:val="18"/>
                <w:szCs w:val="18"/>
                <w:color w:val="0000FF"/>
              </w:rPr>
              <w:t>Sarbanes-Oxley Act of 2002.</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-3391535</wp:posOffset>
            </wp:positionV>
            <wp:extent cx="7132955" cy="1365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75">
                      <a:extLst>
                        <a:ext uri="{28A0092B-C50C-407E-A947-70E740481C1C}"/>
                      </a:extLst>
                    </a:blip>
                    <a:srcRect/>
                    <a:stretch>
                      <a:fillRect/>
                    </a:stretch>
                  </pic:blipFill>
                  <pic:spPr bwMode="auto">
                    <a:xfrm>
                      <a:off x="0" y="0"/>
                      <a:ext cx="7132955" cy="13652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-3118485</wp:posOffset>
            </wp:positionV>
            <wp:extent cx="7132955" cy="2724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76">
                      <a:extLst>
                        <a:ext uri="{28A0092B-C50C-407E-A947-70E740481C1C}"/>
                      </a:extLst>
                    </a:blip>
                    <a:srcRect/>
                    <a:stretch>
                      <a:fillRect/>
                    </a:stretch>
                  </pic:blipFill>
                  <pic:spPr bwMode="auto">
                    <a:xfrm>
                      <a:off x="0" y="0"/>
                      <a:ext cx="7132955" cy="2724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-2709545</wp:posOffset>
            </wp:positionV>
            <wp:extent cx="7132955" cy="408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77">
                      <a:extLst>
                        <a:ext uri="{28A0092B-C50C-407E-A947-70E740481C1C}"/>
                      </a:extLst>
                    </a:blip>
                    <a:srcRect/>
                    <a:stretch>
                      <a:fillRect/>
                    </a:stretch>
                  </pic:blipFill>
                  <pic:spPr bwMode="auto">
                    <a:xfrm>
                      <a:off x="0" y="0"/>
                      <a:ext cx="7132955" cy="40894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-2164080</wp:posOffset>
            </wp:positionV>
            <wp:extent cx="7132955" cy="2724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78">
                      <a:extLst>
                        <a:ext uri="{28A0092B-C50C-407E-A947-70E740481C1C}"/>
                      </a:extLst>
                    </a:blip>
                    <a:srcRect/>
                    <a:stretch>
                      <a:fillRect/>
                    </a:stretch>
                  </pic:blipFill>
                  <pic:spPr bwMode="auto">
                    <a:xfrm>
                      <a:off x="0" y="0"/>
                      <a:ext cx="7132955" cy="2724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-1755140</wp:posOffset>
            </wp:positionV>
            <wp:extent cx="7132955" cy="1365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79">
                      <a:extLst>
                        <a:ext uri="{28A0092B-C50C-407E-A947-70E740481C1C}"/>
                      </a:extLst>
                    </a:blip>
                    <a:srcRect/>
                    <a:stretch>
                      <a:fillRect/>
                    </a:stretch>
                  </pic:blipFill>
                  <pic:spPr bwMode="auto">
                    <a:xfrm>
                      <a:off x="0" y="0"/>
                      <a:ext cx="7132955" cy="13652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-1482090</wp:posOffset>
            </wp:positionV>
            <wp:extent cx="7132955" cy="1365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80">
                      <a:extLst>
                        <a:ext uri="{28A0092B-C50C-407E-A947-70E740481C1C}"/>
                      </a:extLst>
                    </a:blip>
                    <a:srcRect/>
                    <a:stretch>
                      <a:fillRect/>
                    </a:stretch>
                  </pic:blipFill>
                  <pic:spPr bwMode="auto">
                    <a:xfrm>
                      <a:off x="0" y="0"/>
                      <a:ext cx="7132955" cy="13652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-1209675</wp:posOffset>
            </wp:positionV>
            <wp:extent cx="7132955" cy="2724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81">
                      <a:extLst>
                        <a:ext uri="{28A0092B-C50C-407E-A947-70E740481C1C}"/>
                      </a:extLst>
                    </a:blip>
                    <a:srcRect/>
                    <a:stretch>
                      <a:fillRect/>
                    </a:stretch>
                  </pic:blipFill>
                  <pic:spPr bwMode="auto">
                    <a:xfrm>
                      <a:off x="0" y="0"/>
                      <a:ext cx="7132955" cy="2724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-800735</wp:posOffset>
            </wp:positionV>
            <wp:extent cx="7132955" cy="2724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82">
                      <a:extLst>
                        <a:ext uri="{28A0092B-C50C-407E-A947-70E740481C1C}"/>
                      </a:extLst>
                    </a:blip>
                    <a:srcRect/>
                    <a:stretch>
                      <a:fillRect/>
                    </a:stretch>
                  </pic:blipFill>
                  <pic:spPr bwMode="auto">
                    <a:xfrm>
                      <a:off x="0" y="0"/>
                      <a:ext cx="7132955" cy="2724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-391160</wp:posOffset>
            </wp:positionV>
            <wp:extent cx="7132955" cy="408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83">
                      <a:extLst>
                        <a:ext uri="{28A0092B-C50C-407E-A947-70E740481C1C}"/>
                      </a:extLst>
                    </a:blip>
                    <a:srcRect/>
                    <a:stretch>
                      <a:fillRect/>
                    </a:stretch>
                  </pic:blipFill>
                  <pic:spPr bwMode="auto">
                    <a:xfrm>
                      <a:off x="0" y="0"/>
                      <a:ext cx="7132955" cy="4089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60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1740" w:type="dxa"/>
            <w:vAlign w:val="bottom"/>
          </w:tcPr>
          <w:p>
            <w:pPr>
              <w:jc w:val="center"/>
              <w:ind w:left="291"/>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537"/>
        </w:trPr>
        <w:tc>
          <w:tcPr>
            <w:tcW w:w="600" w:type="dxa"/>
            <w:vAlign w:val="bottom"/>
          </w:tcPr>
          <w:p>
            <w:pPr>
              <w:jc w:val="center"/>
              <w:ind w:right="111"/>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001-34600</w:t>
            </w:r>
          </w:p>
        </w:tc>
        <w:tc>
          <w:tcPr>
            <w:tcW w:w="88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10.1</w:t>
            </w:r>
          </w:p>
        </w:tc>
        <w:tc>
          <w:tcPr>
            <w:tcW w:w="1740" w:type="dxa"/>
            <w:vAlign w:val="bottom"/>
          </w:tcPr>
          <w:p>
            <w:pPr>
              <w:jc w:val="center"/>
              <w:ind w:left="291"/>
              <w:spacing w:after="0"/>
              <w:rPr>
                <w:sz w:val="20"/>
                <w:szCs w:val="20"/>
                <w:color w:val="auto"/>
              </w:rPr>
            </w:pPr>
            <w:r>
              <w:rPr>
                <w:rFonts w:ascii="Times New Roman" w:cs="Times New Roman" w:eastAsia="Times New Roman" w:hAnsi="Times New Roman"/>
                <w:sz w:val="18"/>
                <w:szCs w:val="18"/>
                <w:color w:val="auto"/>
                <w:w w:val="98"/>
              </w:rPr>
              <w:t>March 6, 2025</w:t>
            </w:r>
          </w:p>
        </w:tc>
      </w:tr>
      <w:tr>
        <w:trPr>
          <w:trHeight w:val="752"/>
        </w:trPr>
        <w:tc>
          <w:tcPr>
            <w:tcW w:w="600" w:type="dxa"/>
            <w:vAlign w:val="bottom"/>
          </w:tcPr>
          <w:p>
            <w:pPr>
              <w:jc w:val="center"/>
              <w:ind w:right="111"/>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001-34600</w:t>
            </w:r>
          </w:p>
        </w:tc>
        <w:tc>
          <w:tcPr>
            <w:tcW w:w="88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10.2</w:t>
            </w:r>
          </w:p>
        </w:tc>
        <w:tc>
          <w:tcPr>
            <w:tcW w:w="1740" w:type="dxa"/>
            <w:vAlign w:val="bottom"/>
          </w:tcPr>
          <w:p>
            <w:pPr>
              <w:jc w:val="center"/>
              <w:ind w:left="291"/>
              <w:spacing w:after="0"/>
              <w:rPr>
                <w:sz w:val="20"/>
                <w:szCs w:val="20"/>
                <w:color w:val="auto"/>
              </w:rPr>
            </w:pPr>
            <w:r>
              <w:rPr>
                <w:rFonts w:ascii="Times New Roman" w:cs="Times New Roman" w:eastAsia="Times New Roman" w:hAnsi="Times New Roman"/>
                <w:sz w:val="18"/>
                <w:szCs w:val="18"/>
                <w:color w:val="auto"/>
                <w:w w:val="98"/>
              </w:rPr>
              <w:t>March 6, 2025</w:t>
            </w:r>
          </w:p>
        </w:tc>
      </w:tr>
      <w:tr>
        <w:trPr>
          <w:trHeight w:val="752"/>
        </w:trPr>
        <w:tc>
          <w:tcPr>
            <w:tcW w:w="60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1740" w:type="dxa"/>
            <w:vAlign w:val="bottom"/>
          </w:tcPr>
          <w:p>
            <w:pPr>
              <w:jc w:val="center"/>
              <w:ind w:left="291"/>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537"/>
        </w:trPr>
        <w:tc>
          <w:tcPr>
            <w:tcW w:w="60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rPr>
              <w:t>10-K</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001-34600</w:t>
            </w:r>
          </w:p>
        </w:tc>
        <w:tc>
          <w:tcPr>
            <w:tcW w:w="88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21.1</w:t>
            </w:r>
          </w:p>
        </w:tc>
        <w:tc>
          <w:tcPr>
            <w:tcW w:w="1740" w:type="dxa"/>
            <w:vAlign w:val="bottom"/>
          </w:tcPr>
          <w:p>
            <w:pPr>
              <w:jc w:val="center"/>
              <w:ind w:left="271"/>
              <w:spacing w:after="0"/>
              <w:rPr>
                <w:sz w:val="20"/>
                <w:szCs w:val="20"/>
                <w:color w:val="auto"/>
              </w:rPr>
            </w:pPr>
            <w:r>
              <w:rPr>
                <w:rFonts w:ascii="Times New Roman" w:cs="Times New Roman" w:eastAsia="Times New Roman" w:hAnsi="Times New Roman"/>
                <w:sz w:val="18"/>
                <w:szCs w:val="18"/>
                <w:color w:val="auto"/>
                <w:w w:val="99"/>
              </w:rPr>
              <w:t>March 31, 2023</w:t>
            </w:r>
          </w:p>
        </w:tc>
      </w:tr>
      <w:tr>
        <w:trPr>
          <w:trHeight w:val="429"/>
        </w:trPr>
        <w:tc>
          <w:tcPr>
            <w:tcW w:w="60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1740" w:type="dxa"/>
            <w:vAlign w:val="bottom"/>
          </w:tcPr>
          <w:p>
            <w:pPr>
              <w:jc w:val="center"/>
              <w:ind w:left="291"/>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429"/>
        </w:trPr>
        <w:tc>
          <w:tcPr>
            <w:tcW w:w="60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1740" w:type="dxa"/>
            <w:vAlign w:val="bottom"/>
          </w:tcPr>
          <w:p>
            <w:pPr>
              <w:jc w:val="center"/>
              <w:ind w:left="291"/>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644"/>
        </w:trPr>
        <w:tc>
          <w:tcPr>
            <w:tcW w:w="60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1740" w:type="dxa"/>
            <w:vAlign w:val="bottom"/>
          </w:tcPr>
          <w:p>
            <w:pPr>
              <w:jc w:val="center"/>
              <w:ind w:left="291"/>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644"/>
        </w:trPr>
        <w:tc>
          <w:tcPr>
            <w:tcW w:w="60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1740" w:type="dxa"/>
            <w:vAlign w:val="bottom"/>
          </w:tcPr>
          <w:p>
            <w:pPr>
              <w:jc w:val="center"/>
              <w:ind w:left="271"/>
              <w:spacing w:after="0"/>
              <w:rPr>
                <w:sz w:val="20"/>
                <w:szCs w:val="20"/>
                <w:color w:val="auto"/>
              </w:rPr>
            </w:pPr>
            <w:r>
              <w:rPr>
                <w:rFonts w:ascii="Times New Roman" w:cs="Times New Roman" w:eastAsia="Times New Roman" w:hAnsi="Times New Roman"/>
                <w:sz w:val="18"/>
                <w:szCs w:val="18"/>
                <w:color w:val="auto"/>
                <w:w w:val="98"/>
              </w:rPr>
              <w:t>Furnished herewith</w:t>
            </w:r>
          </w:p>
        </w:tc>
      </w:tr>
    </w:tbl>
    <w:p>
      <w:pPr>
        <w:spacing w:after="0" w:line="602" w:lineRule="exact"/>
        <w:rPr>
          <w:sz w:val="20"/>
          <w:szCs w:val="20"/>
          <w:color w:val="auto"/>
        </w:rPr>
      </w:pPr>
    </w:p>
    <w:p>
      <w:pPr>
        <w:sectPr>
          <w:pgSz w:w="11900" w:h="16838" w:orient="portrait"/>
          <w:cols w:equalWidth="0" w:num="2">
            <w:col w:w="6200" w:space="280"/>
            <w:col w:w="4760"/>
          </w:cols>
          <w:pgMar w:left="320" w:top="117" w:right="339" w:bottom="1440" w:gutter="0" w:footer="0" w:header="0"/>
          <w:type w:val="continuous"/>
        </w:sectPr>
      </w:pP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0000FF"/>
            </w:tcBorders>
            <w:shd w:val="clear" w:color="auto" w:fill="CCEEFF"/>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2</w:t>
            </w:r>
          </w:p>
        </w:tc>
        <w:tc>
          <w:tcPr>
            <w:tcW w:w="820" w:type="dxa"/>
            <w:vAlign w:val="bottom"/>
            <w:tcBorders>
              <w:bottom w:val="single" w:sz="8" w:color="CCEEFF"/>
            </w:tcBorders>
            <w:shd w:val="clear" w:color="auto" w:fill="CCEEFF"/>
          </w:tcPr>
          <w:p>
            <w:pPr>
              <w:spacing w:after="0"/>
              <w:rPr>
                <w:sz w:val="18"/>
                <w:szCs w:val="18"/>
                <w:color w:val="auto"/>
              </w:rPr>
            </w:pPr>
          </w:p>
        </w:tc>
        <w:tc>
          <w:tcPr>
            <w:tcW w:w="4760" w:type="dxa"/>
            <w:vAlign w:val="bottom"/>
            <w:tcBorders>
              <w:bottom w:val="single" w:sz="8" w:color="0000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FF"/>
                <w:w w:val="99"/>
              </w:rPr>
              <w:t>Certification of the Interim Chief Financial Officer pursuant to 18</w:t>
            </w:r>
          </w:p>
        </w:tc>
        <w:tc>
          <w:tcPr>
            <w:tcW w:w="320" w:type="dxa"/>
            <w:vAlign w:val="bottom"/>
            <w:tcBorders>
              <w:bottom w:val="single" w:sz="8" w:color="CCEEFF"/>
            </w:tcBorders>
            <w:gridSpan w:val="2"/>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tcBorders>
              <w:bottom w:val="single" w:sz="8" w:color="CCEEFF"/>
            </w:tcBorders>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Furnished herewith</w:t>
            </w:r>
          </w:p>
        </w:tc>
      </w:tr>
      <w:tr>
        <w:trPr>
          <w:trHeight w:val="195"/>
        </w:trPr>
        <w:tc>
          <w:tcPr>
            <w:tcW w:w="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4560" w:type="dxa"/>
            <w:vAlign w:val="bottom"/>
            <w:tcBorders>
              <w:bottom w:val="single" w:sz="8" w:color="0000FF"/>
            </w:tcBorders>
            <w:gridSpan w:val="3"/>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w w:val="99"/>
              </w:rPr>
              <w:t>U.S.C. Section 1350, as adopted pursuant to Section 906 of the</w:t>
            </w:r>
          </w:p>
        </w:tc>
        <w:tc>
          <w:tcPr>
            <w:tcW w:w="520" w:type="dxa"/>
            <w:vAlign w:val="bottom"/>
            <w:tcBorders>
              <w:bottom w:val="single" w:sz="8" w:color="CCEEFF"/>
            </w:tcBorders>
            <w:gridSpan w:val="3"/>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2060" w:type="dxa"/>
            <w:vAlign w:val="bottom"/>
            <w:tcBorders>
              <w:bottom w:val="single" w:sz="8" w:color="CCEEFF"/>
            </w:tcBorders>
            <w:shd w:val="clear" w:color="auto" w:fill="CCEEFF"/>
          </w:tcPr>
          <w:p>
            <w:pPr>
              <w:spacing w:after="0"/>
              <w:rPr>
                <w:sz w:val="16"/>
                <w:szCs w:val="16"/>
                <w:color w:val="auto"/>
              </w:rPr>
            </w:pPr>
          </w:p>
        </w:tc>
      </w:tr>
      <w:tr>
        <w:trPr>
          <w:trHeight w:val="215"/>
        </w:trPr>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80" w:type="dxa"/>
            <w:vAlign w:val="bottom"/>
            <w:gridSpan w:val="6"/>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Sarbanes-Oxley Act of 2002.</w:t>
            </w:r>
          </w:p>
        </w:tc>
        <w:tc>
          <w:tcPr>
            <w:tcW w:w="8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r>
      <w:tr>
        <w:trPr>
          <w:trHeight w:val="215"/>
        </w:trPr>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480" w:type="dxa"/>
            <w:vAlign w:val="bottom"/>
            <w:tcBorders>
              <w:top w:val="single" w:sz="8" w:color="0000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24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r>
      <w:tr>
        <w:trPr>
          <w:trHeight w:val="174"/>
        </w:trPr>
        <w:tc>
          <w:tcPr>
            <w:tcW w:w="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0000FF"/>
            </w:tcBorders>
            <w:shd w:val="clear" w:color="auto" w:fill="CCEEFF"/>
          </w:tcPr>
          <w:p>
            <w:pPr>
              <w:spacing w:after="0" w:line="175" w:lineRule="exact"/>
              <w:rPr>
                <w:rFonts w:ascii="Times New Roman" w:cs="Times New Roman" w:eastAsia="Times New Roman" w:hAnsi="Times New Roman"/>
                <w:sz w:val="18"/>
                <w:szCs w:val="18"/>
                <w:color w:val="0000FF"/>
                <w:w w:val="95"/>
              </w:rPr>
            </w:pPr>
            <w:hyperlink r:id="rId184">
              <w:r>
                <w:rPr>
                  <w:rFonts w:ascii="Times New Roman" w:cs="Times New Roman" w:eastAsia="Times New Roman" w:hAnsi="Times New Roman"/>
                  <w:sz w:val="18"/>
                  <w:szCs w:val="18"/>
                  <w:color w:val="0000FF"/>
                  <w:w w:val="95"/>
                </w:rPr>
                <w:t>97.</w:t>
              </w:r>
              <w:r>
                <w:rPr>
                  <w:rFonts w:ascii="Times New Roman" w:cs="Times New Roman" w:eastAsia="Times New Roman" w:hAnsi="Times New Roman"/>
                  <w:sz w:val="18"/>
                  <w:szCs w:val="18"/>
                  <w:u w:val="single" w:color="auto"/>
                  <w:color w:val="0000FF"/>
                  <w:w w:val="95"/>
                </w:rPr>
                <w:t>1</w:t>
              </w:r>
            </w:hyperlink>
          </w:p>
        </w:tc>
        <w:tc>
          <w:tcPr>
            <w:tcW w:w="820" w:type="dxa"/>
            <w:vAlign w:val="bottom"/>
            <w:tcBorders>
              <w:bottom w:val="single" w:sz="8" w:color="CCEEFF"/>
            </w:tcBorders>
            <w:shd w:val="clear" w:color="auto" w:fill="CCEEFF"/>
          </w:tcPr>
          <w:p>
            <w:pPr>
              <w:spacing w:after="0"/>
              <w:rPr>
                <w:sz w:val="15"/>
                <w:szCs w:val="15"/>
                <w:color w:val="auto"/>
              </w:rPr>
            </w:pPr>
          </w:p>
        </w:tc>
        <w:tc>
          <w:tcPr>
            <w:tcW w:w="4780" w:type="dxa"/>
            <w:vAlign w:val="bottom"/>
            <w:tcBorders>
              <w:bottom w:val="single" w:sz="8" w:color="0000FF"/>
            </w:tcBorders>
            <w:gridSpan w:val="5"/>
            <w:shd w:val="clear" w:color="auto" w:fill="CCEEFF"/>
          </w:tcPr>
          <w:p>
            <w:pPr>
              <w:spacing w:after="0" w:line="175" w:lineRule="exact"/>
              <w:rPr>
                <w:rFonts w:ascii="Times New Roman" w:cs="Times New Roman" w:eastAsia="Times New Roman" w:hAnsi="Times New Roman"/>
                <w:sz w:val="18"/>
                <w:szCs w:val="18"/>
                <w:color w:val="0000FF"/>
                <w:w w:val="99"/>
              </w:rPr>
            </w:pPr>
            <w:hyperlink r:id="rId184">
              <w:r>
                <w:rPr>
                  <w:rFonts w:ascii="Times New Roman" w:cs="Times New Roman" w:eastAsia="Times New Roman" w:hAnsi="Times New Roman"/>
                  <w:sz w:val="18"/>
                  <w:szCs w:val="18"/>
                  <w:color w:val="0000FF"/>
                  <w:w w:val="99"/>
                </w:rPr>
                <w:t>Tenax Therapeutics, Inc. Compensation Recovery Policy, adopted</w:t>
              </w:r>
            </w:hyperlink>
          </w:p>
        </w:tc>
        <w:tc>
          <w:tcPr>
            <w:tcW w:w="3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rPr>
              <w:t>10-K</w:t>
            </w:r>
          </w:p>
        </w:tc>
        <w:tc>
          <w:tcPr>
            <w:tcW w:w="122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001-34600</w:t>
            </w:r>
          </w:p>
        </w:tc>
        <w:tc>
          <w:tcPr>
            <w:tcW w:w="880" w:type="dxa"/>
            <w:vAlign w:val="bottom"/>
            <w:tcBorders>
              <w:bottom w:val="single" w:sz="8" w:color="CCEEFF"/>
            </w:tcBorders>
            <w:shd w:val="clear" w:color="auto" w:fill="CCEEFF"/>
          </w:tcPr>
          <w:p>
            <w:pPr>
              <w:jc w:val="center"/>
              <w:ind w:right="31"/>
              <w:spacing w:after="0" w:line="175" w:lineRule="exact"/>
              <w:rPr>
                <w:sz w:val="20"/>
                <w:szCs w:val="20"/>
                <w:color w:val="auto"/>
              </w:rPr>
            </w:pPr>
            <w:r>
              <w:rPr>
                <w:rFonts w:ascii="Times New Roman" w:cs="Times New Roman" w:eastAsia="Times New Roman" w:hAnsi="Times New Roman"/>
                <w:sz w:val="18"/>
                <w:szCs w:val="18"/>
                <w:color w:val="auto"/>
              </w:rPr>
              <w:t>97.1</w:t>
            </w:r>
          </w:p>
        </w:tc>
        <w:tc>
          <w:tcPr>
            <w:tcW w:w="206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March 28, 2024</w:t>
            </w:r>
          </w:p>
        </w:tc>
      </w:tr>
      <w:tr>
        <w:trPr>
          <w:trHeight w:val="215"/>
        </w:trPr>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80" w:type="dxa"/>
            <w:vAlign w:val="bottom"/>
            <w:gridSpan w:val="6"/>
            <w:shd w:val="clear" w:color="auto" w:fill="CCEEFF"/>
          </w:tcPr>
          <w:p>
            <w:pPr>
              <w:spacing w:after="0" w:line="195"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September 20, 2023.</w:t>
              </w:r>
            </w:hyperlink>
          </w:p>
        </w:tc>
        <w:tc>
          <w:tcPr>
            <w:tcW w:w="8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r>
      <w:tr>
        <w:trPr>
          <w:trHeight w:val="215"/>
        </w:trPr>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480" w:type="dxa"/>
            <w:vAlign w:val="bottom"/>
            <w:tcBorders>
              <w:top w:val="single" w:sz="8" w:color="0000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4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r>
      <w:tr>
        <w:trPr>
          <w:trHeight w:val="215"/>
        </w:trPr>
        <w:tc>
          <w:tcPr>
            <w:tcW w:w="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50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15"/>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5"/>
        </w:trPr>
        <w:tc>
          <w:tcPr>
            <w:tcW w:w="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50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15"/>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5"/>
        </w:trPr>
        <w:tc>
          <w:tcPr>
            <w:tcW w:w="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50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15"/>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5"/>
        </w:trPr>
        <w:tc>
          <w:tcPr>
            <w:tcW w:w="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50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15"/>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5"/>
        </w:trPr>
        <w:tc>
          <w:tcPr>
            <w:tcW w:w="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50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15"/>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5"/>
        </w:trPr>
        <w:tc>
          <w:tcPr>
            <w:tcW w:w="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50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85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560" w:type="dxa"/>
            <w:vAlign w:val="bottom"/>
            <w:gridSpan w:val="3"/>
          </w:tcPr>
          <w:p>
            <w:pPr>
              <w:ind w:left="4380"/>
              <w:spacing w:after="0"/>
              <w:rPr>
                <w:sz w:val="20"/>
                <w:szCs w:val="20"/>
                <w:color w:val="auto"/>
              </w:rPr>
            </w:pPr>
            <w:r>
              <w:rPr>
                <w:rFonts w:ascii="Times New Roman" w:cs="Times New Roman" w:eastAsia="Times New Roman" w:hAnsi="Times New Roman"/>
                <w:sz w:val="18"/>
                <w:szCs w:val="18"/>
                <w:color w:val="auto"/>
                <w:w w:val="88"/>
              </w:rPr>
              <w:t>50</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758"/>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8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96"/>
              </w:rPr>
              <w:t>104</w:t>
            </w:r>
          </w:p>
        </w:tc>
        <w:tc>
          <w:tcPr>
            <w:tcW w:w="7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3480" w:type="dxa"/>
            <w:vAlign w:val="bottom"/>
            <w:shd w:val="clear" w:color="auto" w:fill="CCEEFF"/>
          </w:tcPr>
          <w:p>
            <w:pPr>
              <w:ind w:left="196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3"/>
        </w:trPr>
        <w:tc>
          <w:tcPr>
            <w:tcW w:w="720" w:type="dxa"/>
            <w:vAlign w:val="bottom"/>
            <w:shd w:val="clear" w:color="auto" w:fill="CCEEFF"/>
          </w:tcPr>
          <w:p>
            <w:pPr>
              <w:spacing w:after="0"/>
              <w:rPr>
                <w:sz w:val="20"/>
                <w:szCs w:val="20"/>
                <w:color w:val="auto"/>
              </w:rPr>
            </w:pPr>
          </w:p>
        </w:tc>
        <w:tc>
          <w:tcPr>
            <w:tcW w:w="7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contained in Exhibit 101).</w:t>
            </w:r>
          </w:p>
        </w:tc>
        <w:tc>
          <w:tcPr>
            <w:tcW w:w="3480" w:type="dxa"/>
            <w:vAlign w:val="bottom"/>
            <w:shd w:val="clear" w:color="auto" w:fill="CCEEFF"/>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180657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87">
                      <a:extLst>
                        <a:ext uri="{28A0092B-C50C-407E-A947-70E740481C1C}"/>
                      </a:extLst>
                    </a:blip>
                    <a:srcRect/>
                    <a:stretch>
                      <a:fillRect/>
                    </a:stretch>
                  </pic:blipFill>
                  <pic:spPr bwMode="auto">
                    <a:xfrm>
                      <a:off x="0" y="0"/>
                      <a:ext cx="1806575" cy="825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 or compensatory plan.</w:t>
      </w:r>
    </w:p>
    <w:p>
      <w:pPr>
        <w:spacing w:after="0" w:line="26" w:lineRule="exact"/>
        <w:rPr>
          <w:sz w:val="20"/>
          <w:szCs w:val="20"/>
          <w:color w:val="auto"/>
        </w:rPr>
      </w:pPr>
    </w:p>
    <w:p>
      <w:pPr>
        <w:jc w:val="both"/>
        <w:ind w:firstLine="7"/>
        <w:spacing w:after="0" w:line="253" w:lineRule="auto"/>
        <w:tabs>
          <w:tab w:leader="none" w:pos="14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portions and/or the schedules and attachments to this exhibit have been omitted from this filing pursuant to a confidential treatment request filed with the SEC, or Item 601(a)(5) or 601(b)(10)of Regulation S-K, as applicable. The Company agrees to furnish supplementally an unredacted copy of the exhibit to the SEC upon request.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16—FORM 10-K SUMMARY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8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6"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and Exchange Act of 1934, the registrant has duly caused this report to be signed on its behalf by the undersigned, thereunto duly authorized.</w:t>
      </w:r>
    </w:p>
    <w:p>
      <w:pPr>
        <w:spacing w:after="0" w:line="159"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Date: March 25, 2025</w:t>
      </w:r>
      <w:r>
        <w:rPr>
          <w:sz w:val="20"/>
          <w:szCs w:val="20"/>
          <w:color w:val="auto"/>
        </w:rPr>
        <w:tab/>
      </w:r>
      <w:r>
        <w:rPr>
          <w:rFonts w:ascii="Times New Roman" w:cs="Times New Roman" w:eastAsia="Times New Roman" w:hAnsi="Times New Roman"/>
          <w:sz w:val="17"/>
          <w:szCs w:val="17"/>
          <w:b w:val="1"/>
          <w:bCs w:val="1"/>
          <w:color w:val="auto"/>
        </w:rPr>
        <w:t>TENAX THERAPEUTICS, INC.</w:t>
      </w:r>
    </w:p>
    <w:p>
      <w:pPr>
        <w:spacing w:after="0" w:line="30"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Thomas A. McGauley</w:t>
      </w:r>
    </w:p>
    <w:p>
      <w:pPr>
        <w:spacing w:after="0" w:line="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Thomas A. McGauley</w:t>
      </w:r>
    </w:p>
    <w:p>
      <w:pPr>
        <w:spacing w:after="0" w:line="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(On behalf of the Registrant and as Principal</w:t>
      </w:r>
    </w:p>
    <w:p>
      <w:pPr>
        <w:spacing w:after="0" w:line="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Financial and Accounting Officer)</w:t>
      </w:r>
    </w:p>
    <w:p>
      <w:pPr>
        <w:spacing w:after="0" w:line="204"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117" w:right="339" w:bottom="1440" w:gutter="0" w:footer="0" w:header="0"/>
        </w:sectPr>
      </w:pP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360" w:type="dxa"/>
            <w:vAlign w:val="bottom"/>
          </w:tcPr>
          <w:p>
            <w:pPr>
              <w:spacing w:after="0"/>
              <w:rPr>
                <w:sz w:val="20"/>
                <w:szCs w:val="20"/>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r>
      <w:tr>
        <w:trPr>
          <w:trHeight w:val="423"/>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Christopher T. Giordano</w:t>
            </w:r>
          </w:p>
        </w:tc>
        <w:tc>
          <w:tcPr>
            <w:tcW w:w="36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and Chief Executive Officer and Director</w:t>
            </w:r>
          </w:p>
        </w:tc>
      </w:tr>
      <w:tr>
        <w:trPr>
          <w:trHeight w:val="227"/>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Christopher T. Giordano</w:t>
            </w:r>
          </w:p>
        </w:tc>
        <w:tc>
          <w:tcPr>
            <w:tcW w:w="36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Executive Officer)</w:t>
            </w:r>
          </w:p>
        </w:tc>
      </w:tr>
      <w:tr>
        <w:trPr>
          <w:trHeight w:val="411"/>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Thomas A. McGauley</w:t>
            </w:r>
          </w:p>
        </w:tc>
        <w:tc>
          <w:tcPr>
            <w:tcW w:w="36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Interim Chief Financial Officer</w:t>
            </w:r>
          </w:p>
        </w:tc>
      </w:tr>
      <w:tr>
        <w:trPr>
          <w:trHeight w:val="190"/>
        </w:trPr>
        <w:tc>
          <w:tcPr>
            <w:tcW w:w="3380" w:type="dxa"/>
            <w:vAlign w:val="bottom"/>
          </w:tcPr>
          <w:p>
            <w:pPr>
              <w:jc w:val="center"/>
              <w:spacing w:after="0" w:line="190" w:lineRule="exact"/>
              <w:rPr>
                <w:sz w:val="20"/>
                <w:szCs w:val="20"/>
                <w:color w:val="auto"/>
              </w:rPr>
            </w:pPr>
            <w:r>
              <w:rPr>
                <w:rFonts w:ascii="Times New Roman" w:cs="Times New Roman" w:eastAsia="Times New Roman" w:hAnsi="Times New Roman"/>
                <w:sz w:val="18"/>
                <w:szCs w:val="18"/>
                <w:color w:val="auto"/>
                <w:w w:val="99"/>
              </w:rPr>
              <w:t>Thomas A. McGauley</w:t>
            </w:r>
          </w:p>
        </w:tc>
        <w:tc>
          <w:tcPr>
            <w:tcW w:w="360" w:type="dxa"/>
            <w:vAlign w:val="bottom"/>
          </w:tcPr>
          <w:p>
            <w:pPr>
              <w:spacing w:after="0"/>
              <w:rPr>
                <w:sz w:val="16"/>
                <w:szCs w:val="16"/>
                <w:color w:val="auto"/>
              </w:rPr>
            </w:pPr>
          </w:p>
        </w:tc>
        <w:tc>
          <w:tcPr>
            <w:tcW w:w="4480" w:type="dxa"/>
            <w:vAlign w:val="bottom"/>
          </w:tcPr>
          <w:p>
            <w:pPr>
              <w:jc w:val="center"/>
              <w:spacing w:after="0" w:line="190" w:lineRule="exact"/>
              <w:rPr>
                <w:sz w:val="20"/>
                <w:szCs w:val="20"/>
                <w:color w:val="auto"/>
              </w:rPr>
            </w:pPr>
            <w:r>
              <w:rPr>
                <w:rFonts w:ascii="Times New Roman" w:cs="Times New Roman" w:eastAsia="Times New Roman" w:hAnsi="Times New Roman"/>
                <w:sz w:val="18"/>
                <w:szCs w:val="18"/>
                <w:color w:val="auto"/>
                <w:w w:val="99"/>
              </w:rPr>
              <w:t>(Principal Financial Officer and Principal Accounting</w:t>
            </w:r>
          </w:p>
        </w:tc>
      </w:tr>
      <w:tr>
        <w:trPr>
          <w:trHeight w:val="233"/>
        </w:trPr>
        <w:tc>
          <w:tcPr>
            <w:tcW w:w="3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Officer)</w:t>
            </w:r>
          </w:p>
        </w:tc>
      </w:tr>
      <w:tr>
        <w:trPr>
          <w:trHeight w:val="429"/>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Gerald Proehl</w:t>
            </w:r>
          </w:p>
        </w:tc>
        <w:tc>
          <w:tcPr>
            <w:tcW w:w="36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Chairman of the Board and Director</w:t>
            </w:r>
          </w:p>
        </w:tc>
      </w:tr>
      <w:tr>
        <w:trPr>
          <w:trHeight w:val="227"/>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Gerald Proehl</w:t>
            </w:r>
          </w:p>
        </w:tc>
        <w:tc>
          <w:tcPr>
            <w:tcW w:w="360" w:type="dxa"/>
            <w:vAlign w:val="bottom"/>
          </w:tcPr>
          <w:p>
            <w:pPr>
              <w:spacing w:after="0"/>
              <w:rPr>
                <w:sz w:val="19"/>
                <w:szCs w:val="19"/>
                <w:color w:val="auto"/>
              </w:rPr>
            </w:pPr>
          </w:p>
        </w:tc>
        <w:tc>
          <w:tcPr>
            <w:tcW w:w="4480" w:type="dxa"/>
            <w:vAlign w:val="bottom"/>
          </w:tcPr>
          <w:p>
            <w:pPr>
              <w:spacing w:after="0"/>
              <w:rPr>
                <w:sz w:val="19"/>
                <w:szCs w:val="19"/>
                <w:color w:val="auto"/>
              </w:rPr>
            </w:pPr>
          </w:p>
        </w:tc>
      </w:tr>
      <w:tr>
        <w:trPr>
          <w:trHeight w:val="411"/>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June Almenoff, MD</w:t>
            </w:r>
          </w:p>
        </w:tc>
        <w:tc>
          <w:tcPr>
            <w:tcW w:w="36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7"/>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June Almenoff, MD</w:t>
            </w:r>
          </w:p>
        </w:tc>
        <w:tc>
          <w:tcPr>
            <w:tcW w:w="360" w:type="dxa"/>
            <w:vAlign w:val="bottom"/>
          </w:tcPr>
          <w:p>
            <w:pPr>
              <w:spacing w:after="0"/>
              <w:rPr>
                <w:sz w:val="19"/>
                <w:szCs w:val="19"/>
                <w:color w:val="auto"/>
              </w:rPr>
            </w:pPr>
          </w:p>
        </w:tc>
        <w:tc>
          <w:tcPr>
            <w:tcW w:w="4480" w:type="dxa"/>
            <w:vAlign w:val="bottom"/>
          </w:tcPr>
          <w:p>
            <w:pPr>
              <w:spacing w:after="0"/>
              <w:rPr>
                <w:sz w:val="19"/>
                <w:szCs w:val="19"/>
                <w:color w:val="auto"/>
              </w:rPr>
            </w:pPr>
          </w:p>
        </w:tc>
      </w:tr>
      <w:tr>
        <w:trPr>
          <w:trHeight w:val="411"/>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Davidson, MD</w:t>
            </w:r>
          </w:p>
        </w:tc>
        <w:tc>
          <w:tcPr>
            <w:tcW w:w="36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7"/>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Michael Davidson, MD</w:t>
            </w:r>
          </w:p>
        </w:tc>
        <w:tc>
          <w:tcPr>
            <w:tcW w:w="360" w:type="dxa"/>
            <w:vAlign w:val="bottom"/>
          </w:tcPr>
          <w:p>
            <w:pPr>
              <w:spacing w:after="0"/>
              <w:rPr>
                <w:sz w:val="19"/>
                <w:szCs w:val="19"/>
                <w:color w:val="auto"/>
              </w:rPr>
            </w:pPr>
          </w:p>
        </w:tc>
        <w:tc>
          <w:tcPr>
            <w:tcW w:w="4480" w:type="dxa"/>
            <w:vAlign w:val="bottom"/>
          </w:tcPr>
          <w:p>
            <w:pPr>
              <w:spacing w:after="0"/>
              <w:rPr>
                <w:sz w:val="19"/>
                <w:szCs w:val="19"/>
                <w:color w:val="auto"/>
              </w:rPr>
            </w:pPr>
          </w:p>
        </w:tc>
      </w:tr>
      <w:tr>
        <w:trPr>
          <w:trHeight w:val="411"/>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Declan Doogan, MD</w:t>
            </w:r>
          </w:p>
        </w:tc>
        <w:tc>
          <w:tcPr>
            <w:tcW w:w="36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7"/>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Declan Doogan, MD</w:t>
            </w:r>
          </w:p>
        </w:tc>
        <w:tc>
          <w:tcPr>
            <w:tcW w:w="360" w:type="dxa"/>
            <w:vAlign w:val="bottom"/>
          </w:tcPr>
          <w:p>
            <w:pPr>
              <w:spacing w:after="0"/>
              <w:rPr>
                <w:sz w:val="19"/>
                <w:szCs w:val="19"/>
                <w:color w:val="auto"/>
              </w:rPr>
            </w:pPr>
          </w:p>
        </w:tc>
        <w:tc>
          <w:tcPr>
            <w:tcW w:w="4480" w:type="dxa"/>
            <w:vAlign w:val="bottom"/>
          </w:tcPr>
          <w:p>
            <w:pPr>
              <w:spacing w:after="0"/>
              <w:rPr>
                <w:sz w:val="19"/>
                <w:szCs w:val="19"/>
                <w:color w:val="auto"/>
              </w:rPr>
            </w:pPr>
          </w:p>
        </w:tc>
      </w:tr>
      <w:tr>
        <w:trPr>
          <w:trHeight w:val="411"/>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Robyn M. Hunter</w:t>
            </w:r>
          </w:p>
        </w:tc>
        <w:tc>
          <w:tcPr>
            <w:tcW w:w="36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7"/>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Robyn M. Hunter</w:t>
            </w:r>
          </w:p>
        </w:tc>
        <w:tc>
          <w:tcPr>
            <w:tcW w:w="360" w:type="dxa"/>
            <w:vAlign w:val="bottom"/>
          </w:tcPr>
          <w:p>
            <w:pPr>
              <w:spacing w:after="0"/>
              <w:rPr>
                <w:sz w:val="19"/>
                <w:szCs w:val="19"/>
                <w:color w:val="auto"/>
              </w:rPr>
            </w:pPr>
          </w:p>
        </w:tc>
        <w:tc>
          <w:tcPr>
            <w:tcW w:w="4480" w:type="dxa"/>
            <w:vAlign w:val="bottom"/>
          </w:tcPr>
          <w:p>
            <w:pPr>
              <w:spacing w:after="0"/>
              <w:rPr>
                <w:sz w:val="19"/>
                <w:szCs w:val="19"/>
                <w:color w:val="auto"/>
              </w:rPr>
            </w:pPr>
          </w:p>
        </w:tc>
      </w:tr>
      <w:tr>
        <w:trPr>
          <w:trHeight w:val="411"/>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Stuart Rich, MD</w:t>
            </w:r>
          </w:p>
        </w:tc>
        <w:tc>
          <w:tcPr>
            <w:tcW w:w="36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7"/>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Stuart Rich, MD</w:t>
            </w:r>
          </w:p>
        </w:tc>
        <w:tc>
          <w:tcPr>
            <w:tcW w:w="360" w:type="dxa"/>
            <w:vAlign w:val="bottom"/>
          </w:tcPr>
          <w:p>
            <w:pPr>
              <w:spacing w:after="0"/>
              <w:rPr>
                <w:sz w:val="19"/>
                <w:szCs w:val="19"/>
                <w:color w:val="auto"/>
              </w:rPr>
            </w:pPr>
          </w:p>
        </w:tc>
        <w:tc>
          <w:tcPr>
            <w:tcW w:w="44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19050</wp:posOffset>
            </wp:positionV>
            <wp:extent cx="170434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89">
                      <a:extLst>
                        <a:ext uri="{28A0092B-C50C-407E-A947-70E740481C1C}"/>
                      </a:extLst>
                    </a:blip>
                    <a:srcRect/>
                    <a:stretch>
                      <a:fillRect/>
                    </a:stretch>
                  </pic:blipFill>
                  <pic:spPr bwMode="auto">
                    <a:xfrm>
                      <a:off x="0" y="0"/>
                      <a:ext cx="1704340" cy="8255"/>
                    </a:xfrm>
                    <a:prstGeom prst="rect">
                      <a:avLst/>
                    </a:prstGeom>
                    <a:noFill/>
                  </pic:spPr>
                </pic:pic>
              </a:graphicData>
            </a:graphic>
          </wp:anchor>
        </w:drawing>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25, 2025</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25, 2025</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25, 2025</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25, 2025</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25, 2025</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25, 2025</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25, 2025</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25, 2025</w:t>
      </w:r>
    </w:p>
    <w:p>
      <w:pPr>
        <w:spacing w:after="0" w:line="471" w:lineRule="exact"/>
        <w:rPr>
          <w:sz w:val="20"/>
          <w:szCs w:val="20"/>
          <w:color w:val="auto"/>
        </w:rPr>
      </w:pPr>
    </w:p>
    <w:p>
      <w:pPr>
        <w:sectPr>
          <w:pgSz w:w="11900" w:h="16838" w:orient="portrait"/>
          <w:cols w:equalWidth="0" w:num="2">
            <w:col w:w="8600" w:space="720"/>
            <w:col w:w="1920"/>
          </w:cols>
          <w:pgMar w:left="320" w:top="117" w:right="339" w:bottom="144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9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80" w:type="dxa"/>
            <w:vAlign w:val="bottom"/>
            <w:gridSpan w:val="4"/>
          </w:tcPr>
          <w:p>
            <w:pPr>
              <w:jc w:val="center"/>
              <w:ind w:right="2080"/>
              <w:spacing w:after="0"/>
              <w:rPr>
                <w:sz w:val="20"/>
                <w:szCs w:val="20"/>
                <w:color w:val="auto"/>
              </w:rPr>
            </w:pPr>
            <w:r>
              <w:rPr>
                <w:rFonts w:ascii="Times New Roman" w:cs="Times New Roman" w:eastAsia="Times New Roman" w:hAnsi="Times New Roman"/>
                <w:sz w:val="18"/>
                <w:szCs w:val="18"/>
                <w:b w:val="1"/>
                <w:bCs w:val="1"/>
                <w:color w:val="auto"/>
                <w:w w:val="99"/>
              </w:rPr>
              <w:t>TENAX THERAPEUTICS, INC.</w:t>
            </w:r>
          </w:p>
        </w:tc>
        <w:tc>
          <w:tcPr>
            <w:tcW w:w="1980" w:type="dxa"/>
            <w:vAlign w:val="bottom"/>
          </w:tcPr>
          <w:p>
            <w:pPr>
              <w:spacing w:after="0"/>
              <w:rPr>
                <w:sz w:val="20"/>
                <w:szCs w:val="20"/>
                <w:color w:val="auto"/>
              </w:rPr>
            </w:pPr>
          </w:p>
        </w:tc>
      </w:tr>
      <w:tr>
        <w:trPr>
          <w:trHeight w:val="389"/>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6260" w:type="dxa"/>
            <w:vAlign w:val="bottom"/>
            <w:gridSpan w:val="7"/>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INDEX TO CONSOLIDATED FINANCIAL STATEMENTS</w:t>
            </w:r>
          </w:p>
        </w:tc>
        <w:tc>
          <w:tcPr>
            <w:tcW w:w="1980" w:type="dxa"/>
            <w:vAlign w:val="bottom"/>
          </w:tcPr>
          <w:p>
            <w:pPr>
              <w:spacing w:after="0"/>
              <w:rPr>
                <w:sz w:val="24"/>
                <w:szCs w:val="24"/>
                <w:color w:val="auto"/>
              </w:rPr>
            </w:pPr>
          </w:p>
        </w:tc>
      </w:tr>
      <w:tr>
        <w:trPr>
          <w:trHeight w:val="214"/>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195"/>
        </w:trPr>
        <w:tc>
          <w:tcPr>
            <w:tcW w:w="20" w:type="dxa"/>
            <w:vAlign w:val="bottom"/>
            <w:shd w:val="clear" w:color="auto" w:fill="CCEEFF"/>
          </w:tcPr>
          <w:p>
            <w:pPr>
              <w:spacing w:after="0"/>
              <w:rPr>
                <w:sz w:val="16"/>
                <w:szCs w:val="16"/>
                <w:color w:val="auto"/>
              </w:rPr>
            </w:pPr>
          </w:p>
        </w:tc>
        <w:tc>
          <w:tcPr>
            <w:tcW w:w="9240" w:type="dxa"/>
            <w:vAlign w:val="bottom"/>
            <w:gridSpan w:val="8"/>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FF"/>
              </w:rPr>
              <w:t>REPORT OF INDEPENDENT REGISTERED PUBLIC ACCOUNTING FIRM (PCAOB ID: 00677)</w:t>
            </w:r>
          </w:p>
        </w:tc>
        <w:tc>
          <w:tcPr>
            <w:tcW w:w="1980" w:type="dxa"/>
            <w:vAlign w:val="bottom"/>
            <w:shd w:val="clear" w:color="auto" w:fill="CCEEFF"/>
          </w:tcPr>
          <w:p>
            <w:pPr>
              <w:ind w:left="1280"/>
              <w:spacing w:after="0" w:line="175" w:lineRule="exact"/>
              <w:rPr>
                <w:sz w:val="20"/>
                <w:szCs w:val="20"/>
                <w:color w:val="auto"/>
              </w:rPr>
            </w:pPr>
            <w:r>
              <w:rPr>
                <w:rFonts w:ascii="Times New Roman" w:cs="Times New Roman" w:eastAsia="Times New Roman" w:hAnsi="Times New Roman"/>
                <w:sz w:val="18"/>
                <w:szCs w:val="18"/>
                <w:color w:val="auto"/>
              </w:rPr>
              <w:t>F-2</w:t>
            </w:r>
          </w:p>
        </w:tc>
      </w:tr>
      <w:tr>
        <w:trPr>
          <w:trHeight w:val="174"/>
        </w:trPr>
        <w:tc>
          <w:tcPr>
            <w:tcW w:w="20" w:type="dxa"/>
            <w:vAlign w:val="bottom"/>
            <w:tcBorders>
              <w:top w:val="single" w:sz="8" w:color="CCEEFF"/>
            </w:tcBorders>
          </w:tcPr>
          <w:p>
            <w:pPr>
              <w:spacing w:after="0"/>
              <w:rPr>
                <w:sz w:val="15"/>
                <w:szCs w:val="15"/>
                <w:color w:val="auto"/>
              </w:rPr>
            </w:pPr>
          </w:p>
        </w:tc>
        <w:tc>
          <w:tcPr>
            <w:tcW w:w="7300" w:type="dxa"/>
            <w:vAlign w:val="bottom"/>
            <w:tcBorders>
              <w:top w:val="single" w:sz="8" w:color="0000FF"/>
            </w:tcBorders>
            <w:gridSpan w:val="7"/>
          </w:tcPr>
          <w:p>
            <w:pPr>
              <w:spacing w:after="0" w:line="175" w:lineRule="exact"/>
              <w:rPr>
                <w:sz w:val="20"/>
                <w:szCs w:val="20"/>
                <w:color w:val="auto"/>
              </w:rPr>
            </w:pPr>
            <w:r>
              <w:rPr>
                <w:rFonts w:ascii="Times New Roman" w:cs="Times New Roman" w:eastAsia="Times New Roman" w:hAnsi="Times New Roman"/>
                <w:sz w:val="18"/>
                <w:szCs w:val="18"/>
                <w:color w:val="0000FF"/>
              </w:rPr>
              <w:t>CONSOLIDATED BALANCE SHEETS</w:t>
            </w:r>
          </w:p>
        </w:tc>
        <w:tc>
          <w:tcPr>
            <w:tcW w:w="1940" w:type="dxa"/>
            <w:vAlign w:val="bottom"/>
            <w:tcBorders>
              <w:top w:val="single" w:sz="8" w:color="CCEEFF"/>
            </w:tcBorders>
          </w:tcPr>
          <w:p>
            <w:pPr>
              <w:spacing w:after="0"/>
              <w:rPr>
                <w:sz w:val="15"/>
                <w:szCs w:val="15"/>
                <w:color w:val="auto"/>
              </w:rPr>
            </w:pPr>
          </w:p>
        </w:tc>
        <w:tc>
          <w:tcPr>
            <w:tcW w:w="1980" w:type="dxa"/>
            <w:vAlign w:val="bottom"/>
            <w:tcBorders>
              <w:top w:val="single" w:sz="8" w:color="CCEEFF"/>
            </w:tcBorders>
          </w:tcPr>
          <w:p>
            <w:pPr>
              <w:ind w:left="1280"/>
              <w:spacing w:after="0" w:line="175" w:lineRule="exact"/>
              <w:rPr>
                <w:sz w:val="20"/>
                <w:szCs w:val="20"/>
                <w:color w:val="auto"/>
              </w:rPr>
            </w:pPr>
            <w:r>
              <w:rPr>
                <w:rFonts w:ascii="Times New Roman" w:cs="Times New Roman" w:eastAsia="Times New Roman" w:hAnsi="Times New Roman"/>
                <w:sz w:val="18"/>
                <w:szCs w:val="18"/>
                <w:color w:val="auto"/>
              </w:rPr>
              <w:t>F-5</w:t>
            </w:r>
          </w:p>
        </w:tc>
      </w:tr>
      <w:tr>
        <w:trPr>
          <w:trHeight w:val="20"/>
        </w:trPr>
        <w:tc>
          <w:tcPr>
            <w:tcW w:w="20" w:type="dxa"/>
            <w:vAlign w:val="bottom"/>
          </w:tcPr>
          <w:p>
            <w:pPr>
              <w:spacing w:after="0" w:line="20" w:lineRule="exact"/>
              <w:rPr>
                <w:sz w:val="1"/>
                <w:szCs w:val="1"/>
                <w:color w:val="auto"/>
              </w:rPr>
            </w:pPr>
          </w:p>
        </w:tc>
        <w:tc>
          <w:tcPr>
            <w:tcW w:w="2980" w:type="dxa"/>
            <w:vAlign w:val="bottom"/>
            <w:tcBorders>
              <w:top w:val="single" w:sz="8" w:color="0000FF"/>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74"/>
        </w:trPr>
        <w:tc>
          <w:tcPr>
            <w:tcW w:w="20" w:type="dxa"/>
            <w:vAlign w:val="bottom"/>
            <w:shd w:val="clear" w:color="auto" w:fill="CCEEFF"/>
          </w:tcPr>
          <w:p>
            <w:pPr>
              <w:spacing w:after="0"/>
              <w:rPr>
                <w:sz w:val="15"/>
                <w:szCs w:val="15"/>
                <w:color w:val="auto"/>
              </w:rPr>
            </w:pPr>
          </w:p>
        </w:tc>
        <w:tc>
          <w:tcPr>
            <w:tcW w:w="9240" w:type="dxa"/>
            <w:vAlign w:val="bottom"/>
            <w:gridSpan w:val="8"/>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FF"/>
              </w:rPr>
              <w:t>CONSOLIDATED STATEMENTS OF OPERATIONS</w:t>
            </w:r>
          </w:p>
        </w:tc>
        <w:tc>
          <w:tcPr>
            <w:tcW w:w="1980" w:type="dxa"/>
            <w:vAlign w:val="bottom"/>
            <w:shd w:val="clear" w:color="auto" w:fill="CCEEFF"/>
          </w:tcPr>
          <w:p>
            <w:pPr>
              <w:ind w:left="1280"/>
              <w:spacing w:after="0" w:line="175" w:lineRule="exact"/>
              <w:rPr>
                <w:sz w:val="20"/>
                <w:szCs w:val="20"/>
                <w:color w:val="auto"/>
              </w:rPr>
            </w:pPr>
            <w:r>
              <w:rPr>
                <w:rFonts w:ascii="Times New Roman" w:cs="Times New Roman" w:eastAsia="Times New Roman" w:hAnsi="Times New Roman"/>
                <w:sz w:val="18"/>
                <w:szCs w:val="18"/>
                <w:color w:val="auto"/>
              </w:rPr>
              <w:t>F-6</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0000FF"/>
            </w:tcBorders>
            <w:shd w:val="clear" w:color="auto" w:fill="CCEEFF"/>
          </w:tcPr>
          <w:p>
            <w:pPr>
              <w:spacing w:after="0" w:line="20" w:lineRule="exact"/>
              <w:rPr>
                <w:sz w:val="1"/>
                <w:szCs w:val="1"/>
                <w:color w:val="auto"/>
              </w:rPr>
            </w:pPr>
          </w:p>
        </w:tc>
        <w:tc>
          <w:tcPr>
            <w:tcW w:w="10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9240" w:type="dxa"/>
            <w:vAlign w:val="bottom"/>
            <w:gridSpan w:val="8"/>
          </w:tcPr>
          <w:p>
            <w:pPr>
              <w:spacing w:after="0" w:line="175" w:lineRule="exact"/>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1980" w:type="dxa"/>
            <w:vAlign w:val="bottom"/>
          </w:tcPr>
          <w:p>
            <w:pPr>
              <w:ind w:left="1280"/>
              <w:spacing w:after="0" w:line="175" w:lineRule="exact"/>
              <w:rPr>
                <w:sz w:val="20"/>
                <w:szCs w:val="20"/>
                <w:color w:val="auto"/>
              </w:rPr>
            </w:pPr>
            <w:r>
              <w:rPr>
                <w:rFonts w:ascii="Times New Roman" w:cs="Times New Roman" w:eastAsia="Times New Roman" w:hAnsi="Times New Roman"/>
                <w:sz w:val="18"/>
                <w:szCs w:val="18"/>
                <w:color w:val="auto"/>
              </w:rPr>
              <w:t>F-7</w:t>
            </w:r>
          </w:p>
        </w:tc>
      </w:tr>
      <w:tr>
        <w:trPr>
          <w:trHeight w:val="20"/>
        </w:trPr>
        <w:tc>
          <w:tcPr>
            <w:tcW w:w="20" w:type="dxa"/>
            <w:vAlign w:val="bottom"/>
          </w:tcPr>
          <w:p>
            <w:pPr>
              <w:spacing w:after="0" w:line="20" w:lineRule="exact"/>
              <w:rPr>
                <w:sz w:val="1"/>
                <w:szCs w:val="1"/>
                <w:color w:val="auto"/>
              </w:rPr>
            </w:pPr>
          </w:p>
        </w:tc>
        <w:tc>
          <w:tcPr>
            <w:tcW w:w="298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5"/>
        </w:trPr>
        <w:tc>
          <w:tcPr>
            <w:tcW w:w="20" w:type="dxa"/>
            <w:vAlign w:val="bottom"/>
            <w:tcBorders>
              <w:bottom w:val="single" w:sz="8" w:color="CCEEFF"/>
            </w:tcBorders>
            <w:shd w:val="clear" w:color="auto" w:fill="CCEEFF"/>
          </w:tcPr>
          <w:p>
            <w:pPr>
              <w:spacing w:after="0"/>
              <w:rPr>
                <w:sz w:val="16"/>
                <w:szCs w:val="16"/>
                <w:color w:val="auto"/>
              </w:rPr>
            </w:pPr>
          </w:p>
        </w:tc>
        <w:tc>
          <w:tcPr>
            <w:tcW w:w="4040" w:type="dxa"/>
            <w:vAlign w:val="bottom"/>
            <w:tcBorders>
              <w:bottom w:val="single" w:sz="8" w:color="0000FF"/>
            </w:tcBorders>
            <w:gridSpan w:val="3"/>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5200" w:type="dxa"/>
            <w:vAlign w:val="bottom"/>
            <w:tcBorders>
              <w:bottom w:val="single" w:sz="8" w:color="CCEEFF"/>
            </w:tcBorders>
            <w:gridSpan w:val="5"/>
            <w:shd w:val="clear" w:color="auto" w:fill="CCEEFF"/>
          </w:tcPr>
          <w:p>
            <w:pPr>
              <w:spacing w:after="0"/>
              <w:rPr>
                <w:sz w:val="16"/>
                <w:szCs w:val="16"/>
                <w:color w:val="auto"/>
              </w:rPr>
            </w:pPr>
          </w:p>
        </w:tc>
        <w:tc>
          <w:tcPr>
            <w:tcW w:w="1980" w:type="dxa"/>
            <w:vAlign w:val="bottom"/>
            <w:tcBorders>
              <w:bottom w:val="single" w:sz="8" w:color="CCEEFF"/>
            </w:tcBorders>
            <w:shd w:val="clear" w:color="auto" w:fill="CCEEFF"/>
          </w:tcPr>
          <w:p>
            <w:pPr>
              <w:ind w:left="1280"/>
              <w:spacing w:after="0" w:line="175" w:lineRule="exact"/>
              <w:rPr>
                <w:sz w:val="20"/>
                <w:szCs w:val="20"/>
                <w:color w:val="auto"/>
              </w:rPr>
            </w:pPr>
            <w:r>
              <w:rPr>
                <w:rFonts w:ascii="Times New Roman" w:cs="Times New Roman" w:eastAsia="Times New Roman" w:hAnsi="Times New Roman"/>
                <w:sz w:val="18"/>
                <w:szCs w:val="18"/>
                <w:color w:val="auto"/>
              </w:rPr>
              <w:t>F-8</w:t>
            </w:r>
          </w:p>
        </w:tc>
      </w:tr>
      <w:tr>
        <w:trPr>
          <w:trHeight w:val="174"/>
        </w:trPr>
        <w:tc>
          <w:tcPr>
            <w:tcW w:w="20" w:type="dxa"/>
            <w:vAlign w:val="bottom"/>
          </w:tcPr>
          <w:p>
            <w:pPr>
              <w:spacing w:after="0"/>
              <w:rPr>
                <w:sz w:val="15"/>
                <w:szCs w:val="15"/>
                <w:color w:val="auto"/>
              </w:rPr>
            </w:pPr>
          </w:p>
        </w:tc>
        <w:tc>
          <w:tcPr>
            <w:tcW w:w="9240" w:type="dxa"/>
            <w:vAlign w:val="bottom"/>
            <w:gridSpan w:val="8"/>
          </w:tcPr>
          <w:p>
            <w:pPr>
              <w:spacing w:after="0" w:line="175"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980" w:type="dxa"/>
            <w:vAlign w:val="bottom"/>
          </w:tcPr>
          <w:p>
            <w:pPr>
              <w:ind w:left="1280"/>
              <w:spacing w:after="0" w:line="175" w:lineRule="exact"/>
              <w:rPr>
                <w:sz w:val="20"/>
                <w:szCs w:val="20"/>
                <w:color w:val="auto"/>
              </w:rPr>
            </w:pPr>
            <w:r>
              <w:rPr>
                <w:rFonts w:ascii="Times New Roman" w:cs="Times New Roman" w:eastAsia="Times New Roman" w:hAnsi="Times New Roman"/>
                <w:sz w:val="18"/>
                <w:szCs w:val="18"/>
                <w:color w:val="auto"/>
              </w:rPr>
              <w:t>F-9</w:t>
            </w:r>
          </w:p>
        </w:tc>
      </w:tr>
      <w:tr>
        <w:trPr>
          <w:trHeight w:val="880"/>
        </w:trPr>
        <w:tc>
          <w:tcPr>
            <w:tcW w:w="20" w:type="dxa"/>
            <w:vAlign w:val="bottom"/>
          </w:tcPr>
          <w:p>
            <w:pPr>
              <w:spacing w:after="0"/>
              <w:rPr>
                <w:sz w:val="24"/>
                <w:szCs w:val="24"/>
                <w:color w:val="auto"/>
              </w:rPr>
            </w:pPr>
          </w:p>
        </w:tc>
        <w:tc>
          <w:tcPr>
            <w:tcW w:w="2980" w:type="dxa"/>
            <w:vAlign w:val="bottom"/>
            <w:tcBorders>
              <w:top w:val="single" w:sz="8" w:color="0000FF"/>
            </w:tcBorders>
          </w:tcPr>
          <w:p>
            <w:pPr>
              <w:spacing w:after="0"/>
              <w:rPr>
                <w:sz w:val="24"/>
                <w:szCs w:val="24"/>
                <w:color w:val="auto"/>
              </w:rPr>
            </w:pPr>
          </w:p>
        </w:tc>
        <w:tc>
          <w:tcPr>
            <w:tcW w:w="10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580" w:type="dxa"/>
            <w:vAlign w:val="bottom"/>
          </w:tcPr>
          <w:p>
            <w:pPr>
              <w:spacing w:after="0"/>
              <w:rPr>
                <w:sz w:val="24"/>
                <w:szCs w:val="24"/>
                <w:color w:val="auto"/>
              </w:rPr>
            </w:pPr>
          </w:p>
        </w:tc>
        <w:tc>
          <w:tcPr>
            <w:tcW w:w="4160" w:type="dxa"/>
            <w:vAlign w:val="bottom"/>
            <w:gridSpan w:val="2"/>
          </w:tcPr>
          <w:p>
            <w:pPr>
              <w:jc w:val="center"/>
              <w:ind w:right="3120"/>
              <w:spacing w:after="0"/>
              <w:rPr>
                <w:sz w:val="20"/>
                <w:szCs w:val="20"/>
                <w:color w:val="auto"/>
              </w:rPr>
            </w:pPr>
            <w:r>
              <w:rPr>
                <w:rFonts w:ascii="Times New Roman" w:cs="Times New Roman" w:eastAsia="Times New Roman" w:hAnsi="Times New Roman"/>
                <w:sz w:val="18"/>
                <w:szCs w:val="18"/>
                <w:color w:val="auto"/>
                <w:w w:val="95"/>
              </w:rPr>
              <w:t>F-1</w:t>
            </w:r>
          </w:p>
        </w:tc>
        <w:tc>
          <w:tcPr>
            <w:tcW w:w="1980" w:type="dxa"/>
            <w:vAlign w:val="bottom"/>
          </w:tcPr>
          <w:p>
            <w:pPr>
              <w:spacing w:after="0"/>
              <w:rPr>
                <w:sz w:val="24"/>
                <w:szCs w:val="24"/>
                <w:color w:val="auto"/>
              </w:rPr>
            </w:pPr>
          </w:p>
        </w:tc>
      </w:tr>
      <w:tr>
        <w:trPr>
          <w:trHeight w:val="758"/>
        </w:trPr>
        <w:tc>
          <w:tcPr>
            <w:tcW w:w="2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9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Tenax Therapeutics, Inc</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Chapel Hill, North Carolina</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Tenax Therapeutics, Inc and Subsidiaries (the “Company”) as of December 31, 2024 and 2023, and the related consolidated statements of operations and comprehensive loss, stockholders’ equity, and cash flows for each of the years in the two-year period ended December 31, 2024 and the related notes (collectively referred to as the “consolidated financial statements”). In our opinion, the consolidated financial statements present fairly, in all material respects, the financial position of the Company as of December 31, 2024 and 2023, and the results of its operations and its cash flows for each of the years in the two-year period ended December 31, 2024, in conformity with accounting principles generally accepted in the United States of America.</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Raise Transaction Involving Equity Instruments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Matter</w:t>
      </w:r>
    </w:p>
    <w:p>
      <w:pPr>
        <w:spacing w:after="0" w:line="18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As disclosed in Note 5 to the consolidated financial statements, the Company participated in a significant capital raise transaction during the year which involved the issuance of shares of the Company’s common stock, pre-funded warrants, and common stock warrants to purchase shares of the Company’s common stock. The accounting for the transaction was complex and a valuation of the freestanding warrants was required, which involved estimation of the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9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fair value, and evaluation of the appropriate classification of both the pre-funded warrants and common stock warrants in the consolidated financial statements.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included the following:</w:t>
      </w:r>
    </w:p>
    <w:p>
      <w:pPr>
        <w:spacing w:after="0" w:line="182" w:lineRule="exact"/>
        <w:rPr>
          <w:sz w:val="20"/>
          <w:szCs w:val="20"/>
          <w:color w:val="auto"/>
        </w:rPr>
      </w:pPr>
    </w:p>
    <w:p>
      <w:pPr>
        <w:ind w:left="760" w:hanging="378"/>
        <w:spacing w:after="0" w:line="279"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an understanding of the internal controls and processes in place over management’s process for recording transactions involving equity instruments.</w:t>
      </w:r>
    </w:p>
    <w:p>
      <w:pPr>
        <w:spacing w:after="0" w:line="13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and read the underlying agreements.</w:t>
      </w:r>
    </w:p>
    <w:p>
      <w:pPr>
        <w:spacing w:after="0" w:line="18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confirmed shares outstanding with the stock transfer agent as of December 31, 2024.</w:t>
      </w:r>
    </w:p>
    <w:p>
      <w:pPr>
        <w:spacing w:after="0" w:line="18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verified proper approval of equity transactions by the Board of Directors.</w:t>
      </w:r>
    </w:p>
    <w:p>
      <w:pPr>
        <w:spacing w:after="0" w:line="195" w:lineRule="exact"/>
        <w:rPr>
          <w:rFonts w:ascii="Times New Roman" w:cs="Times New Roman" w:eastAsia="Times New Roman" w:hAnsi="Times New Roman"/>
          <w:sz w:val="18"/>
          <w:szCs w:val="18"/>
          <w:color w:val="auto"/>
        </w:rPr>
      </w:pPr>
    </w:p>
    <w:p>
      <w:pPr>
        <w:ind w:left="760" w:hanging="378"/>
        <w:spacing w:after="0" w:line="279"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Company’s selection of the valuation methodology and significant assumptions used by the Company and evaluated the completeness and accuracy of the underlying data supporting the significant assumptions.</w:t>
      </w:r>
    </w:p>
    <w:p>
      <w:pPr>
        <w:spacing w:after="0" w:line="122" w:lineRule="exact"/>
        <w:rPr>
          <w:rFonts w:ascii="Times New Roman" w:cs="Times New Roman" w:eastAsia="Times New Roman" w:hAnsi="Times New Roman"/>
          <w:sz w:val="18"/>
          <w:szCs w:val="18"/>
          <w:color w:val="auto"/>
        </w:rPr>
      </w:pPr>
    </w:p>
    <w:p>
      <w:pPr>
        <w:ind w:left="760" w:hanging="378"/>
        <w:spacing w:after="0" w:line="279"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Specifically, when assessing the key assumptions, we evaluated the appropriateness of the Company’s estimates of its credit risk, volatility, dividend yield, and the market risk free rate.</w:t>
      </w:r>
    </w:p>
    <w:p>
      <w:pPr>
        <w:spacing w:after="0" w:line="12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management’s application of the relevant accounting guidance.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Prepaid or Accrued Clinical Trial Expenses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Matter</w:t>
      </w:r>
    </w:p>
    <w:p>
      <w:pPr>
        <w:spacing w:after="0" w:line="184"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The Company’s total prepaid expenses and other current assets totaled $1.8 million, which included amounts in advance of services incurred pursuant to clinical trials in the amount of approximately $1.1 million.</w:t>
      </w:r>
    </w:p>
    <w:p>
      <w:pPr>
        <w:spacing w:after="0" w:line="13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discussed in Note 2 to the consolidated financial statements, when the third party contract research organization and other vendor billing terms do not coincide with the Company’s period-end, the Company is required to make estimates of its obligations to those vendors, including personnel costs, allocated facility costs, lab supplies, outside services, contract laboratory costs related to manufacturing drug product, clinical trials, and preclinical studies costs incurred in a given accounting period and record accruals at the end of the period.</w:t>
      </w:r>
    </w:p>
    <w:p>
      <w:pPr>
        <w:spacing w:after="0" w:line="1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bases its estimates on its knowledge of the research and development programs, services performed for the period, past history for related activities, and the expected duration of the vendor service contract, where applicable. Payments for these activities are based on the terms of the individual arrangements and may result in payment terms that differ from the pattern of costs incurred. There may be instances in which payments made to vendors will exceed the level of services provided and result in a prepayment of the clinical expense.</w:t>
      </w:r>
    </w:p>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Auditing the Company’s prepaid or accrued clinical trial expenses is especially challenging due to the large volume of information received from multiple vendors that perform services on the Company’s behalf. While the Company’s estimates of prepaid or accrued clinical trial expenses are primarily based on information received related to each study from its vendors, the Company may need to make an estimate for additional costs incurred. Additionally, due to the long duration of clinical trials and the timing of invoicing received from vendors, the actual amounts incurred are not typically known at the time the consolidated financial statements are issued.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included, among others, the following:</w:t>
      </w:r>
    </w:p>
    <w:p>
      <w:pPr>
        <w:spacing w:after="0" w:line="182" w:lineRule="exact"/>
        <w:rPr>
          <w:sz w:val="20"/>
          <w:szCs w:val="20"/>
          <w:color w:val="auto"/>
        </w:rPr>
      </w:pPr>
    </w:p>
    <w:p>
      <w:pPr>
        <w:ind w:left="760" w:hanging="378"/>
        <w:spacing w:after="0" w:line="279"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Obtained an understanding of the internal controls and processes in place over the Company’s process used in determining the existence and completeness of prepaid or accrued clinical trial expenses.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9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760" w:hanging="378"/>
        <w:spacing w:after="0" w:line="259"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the accuracy and completeness of the underlying data used in determining the prepaid or accrued clinical trial expenses and evaluating the assumptions and estimates used by management to adjust the actual information received. We corroborated the schedules of the underlying data used in the accrual calculation with the Company’s third-party contract research organization who oversees the clinical trials. To evaluate the completeness any required accrual, we also tested subsequent invoices received to assess the impact to the accrual.</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Cherry Bekaert LLP</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2009.</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Raleigh, North Carolina</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25, 2025</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9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TENAX THERAPEUTICS, INC.</w:t>
      </w:r>
    </w:p>
    <w:p>
      <w:pPr>
        <w:spacing w:after="0" w:line="18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660" w:type="dxa"/>
            <w:vAlign w:val="bottom"/>
          </w:tcPr>
          <w:p>
            <w:pPr>
              <w:spacing w:after="0"/>
              <w:rPr>
                <w:sz w:val="20"/>
                <w:szCs w:val="20"/>
                <w:color w:val="auto"/>
              </w:rPr>
            </w:pPr>
          </w:p>
        </w:tc>
        <w:tc>
          <w:tcPr>
            <w:tcW w:w="19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8"/>
        </w:trPr>
        <w:tc>
          <w:tcPr>
            <w:tcW w:w="7660" w:type="dxa"/>
            <w:vAlign w:val="bottom"/>
            <w:shd w:val="clear" w:color="auto" w:fill="CFF0FC"/>
          </w:tcPr>
          <w:p>
            <w:pPr>
              <w:ind w:left="34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7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00" w:type="dxa"/>
            <w:vAlign w:val="bottom"/>
            <w:shd w:val="clear" w:color="auto" w:fill="CFF0FC"/>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94,851</w:t>
            </w:r>
          </w:p>
        </w:tc>
        <w:tc>
          <w:tcPr>
            <w:tcW w:w="36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9,792</w:t>
            </w:r>
          </w:p>
        </w:tc>
        <w:tc>
          <w:tcPr>
            <w:tcW w:w="100" w:type="dxa"/>
            <w:vAlign w:val="bottom"/>
            <w:shd w:val="clear" w:color="auto" w:fill="CFF0FC"/>
          </w:tcPr>
          <w:p>
            <w:pPr>
              <w:spacing w:after="0"/>
              <w:rPr>
                <w:sz w:val="18"/>
                <w:szCs w:val="18"/>
                <w:color w:val="auto"/>
              </w:rPr>
            </w:pPr>
          </w:p>
        </w:tc>
      </w:tr>
      <w:tr>
        <w:trPr>
          <w:trHeight w:val="215"/>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w:t>
            </w: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tcPr>
          <w:p>
            <w:pPr>
              <w:spacing w:after="0"/>
              <w:rPr>
                <w:sz w:val="18"/>
                <w:szCs w:val="18"/>
                <w:color w:val="auto"/>
              </w:rPr>
            </w:pPr>
          </w:p>
        </w:tc>
      </w:tr>
      <w:tr>
        <w:trPr>
          <w:trHeight w:val="215"/>
        </w:trPr>
        <w:tc>
          <w:tcPr>
            <w:tcW w:w="76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current assets</w:t>
            </w:r>
          </w:p>
        </w:tc>
        <w:tc>
          <w:tcPr>
            <w:tcW w:w="5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36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8"/>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96,686</w:t>
            </w:r>
          </w:p>
        </w:tc>
        <w:tc>
          <w:tcPr>
            <w:tcW w:w="3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11,684</w:t>
            </w:r>
          </w:p>
        </w:tc>
        <w:tc>
          <w:tcPr>
            <w:tcW w:w="100" w:type="dxa"/>
            <w:vAlign w:val="bottom"/>
          </w:tcPr>
          <w:p>
            <w:pPr>
              <w:spacing w:after="0"/>
              <w:rPr>
                <w:sz w:val="18"/>
                <w:szCs w:val="18"/>
                <w:color w:val="auto"/>
              </w:rPr>
            </w:pPr>
          </w:p>
        </w:tc>
      </w:tr>
      <w:tr>
        <w:trPr>
          <w:trHeight w:val="208"/>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5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8"/>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5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96,686</w:t>
            </w:r>
          </w:p>
        </w:tc>
        <w:tc>
          <w:tcPr>
            <w:tcW w:w="360" w:type="dxa"/>
            <w:vAlign w:val="bottom"/>
          </w:tcPr>
          <w:p>
            <w:pPr>
              <w:spacing w:after="0"/>
              <w:rPr>
                <w:sz w:val="18"/>
                <w:szCs w:val="18"/>
                <w:color w:val="auto"/>
              </w:rPr>
            </w:pPr>
          </w:p>
        </w:tc>
        <w:tc>
          <w:tcPr>
            <w:tcW w:w="5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11,685</w:t>
            </w:r>
          </w:p>
        </w:tc>
        <w:tc>
          <w:tcPr>
            <w:tcW w:w="100" w:type="dxa"/>
            <w:vAlign w:val="bottom"/>
          </w:tcPr>
          <w:p>
            <w:pPr>
              <w:spacing w:after="0"/>
              <w:rPr>
                <w:sz w:val="18"/>
                <w:szCs w:val="18"/>
                <w:color w:val="auto"/>
              </w:rPr>
            </w:pPr>
          </w:p>
        </w:tc>
      </w:tr>
      <w:tr>
        <w:trPr>
          <w:trHeight w:val="208"/>
        </w:trPr>
        <w:tc>
          <w:tcPr>
            <w:tcW w:w="7660" w:type="dxa"/>
            <w:vAlign w:val="bottom"/>
            <w:shd w:val="clear" w:color="auto" w:fill="CFF0FC"/>
          </w:tcPr>
          <w:p>
            <w:pPr>
              <w:ind w:left="18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5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7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500" w:type="dxa"/>
            <w:vAlign w:val="bottom"/>
            <w:shd w:val="clear" w:color="auto" w:fill="CFF0FC"/>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3,157</w:t>
            </w:r>
          </w:p>
        </w:tc>
        <w:tc>
          <w:tcPr>
            <w:tcW w:w="36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100" w:type="dxa"/>
            <w:vAlign w:val="bottom"/>
            <w:shd w:val="clear" w:color="auto" w:fill="CFF0FC"/>
          </w:tcPr>
          <w:p>
            <w:pPr>
              <w:spacing w:after="0"/>
              <w:rPr>
                <w:sz w:val="18"/>
                <w:szCs w:val="18"/>
                <w:color w:val="auto"/>
              </w:rPr>
            </w:pPr>
          </w:p>
        </w:tc>
      </w:tr>
      <w:tr>
        <w:trPr>
          <w:trHeight w:val="215"/>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liabilities</w:t>
            </w: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18"/>
                <w:szCs w:val="18"/>
                <w:color w:val="auto"/>
              </w:rPr>
            </w:pPr>
          </w:p>
        </w:tc>
      </w:tr>
      <w:tr>
        <w:trPr>
          <w:trHeight w:val="215"/>
        </w:trPr>
        <w:tc>
          <w:tcPr>
            <w:tcW w:w="76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Note payable</w:t>
            </w:r>
          </w:p>
        </w:tc>
        <w:tc>
          <w:tcPr>
            <w:tcW w:w="5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8"/>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4,693</w:t>
            </w:r>
          </w:p>
        </w:tc>
        <w:tc>
          <w:tcPr>
            <w:tcW w:w="3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3,587</w:t>
            </w:r>
          </w:p>
        </w:tc>
        <w:tc>
          <w:tcPr>
            <w:tcW w:w="100" w:type="dxa"/>
            <w:vAlign w:val="bottom"/>
          </w:tcPr>
          <w:p>
            <w:pPr>
              <w:spacing w:after="0"/>
              <w:rPr>
                <w:sz w:val="18"/>
                <w:szCs w:val="18"/>
                <w:color w:val="auto"/>
              </w:rPr>
            </w:pPr>
          </w:p>
        </w:tc>
      </w:tr>
      <w:tr>
        <w:trPr>
          <w:trHeight w:val="208"/>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5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4,693</w:t>
            </w:r>
          </w:p>
        </w:tc>
        <w:tc>
          <w:tcPr>
            <w:tcW w:w="36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423"/>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see Note 6</w:t>
            </w: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5"/>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5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stock, undesignated, authorized 4,818,654 shares</w:t>
            </w: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766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Series A Preferred stock, par value $0.0001, issued 5,181,346 shares; outstanding 210, as of December</w:t>
            </w:r>
          </w:p>
        </w:tc>
        <w:tc>
          <w:tcPr>
            <w:tcW w:w="5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3"/>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31, 2024 and December 31, 2023, respectively</w:t>
            </w:r>
          </w:p>
        </w:tc>
        <w:tc>
          <w:tcPr>
            <w:tcW w:w="5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r>
      <w:tr>
        <w:trPr>
          <w:trHeight w:val="196"/>
        </w:trPr>
        <w:tc>
          <w:tcPr>
            <w:tcW w:w="76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Common stock, par value $0.0001 per share; authorized 400,000,000 shares; issued and outstanding</w:t>
            </w: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3"/>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3,420,906 as of December 31, 2024 and 298,281 as of December 31, 2023, respectively</w:t>
            </w: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15"/>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5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406,848</w:t>
            </w:r>
          </w:p>
        </w:tc>
        <w:tc>
          <w:tcPr>
            <w:tcW w:w="3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305,351</w:t>
            </w:r>
          </w:p>
        </w:tc>
        <w:tc>
          <w:tcPr>
            <w:tcW w:w="100" w:type="dxa"/>
            <w:vAlign w:val="bottom"/>
            <w:shd w:val="clear" w:color="auto" w:fill="CFF0FC"/>
          </w:tcPr>
          <w:p>
            <w:pPr>
              <w:spacing w:after="0"/>
              <w:rPr>
                <w:sz w:val="18"/>
                <w:szCs w:val="18"/>
                <w:color w:val="auto"/>
              </w:rPr>
            </w:pPr>
          </w:p>
        </w:tc>
      </w:tr>
      <w:tr>
        <w:trPr>
          <w:trHeight w:val="215"/>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50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(314,855 )</w:t>
            </w:r>
          </w:p>
        </w:tc>
        <w:tc>
          <w:tcPr>
            <w:tcW w:w="5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(297,253 )</w:t>
            </w:r>
          </w:p>
        </w:tc>
      </w:tr>
      <w:tr>
        <w:trPr>
          <w:trHeight w:val="208"/>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50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91,993</w:t>
            </w:r>
          </w:p>
        </w:tc>
        <w:tc>
          <w:tcPr>
            <w:tcW w:w="36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8"/>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5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96,686</w:t>
            </w:r>
          </w:p>
        </w:tc>
        <w:tc>
          <w:tcPr>
            <w:tcW w:w="360" w:type="dxa"/>
            <w:vAlign w:val="bottom"/>
          </w:tcPr>
          <w:p>
            <w:pPr>
              <w:spacing w:after="0"/>
              <w:rPr>
                <w:sz w:val="18"/>
                <w:szCs w:val="18"/>
                <w:color w:val="auto"/>
              </w:rPr>
            </w:pPr>
          </w:p>
        </w:tc>
        <w:tc>
          <w:tcPr>
            <w:tcW w:w="5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11,685</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5850890</wp:posOffset>
            </wp:positionH>
            <wp:positionV relativeFrom="paragraph">
              <wp:posOffset>-3084195</wp:posOffset>
            </wp:positionV>
            <wp:extent cx="6794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9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-3084195</wp:posOffset>
            </wp:positionV>
            <wp:extent cx="6794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97">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5850890</wp:posOffset>
            </wp:positionH>
            <wp:positionV relativeFrom="paragraph">
              <wp:posOffset>-2794635</wp:posOffset>
            </wp:positionV>
            <wp:extent cx="6794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98">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-2794635</wp:posOffset>
            </wp:positionV>
            <wp:extent cx="6794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9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5850890</wp:posOffset>
            </wp:positionH>
            <wp:positionV relativeFrom="paragraph">
              <wp:posOffset>-1959610</wp:posOffset>
            </wp:positionV>
            <wp:extent cx="6794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0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-1959610</wp:posOffset>
            </wp:positionV>
            <wp:extent cx="6794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01">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5850890</wp:posOffset>
            </wp:positionH>
            <wp:positionV relativeFrom="paragraph">
              <wp:posOffset>-1669415</wp:posOffset>
            </wp:positionV>
            <wp:extent cx="6794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02">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-1669415</wp:posOffset>
            </wp:positionV>
            <wp:extent cx="6794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03">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5850890</wp:posOffset>
            </wp:positionH>
            <wp:positionV relativeFrom="paragraph">
              <wp:posOffset>-153035</wp:posOffset>
            </wp:positionV>
            <wp:extent cx="6794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0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-153035</wp:posOffset>
            </wp:positionV>
            <wp:extent cx="6794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05">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0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TENAX THERAPEUTICS, INC.</w:t>
      </w:r>
    </w:p>
    <w:p>
      <w:pPr>
        <w:spacing w:after="0" w:line="18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0"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700" w:type="dxa"/>
            <w:vAlign w:val="bottom"/>
            <w:gridSpan w:val="5"/>
          </w:tcPr>
          <w:p>
            <w:pPr>
              <w:jc w:val="right"/>
              <w:ind w:right="722"/>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r>
      <w:tr>
        <w:trPr>
          <w:trHeight w:val="208"/>
        </w:trPr>
        <w:tc>
          <w:tcPr>
            <w:tcW w:w="714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6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65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8"/>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7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12,709</w:t>
            </w:r>
          </w:p>
        </w:tc>
        <w:tc>
          <w:tcPr>
            <w:tcW w:w="320" w:type="dxa"/>
            <w:vAlign w:val="bottom"/>
          </w:tcPr>
          <w:p>
            <w:pPr>
              <w:spacing w:after="0"/>
              <w:rPr>
                <w:sz w:val="18"/>
                <w:szCs w:val="18"/>
                <w:color w:val="auto"/>
              </w:rPr>
            </w:pPr>
          </w:p>
        </w:tc>
        <w:tc>
          <w:tcPr>
            <w:tcW w:w="4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100" w:type="dxa"/>
            <w:vAlign w:val="bottom"/>
          </w:tcPr>
          <w:p>
            <w:pPr>
              <w:spacing w:after="0"/>
              <w:rPr>
                <w:sz w:val="18"/>
                <w:szCs w:val="18"/>
                <w:color w:val="auto"/>
              </w:rPr>
            </w:pPr>
          </w:p>
        </w:tc>
      </w:tr>
      <w:tr>
        <w:trPr>
          <w:trHeight w:val="215"/>
        </w:trPr>
        <w:tc>
          <w:tcPr>
            <w:tcW w:w="71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6,785</w:t>
            </w:r>
          </w:p>
        </w:tc>
        <w:tc>
          <w:tcPr>
            <w:tcW w:w="3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8"/>
        </w:trPr>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19,494</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8,234</w:t>
            </w:r>
          </w:p>
        </w:tc>
        <w:tc>
          <w:tcPr>
            <w:tcW w:w="100" w:type="dxa"/>
            <w:vAlign w:val="bottom"/>
          </w:tcPr>
          <w:p>
            <w:pPr>
              <w:spacing w:after="0"/>
              <w:rPr>
                <w:sz w:val="18"/>
                <w:szCs w:val="18"/>
                <w:color w:val="auto"/>
              </w:rPr>
            </w:pPr>
          </w:p>
        </w:tc>
      </w:tr>
      <w:tr>
        <w:trPr>
          <w:trHeight w:val="215"/>
        </w:trPr>
        <w:tc>
          <w:tcPr>
            <w:tcW w:w="7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operating loss</w:t>
            </w:r>
          </w:p>
        </w:tc>
        <w:tc>
          <w:tcPr>
            <w:tcW w:w="400" w:type="dxa"/>
            <w:vAlign w:val="bottom"/>
          </w:tcPr>
          <w:p>
            <w:pPr>
              <w:spacing w:after="0"/>
              <w:rPr>
                <w:sz w:val="18"/>
                <w:szCs w:val="18"/>
                <w:color w:val="auto"/>
              </w:rPr>
            </w:pPr>
          </w:p>
        </w:tc>
        <w:tc>
          <w:tcPr>
            <w:tcW w:w="1760" w:type="dxa"/>
            <w:vAlign w:val="bottom"/>
            <w:gridSpan w:val="2"/>
          </w:tcPr>
          <w:p>
            <w:pPr>
              <w:jc w:val="right"/>
              <w:ind w:right="151"/>
              <w:spacing w:after="0"/>
              <w:rPr>
                <w:sz w:val="20"/>
                <w:szCs w:val="20"/>
                <w:color w:val="auto"/>
              </w:rPr>
            </w:pPr>
            <w:r>
              <w:rPr>
                <w:rFonts w:ascii="Times New Roman" w:cs="Times New Roman" w:eastAsia="Times New Roman" w:hAnsi="Times New Roman"/>
                <w:sz w:val="18"/>
                <w:szCs w:val="18"/>
                <w:color w:val="auto"/>
              </w:rPr>
              <w:t>(19,494 )</w:t>
            </w:r>
          </w:p>
        </w:tc>
        <w:tc>
          <w:tcPr>
            <w:tcW w:w="42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(8,234 )</w:t>
            </w:r>
          </w:p>
        </w:tc>
      </w:tr>
      <w:tr>
        <w:trPr>
          <w:trHeight w:val="215"/>
        </w:trPr>
        <w:tc>
          <w:tcPr>
            <w:tcW w:w="7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4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Pr>
          <w:p>
            <w:pPr>
              <w:spacing w:after="0"/>
              <w:rPr>
                <w:sz w:val="18"/>
                <w:szCs w:val="18"/>
                <w:color w:val="auto"/>
              </w:rPr>
            </w:pPr>
          </w:p>
        </w:tc>
      </w:tr>
      <w:tr>
        <w:trPr>
          <w:trHeight w:val="215"/>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0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51"/>
              <w:spacing w:after="0"/>
              <w:rPr>
                <w:sz w:val="20"/>
                <w:szCs w:val="20"/>
                <w:color w:val="auto"/>
              </w:rPr>
            </w:pPr>
            <w:r>
              <w:rPr>
                <w:rFonts w:ascii="Times New Roman" w:cs="Times New Roman" w:eastAsia="Times New Roman" w:hAnsi="Times New Roman"/>
                <w:sz w:val="18"/>
                <w:szCs w:val="18"/>
                <w:color w:val="auto"/>
              </w:rPr>
              <w:t>(23 )</w:t>
            </w:r>
          </w:p>
        </w:tc>
        <w:tc>
          <w:tcPr>
            <w:tcW w:w="4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15"/>
        </w:trPr>
        <w:tc>
          <w:tcPr>
            <w:tcW w:w="71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FF0FC"/>
            </w:tcBorders>
          </w:tcPr>
          <w:p>
            <w:pPr>
              <w:spacing w:after="0"/>
              <w:rPr>
                <w:sz w:val="18"/>
                <w:szCs w:val="18"/>
                <w:color w:val="auto"/>
              </w:rPr>
            </w:pPr>
          </w:p>
        </w:tc>
      </w:tr>
      <w:tr>
        <w:trPr>
          <w:trHeight w:val="248"/>
        </w:trPr>
        <w:tc>
          <w:tcPr>
            <w:tcW w:w="7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tcBorders>
              <w:bottom w:val="single" w:sz="8" w:color="auto"/>
            </w:tcBorders>
            <w:shd w:val="clear" w:color="auto" w:fill="CFF0FC"/>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(17,602</w:t>
            </w:r>
          </w:p>
        </w:tc>
        <w:tc>
          <w:tcPr>
            <w:tcW w:w="320" w:type="dxa"/>
            <w:vAlign w:val="bottom"/>
            <w:tcBorders>
              <w:bottom w:val="single" w:sz="8" w:color="CFF0FC"/>
            </w:tcBorders>
            <w:shd w:val="clear" w:color="auto" w:fill="CFF0FC"/>
          </w:tcPr>
          <w:p>
            <w:pPr>
              <w:jc w:val="right"/>
              <w:ind w:right="151"/>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tcBorders>
              <w:bottom w:val="single" w:sz="8" w:color="auto"/>
            </w:tcBorders>
            <w:shd w:val="clear" w:color="auto" w:fill="CFF0FC"/>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5"/>
        </w:trPr>
        <w:tc>
          <w:tcPr>
            <w:tcW w:w="714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400" w:type="dxa"/>
            <w:vAlign w:val="bottom"/>
          </w:tcPr>
          <w:p>
            <w:pPr>
              <w:jc w:val="right"/>
              <w:ind w:right="211"/>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tcPr>
          <w:p>
            <w:pPr>
              <w:jc w:val="right"/>
              <w:ind w:right="151"/>
              <w:spacing w:after="0" w:line="195" w:lineRule="exact"/>
              <w:rPr>
                <w:sz w:val="20"/>
                <w:szCs w:val="20"/>
                <w:color w:val="auto"/>
              </w:rPr>
            </w:pPr>
            <w:r>
              <w:rPr>
                <w:rFonts w:ascii="Times New Roman" w:cs="Times New Roman" w:eastAsia="Times New Roman" w:hAnsi="Times New Roman"/>
                <w:sz w:val="18"/>
                <w:szCs w:val="18"/>
                <w:color w:val="auto"/>
              </w:rPr>
              <w:t>(1.15 )</w:t>
            </w:r>
          </w:p>
        </w:tc>
        <w:tc>
          <w:tcPr>
            <w:tcW w:w="420" w:type="dxa"/>
            <w:vAlign w:val="bottom"/>
          </w:tcPr>
          <w:p>
            <w:pPr>
              <w:jc w:val="right"/>
              <w:ind w:right="231"/>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(31.04 )</w:t>
            </w:r>
          </w:p>
        </w:tc>
      </w:tr>
      <w:tr>
        <w:trPr>
          <w:trHeight w:val="196"/>
        </w:trPr>
        <w:tc>
          <w:tcPr>
            <w:tcW w:w="714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number of common shares and prefunded warrants outstanding, basic and</w:t>
            </w:r>
          </w:p>
        </w:tc>
        <w:tc>
          <w:tcPr>
            <w:tcW w:w="4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3"/>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40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15,271,705</w:t>
            </w:r>
          </w:p>
        </w:tc>
        <w:tc>
          <w:tcPr>
            <w:tcW w:w="3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248,447</w:t>
            </w:r>
          </w:p>
        </w:tc>
        <w:tc>
          <w:tcPr>
            <w:tcW w:w="10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5706110</wp:posOffset>
            </wp:positionH>
            <wp:positionV relativeFrom="paragraph">
              <wp:posOffset>-1541780</wp:posOffset>
            </wp:positionV>
            <wp:extent cx="6794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07">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-1541780</wp:posOffset>
            </wp:positionV>
            <wp:extent cx="6794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08">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-433705</wp:posOffset>
            </wp:positionV>
            <wp:extent cx="6794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0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-417195</wp:posOffset>
            </wp:positionV>
            <wp:extent cx="6794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1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-579120</wp:posOffset>
            </wp:positionV>
            <wp:extent cx="6794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11">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-433705</wp:posOffset>
            </wp:positionV>
            <wp:extent cx="6794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12">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-417195</wp:posOffset>
            </wp:positionV>
            <wp:extent cx="6794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13">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-579120</wp:posOffset>
            </wp:positionV>
            <wp:extent cx="6794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14">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TENAX THERAPEUTICS, INC.</w:t>
      </w:r>
    </w:p>
    <w:p>
      <w:pPr>
        <w:spacing w:after="0" w:line="182"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960" w:type="dxa"/>
            <w:vAlign w:val="bottom"/>
          </w:tcPr>
          <w:p>
            <w:pPr>
              <w:spacing w:after="0"/>
              <w:rPr>
                <w:sz w:val="11"/>
                <w:szCs w:val="11"/>
                <w:color w:val="auto"/>
              </w:rPr>
            </w:pPr>
          </w:p>
        </w:tc>
        <w:tc>
          <w:tcPr>
            <w:tcW w:w="1500" w:type="dxa"/>
            <w:vAlign w:val="bottom"/>
            <w:tcBorders>
              <w:bottom w:val="single" w:sz="8" w:color="auto"/>
            </w:tcBorders>
            <w:gridSpan w:val="3"/>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840" w:type="dxa"/>
            <w:vAlign w:val="bottom"/>
            <w:tcBorders>
              <w:bottom w:val="single" w:sz="8" w:color="auto"/>
            </w:tcBorders>
            <w:gridSpan w:val="4"/>
          </w:tcPr>
          <w:p>
            <w:pPr>
              <w:jc w:val="right"/>
              <w:ind w:right="506"/>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98"/>
        </w:trPr>
        <w:tc>
          <w:tcPr>
            <w:tcW w:w="2960" w:type="dxa"/>
            <w:vAlign w:val="bottom"/>
          </w:tcPr>
          <w:p>
            <w:pPr>
              <w:spacing w:after="0"/>
              <w:rPr>
                <w:sz w:val="8"/>
                <w:szCs w:val="8"/>
                <w:color w:val="auto"/>
              </w:rPr>
            </w:pPr>
          </w:p>
        </w:tc>
        <w:tc>
          <w:tcPr>
            <w:tcW w:w="800" w:type="dxa"/>
            <w:vAlign w:val="bottom"/>
          </w:tcPr>
          <w:p>
            <w:pPr>
              <w:jc w:val="right"/>
              <w:ind w:right="106"/>
              <w:spacing w:after="0" w:line="99" w:lineRule="exact"/>
              <w:rPr>
                <w:sz w:val="20"/>
                <w:szCs w:val="20"/>
                <w:color w:val="auto"/>
              </w:rPr>
            </w:pPr>
            <w:r>
              <w:rPr>
                <w:rFonts w:ascii="Times New Roman" w:cs="Times New Roman" w:eastAsia="Times New Roman" w:hAnsi="Times New Roman"/>
                <w:sz w:val="11"/>
                <w:szCs w:val="11"/>
                <w:b w:val="1"/>
                <w:bCs w:val="1"/>
                <w:color w:val="auto"/>
              </w:rPr>
              <w:t>Number of</w:t>
            </w: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jc w:val="right"/>
              <w:ind w:right="106"/>
              <w:spacing w:after="0" w:line="99" w:lineRule="exact"/>
              <w:rPr>
                <w:sz w:val="20"/>
                <w:szCs w:val="20"/>
                <w:color w:val="auto"/>
              </w:rPr>
            </w:pPr>
            <w:r>
              <w:rPr>
                <w:rFonts w:ascii="Times New Roman" w:cs="Times New Roman" w:eastAsia="Times New Roman" w:hAnsi="Times New Roman"/>
                <w:sz w:val="11"/>
                <w:szCs w:val="11"/>
                <w:b w:val="1"/>
                <w:bCs w:val="1"/>
                <w:color w:val="auto"/>
              </w:rPr>
              <w:t>Number of</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37"/>
        </w:trPr>
        <w:tc>
          <w:tcPr>
            <w:tcW w:w="2960" w:type="dxa"/>
            <w:vAlign w:val="bottom"/>
          </w:tcPr>
          <w:p>
            <w:pPr>
              <w:spacing w:after="0"/>
              <w:rPr>
                <w:sz w:val="11"/>
                <w:szCs w:val="11"/>
                <w:color w:val="auto"/>
              </w:rPr>
            </w:pPr>
          </w:p>
        </w:tc>
        <w:tc>
          <w:tcPr>
            <w:tcW w:w="80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00" w:type="dxa"/>
            <w:vAlign w:val="bottom"/>
          </w:tcPr>
          <w:p>
            <w:pPr>
              <w:spacing w:after="0"/>
              <w:rPr>
                <w:sz w:val="11"/>
                <w:szCs w:val="11"/>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w w:val="99"/>
              </w:rPr>
              <w:t>Additional paid-in capital</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Accumulated deficit</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98"/>
              </w:rPr>
              <w:t>Total stockholders' equity</w:t>
            </w:r>
          </w:p>
        </w:tc>
        <w:tc>
          <w:tcPr>
            <w:tcW w:w="120" w:type="dxa"/>
            <w:vAlign w:val="bottom"/>
          </w:tcPr>
          <w:p>
            <w:pPr>
              <w:spacing w:after="0"/>
              <w:rPr>
                <w:sz w:val="11"/>
                <w:szCs w:val="11"/>
                <w:color w:val="auto"/>
              </w:rPr>
            </w:pPr>
          </w:p>
        </w:tc>
      </w:tr>
      <w:tr>
        <w:trPr>
          <w:trHeight w:val="114"/>
        </w:trPr>
        <w:tc>
          <w:tcPr>
            <w:tcW w:w="2960" w:type="dxa"/>
            <w:vAlign w:val="bottom"/>
            <w:shd w:val="clear" w:color="auto" w:fill="CFF0FC"/>
          </w:tcPr>
          <w:p>
            <w:pPr>
              <w:ind w:left="20"/>
              <w:spacing w:after="0" w:line="114" w:lineRule="exact"/>
              <w:rPr>
                <w:sz w:val="20"/>
                <w:szCs w:val="20"/>
                <w:color w:val="auto"/>
              </w:rPr>
            </w:pPr>
            <w:r>
              <w:rPr>
                <w:rFonts w:ascii="Times New Roman" w:cs="Times New Roman" w:eastAsia="Times New Roman" w:hAnsi="Times New Roman"/>
                <w:sz w:val="11"/>
                <w:szCs w:val="11"/>
                <w:b w:val="1"/>
                <w:bCs w:val="1"/>
                <w:color w:val="auto"/>
              </w:rPr>
              <w:t>Balance at December 31, 2022</w:t>
            </w:r>
          </w:p>
        </w:tc>
        <w:tc>
          <w:tcPr>
            <w:tcW w:w="800" w:type="dxa"/>
            <w:vAlign w:val="bottom"/>
            <w:shd w:val="clear" w:color="auto" w:fill="CFF0FC"/>
          </w:tcPr>
          <w:p>
            <w:pPr>
              <w:jc w:val="right"/>
              <w:spacing w:after="0" w:line="114" w:lineRule="exact"/>
              <w:rPr>
                <w:sz w:val="20"/>
                <w:szCs w:val="20"/>
                <w:color w:val="auto"/>
              </w:rPr>
            </w:pPr>
            <w:r>
              <w:rPr>
                <w:rFonts w:ascii="Times New Roman" w:cs="Times New Roman" w:eastAsia="Times New Roman" w:hAnsi="Times New Roman"/>
                <w:sz w:val="11"/>
                <w:szCs w:val="11"/>
                <w:b w:val="1"/>
                <w:bCs w:val="1"/>
                <w:color w:val="auto"/>
              </w:rPr>
              <w:t>210</w:t>
            </w:r>
          </w:p>
        </w:tc>
        <w:tc>
          <w:tcPr>
            <w:tcW w:w="700" w:type="dxa"/>
            <w:vAlign w:val="bottom"/>
            <w:gridSpan w:val="2"/>
            <w:shd w:val="clear" w:color="auto" w:fill="CFF0FC"/>
          </w:tcPr>
          <w:p>
            <w:pPr>
              <w:jc w:val="right"/>
              <w:ind w:right="366"/>
              <w:spacing w:after="0" w:line="114" w:lineRule="exact"/>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shd w:val="clear" w:color="auto" w:fill="CFF0FC"/>
          </w:tcPr>
          <w:p>
            <w:pPr>
              <w:jc w:val="right"/>
              <w:spacing w:after="0" w:line="114" w:lineRule="exact"/>
              <w:rPr>
                <w:sz w:val="20"/>
                <w:szCs w:val="20"/>
                <w:color w:val="auto"/>
              </w:rPr>
            </w:pPr>
            <w:r>
              <w:rPr>
                <w:rFonts w:ascii="Times New Roman" w:cs="Times New Roman" w:eastAsia="Times New Roman" w:hAnsi="Times New Roman"/>
                <w:sz w:val="11"/>
                <w:szCs w:val="11"/>
                <w:b w:val="1"/>
                <w:bCs w:val="1"/>
                <w:color w:val="auto"/>
              </w:rPr>
              <w:t>-</w:t>
            </w:r>
          </w:p>
        </w:tc>
        <w:tc>
          <w:tcPr>
            <w:tcW w:w="1020" w:type="dxa"/>
            <w:vAlign w:val="bottom"/>
            <w:gridSpan w:val="2"/>
            <w:shd w:val="clear" w:color="auto" w:fill="CFF0FC"/>
          </w:tcPr>
          <w:p>
            <w:pPr>
              <w:jc w:val="right"/>
              <w:spacing w:after="0" w:line="114" w:lineRule="exact"/>
              <w:rPr>
                <w:sz w:val="20"/>
                <w:szCs w:val="20"/>
                <w:color w:val="auto"/>
              </w:rPr>
            </w:pPr>
            <w:r>
              <w:rPr>
                <w:rFonts w:ascii="Times New Roman" w:cs="Times New Roman" w:eastAsia="Times New Roman" w:hAnsi="Times New Roman"/>
                <w:sz w:val="11"/>
                <w:szCs w:val="11"/>
                <w:b w:val="1"/>
                <w:bCs w:val="1"/>
                <w:color w:val="auto"/>
              </w:rPr>
              <w:t>28,647</w:t>
            </w:r>
          </w:p>
        </w:tc>
        <w:tc>
          <w:tcPr>
            <w:tcW w:w="360" w:type="dxa"/>
            <w:vAlign w:val="bottom"/>
            <w:gridSpan w:val="2"/>
            <w:shd w:val="clear" w:color="auto" w:fill="CFF0FC"/>
          </w:tcPr>
          <w:p>
            <w:pPr>
              <w:jc w:val="right"/>
              <w:ind w:right="26"/>
              <w:spacing w:after="0" w:line="114" w:lineRule="exact"/>
              <w:rPr>
                <w:sz w:val="20"/>
                <w:szCs w:val="20"/>
                <w:color w:val="auto"/>
              </w:rPr>
            </w:pPr>
            <w:r>
              <w:rPr>
                <w:rFonts w:ascii="Times New Roman" w:cs="Times New Roman" w:eastAsia="Times New Roman" w:hAnsi="Times New Roman"/>
                <w:sz w:val="11"/>
                <w:szCs w:val="11"/>
                <w:b w:val="1"/>
                <w:bCs w:val="1"/>
                <w:color w:val="auto"/>
              </w:rPr>
              <w:t>$</w:t>
            </w:r>
          </w:p>
        </w:tc>
        <w:tc>
          <w:tcPr>
            <w:tcW w:w="660" w:type="dxa"/>
            <w:vAlign w:val="bottom"/>
            <w:shd w:val="clear" w:color="auto" w:fill="CFF0FC"/>
          </w:tcPr>
          <w:p>
            <w:pPr>
              <w:jc w:val="right"/>
              <w:spacing w:after="0" w:line="114" w:lineRule="exact"/>
              <w:rPr>
                <w:sz w:val="20"/>
                <w:szCs w:val="20"/>
                <w:color w:val="auto"/>
              </w:rPr>
            </w:pPr>
            <w:r>
              <w:rPr>
                <w:rFonts w:ascii="Times New Roman" w:cs="Times New Roman" w:eastAsia="Times New Roman" w:hAnsi="Times New Roman"/>
                <w:sz w:val="11"/>
                <w:szCs w:val="11"/>
                <w:b w:val="1"/>
                <w:bCs w:val="1"/>
                <w:color w:val="auto"/>
              </w:rPr>
              <w:t>-</w:t>
            </w:r>
          </w:p>
        </w:tc>
        <w:tc>
          <w:tcPr>
            <w:tcW w:w="680" w:type="dxa"/>
            <w:vAlign w:val="bottom"/>
            <w:gridSpan w:val="2"/>
            <w:shd w:val="clear" w:color="auto" w:fill="CFF0FC"/>
          </w:tcPr>
          <w:p>
            <w:pPr>
              <w:jc w:val="right"/>
              <w:ind w:right="346"/>
              <w:spacing w:after="0" w:line="114" w:lineRule="exact"/>
              <w:rPr>
                <w:sz w:val="20"/>
                <w:szCs w:val="20"/>
                <w:color w:val="auto"/>
              </w:rPr>
            </w:pPr>
            <w:r>
              <w:rPr>
                <w:rFonts w:ascii="Times New Roman" w:cs="Times New Roman" w:eastAsia="Times New Roman" w:hAnsi="Times New Roman"/>
                <w:sz w:val="11"/>
                <w:szCs w:val="11"/>
                <w:b w:val="1"/>
                <w:bCs w:val="1"/>
                <w:color w:val="auto"/>
              </w:rPr>
              <w:t>$</w:t>
            </w:r>
          </w:p>
        </w:tc>
        <w:tc>
          <w:tcPr>
            <w:tcW w:w="780" w:type="dxa"/>
            <w:vAlign w:val="bottom"/>
            <w:shd w:val="clear" w:color="auto" w:fill="CFF0FC"/>
          </w:tcPr>
          <w:p>
            <w:pPr>
              <w:jc w:val="right"/>
              <w:spacing w:after="0" w:line="114" w:lineRule="exact"/>
              <w:rPr>
                <w:sz w:val="20"/>
                <w:szCs w:val="20"/>
                <w:color w:val="auto"/>
              </w:rPr>
            </w:pPr>
            <w:r>
              <w:rPr>
                <w:rFonts w:ascii="Times New Roman" w:cs="Times New Roman" w:eastAsia="Times New Roman" w:hAnsi="Times New Roman"/>
                <w:sz w:val="11"/>
                <w:szCs w:val="11"/>
                <w:b w:val="1"/>
                <w:bCs w:val="1"/>
                <w:color w:val="auto"/>
              </w:rPr>
              <w:t>291,035</w:t>
            </w: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jc w:val="right"/>
              <w:spacing w:after="0" w:line="114"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1300" w:type="dxa"/>
            <w:vAlign w:val="bottom"/>
            <w:gridSpan w:val="2"/>
            <w:shd w:val="clear" w:color="auto" w:fill="CFF0FC"/>
          </w:tcPr>
          <w:p>
            <w:pPr>
              <w:jc w:val="right"/>
              <w:ind w:right="160"/>
              <w:spacing w:after="0" w:line="114" w:lineRule="exact"/>
              <w:rPr>
                <w:sz w:val="20"/>
                <w:szCs w:val="20"/>
                <w:color w:val="auto"/>
              </w:rPr>
            </w:pPr>
            <w:r>
              <w:rPr>
                <w:rFonts w:ascii="Times New Roman" w:cs="Times New Roman" w:eastAsia="Times New Roman" w:hAnsi="Times New Roman"/>
                <w:sz w:val="11"/>
                <w:szCs w:val="11"/>
                <w:b w:val="1"/>
                <w:bCs w:val="1"/>
                <w:color w:val="auto"/>
              </w:rPr>
              <w:t>(289,542 )</w:t>
            </w:r>
          </w:p>
        </w:tc>
        <w:tc>
          <w:tcPr>
            <w:tcW w:w="100" w:type="dxa"/>
            <w:vAlign w:val="bottom"/>
            <w:shd w:val="clear" w:color="auto" w:fill="CFF0FC"/>
          </w:tcPr>
          <w:p>
            <w:pPr>
              <w:jc w:val="right"/>
              <w:spacing w:after="0" w:line="114"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1360" w:type="dxa"/>
            <w:vAlign w:val="bottom"/>
            <w:shd w:val="clear" w:color="auto" w:fill="CFF0FC"/>
          </w:tcPr>
          <w:p>
            <w:pPr>
              <w:jc w:val="right"/>
              <w:spacing w:after="0" w:line="114" w:lineRule="exact"/>
              <w:rPr>
                <w:sz w:val="20"/>
                <w:szCs w:val="20"/>
                <w:color w:val="auto"/>
              </w:rPr>
            </w:pPr>
            <w:r>
              <w:rPr>
                <w:rFonts w:ascii="Times New Roman" w:cs="Times New Roman" w:eastAsia="Times New Roman" w:hAnsi="Times New Roman"/>
                <w:sz w:val="11"/>
                <w:szCs w:val="11"/>
                <w:b w:val="1"/>
                <w:bCs w:val="1"/>
                <w:color w:val="auto"/>
              </w:rPr>
              <w:t>1,493</w:t>
            </w:r>
          </w:p>
        </w:tc>
        <w:tc>
          <w:tcPr>
            <w:tcW w:w="120" w:type="dxa"/>
            <w:vAlign w:val="bottom"/>
            <w:shd w:val="clear" w:color="auto" w:fill="CFF0FC"/>
          </w:tcPr>
          <w:p>
            <w:pPr>
              <w:spacing w:after="0"/>
              <w:rPr>
                <w:sz w:val="9"/>
                <w:szCs w:val="9"/>
                <w:color w:val="auto"/>
              </w:rPr>
            </w:pPr>
          </w:p>
        </w:tc>
      </w:tr>
      <w:tr>
        <w:trPr>
          <w:trHeight w:val="100"/>
        </w:trPr>
        <w:tc>
          <w:tcPr>
            <w:tcW w:w="2960" w:type="dxa"/>
            <w:vAlign w:val="bottom"/>
            <w:tcBorders>
              <w:top w:val="single" w:sz="8" w:color="CFF0FC"/>
            </w:tcBorders>
          </w:tcPr>
          <w:p>
            <w:pPr>
              <w:ind w:left="20"/>
              <w:spacing w:after="0" w:line="101" w:lineRule="exact"/>
              <w:rPr>
                <w:sz w:val="20"/>
                <w:szCs w:val="20"/>
                <w:color w:val="auto"/>
              </w:rPr>
            </w:pPr>
            <w:r>
              <w:rPr>
                <w:rFonts w:ascii="Times New Roman" w:cs="Times New Roman" w:eastAsia="Times New Roman" w:hAnsi="Times New Roman"/>
                <w:sz w:val="11"/>
                <w:szCs w:val="11"/>
                <w:color w:val="auto"/>
              </w:rPr>
              <w:t>Public offering sale of common stock and warrants, net of</w:t>
            </w:r>
          </w:p>
        </w:tc>
        <w:tc>
          <w:tcPr>
            <w:tcW w:w="80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00" w:type="dxa"/>
            <w:vAlign w:val="bottom"/>
            <w:tcBorders>
              <w:top w:val="single" w:sz="8" w:color="CFF0FC"/>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00" w:type="dxa"/>
            <w:vAlign w:val="bottom"/>
            <w:tcBorders>
              <w:top w:val="single" w:sz="8" w:color="CFF0FC"/>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8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36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r>
      <w:tr>
        <w:trPr>
          <w:trHeight w:val="135"/>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offering costs of $1,473</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86,994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14,125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14,125</w:t>
            </w:r>
          </w:p>
        </w:tc>
        <w:tc>
          <w:tcPr>
            <w:tcW w:w="120" w:type="dxa"/>
            <w:vAlign w:val="bottom"/>
          </w:tcPr>
          <w:p>
            <w:pPr>
              <w:spacing w:after="0"/>
              <w:rPr>
                <w:sz w:val="11"/>
                <w:szCs w:val="11"/>
                <w:color w:val="auto"/>
              </w:rPr>
            </w:pPr>
          </w:p>
        </w:tc>
      </w:tr>
      <w:tr>
        <w:trPr>
          <w:trHeight w:val="121"/>
        </w:trPr>
        <w:tc>
          <w:tcPr>
            <w:tcW w:w="2960" w:type="dxa"/>
            <w:vAlign w:val="bottom"/>
            <w:shd w:val="clear" w:color="auto" w:fill="CFF0FC"/>
          </w:tcPr>
          <w:p>
            <w:pPr>
              <w:ind w:left="20"/>
              <w:spacing w:after="0" w:line="121" w:lineRule="exact"/>
              <w:rPr>
                <w:sz w:val="20"/>
                <w:szCs w:val="20"/>
                <w:color w:val="auto"/>
              </w:rPr>
            </w:pPr>
            <w:r>
              <w:rPr>
                <w:rFonts w:ascii="Times New Roman" w:cs="Times New Roman" w:eastAsia="Times New Roman" w:hAnsi="Times New Roman"/>
                <w:sz w:val="11"/>
                <w:szCs w:val="11"/>
                <w:color w:val="auto"/>
              </w:rPr>
              <w:t>Exercise of pre-funded warrants for cash</w:t>
            </w: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20" w:type="dxa"/>
            <w:vAlign w:val="bottom"/>
            <w:gridSpan w:val="2"/>
            <w:shd w:val="clear" w:color="auto" w:fill="CFF0FC"/>
          </w:tcPr>
          <w:p>
            <w:pPr>
              <w:jc w:val="right"/>
              <w:spacing w:after="0" w:line="121" w:lineRule="exact"/>
              <w:rPr>
                <w:sz w:val="20"/>
                <w:szCs w:val="20"/>
                <w:color w:val="auto"/>
              </w:rPr>
            </w:pPr>
            <w:r>
              <w:rPr>
                <w:rFonts w:ascii="Times New Roman" w:cs="Times New Roman" w:eastAsia="Times New Roman" w:hAnsi="Times New Roman"/>
                <w:sz w:val="11"/>
                <w:szCs w:val="11"/>
                <w:color w:val="auto"/>
              </w:rPr>
              <w:t>18,076</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1"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line="121" w:lineRule="exact"/>
              <w:rPr>
                <w:sz w:val="20"/>
                <w:szCs w:val="20"/>
                <w:color w:val="auto"/>
              </w:rPr>
            </w:pPr>
            <w:r>
              <w:rPr>
                <w:rFonts w:ascii="Times New Roman" w:cs="Times New Roman" w:eastAsia="Times New Roman" w:hAnsi="Times New Roman"/>
                <w:sz w:val="11"/>
                <w:szCs w:val="11"/>
                <w:color w:val="auto"/>
              </w:rPr>
              <w:t>1</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360" w:type="dxa"/>
            <w:vAlign w:val="bottom"/>
            <w:shd w:val="clear" w:color="auto" w:fill="CFF0FC"/>
          </w:tcPr>
          <w:p>
            <w:pPr>
              <w:jc w:val="right"/>
              <w:spacing w:after="0" w:line="121" w:lineRule="exact"/>
              <w:rPr>
                <w:sz w:val="20"/>
                <w:szCs w:val="20"/>
                <w:color w:val="auto"/>
              </w:rPr>
            </w:pPr>
            <w:r>
              <w:rPr>
                <w:rFonts w:ascii="Times New Roman" w:cs="Times New Roman" w:eastAsia="Times New Roman" w:hAnsi="Times New Roman"/>
                <w:sz w:val="11"/>
                <w:szCs w:val="11"/>
                <w:color w:val="auto"/>
              </w:rPr>
              <w:t>1</w:t>
            </w:r>
          </w:p>
        </w:tc>
        <w:tc>
          <w:tcPr>
            <w:tcW w:w="120" w:type="dxa"/>
            <w:vAlign w:val="bottom"/>
            <w:shd w:val="clear" w:color="auto" w:fill="CFF0FC"/>
          </w:tcPr>
          <w:p>
            <w:pPr>
              <w:spacing w:after="0"/>
              <w:rPr>
                <w:sz w:val="10"/>
                <w:szCs w:val="10"/>
                <w:color w:val="auto"/>
              </w:rPr>
            </w:pPr>
          </w:p>
        </w:tc>
      </w:tr>
      <w:tr>
        <w:trPr>
          <w:trHeight w:val="121"/>
        </w:trPr>
        <w:tc>
          <w:tcPr>
            <w:tcW w:w="2960" w:type="dxa"/>
            <w:vAlign w:val="bottom"/>
          </w:tcPr>
          <w:p>
            <w:pPr>
              <w:ind w:left="20"/>
              <w:spacing w:after="0" w:line="121" w:lineRule="exact"/>
              <w:rPr>
                <w:sz w:val="20"/>
                <w:szCs w:val="20"/>
                <w:color w:val="auto"/>
              </w:rPr>
            </w:pPr>
            <w:r>
              <w:rPr>
                <w:rFonts w:ascii="Times New Roman" w:cs="Times New Roman" w:eastAsia="Times New Roman" w:hAnsi="Times New Roman"/>
                <w:sz w:val="11"/>
                <w:szCs w:val="11"/>
                <w:color w:val="auto"/>
              </w:rPr>
              <w:t>Exercise of pre-funded warrants, cashless</w:t>
            </w: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right"/>
              <w:spacing w:after="0" w:line="121" w:lineRule="exact"/>
              <w:rPr>
                <w:sz w:val="20"/>
                <w:szCs w:val="20"/>
                <w:color w:val="auto"/>
              </w:rPr>
            </w:pPr>
            <w:r>
              <w:rPr>
                <w:rFonts w:ascii="Times New Roman" w:cs="Times New Roman" w:eastAsia="Times New Roman" w:hAnsi="Times New Roman"/>
                <w:sz w:val="11"/>
                <w:szCs w:val="11"/>
                <w:color w:val="auto"/>
              </w:rPr>
              <w:t>3,259</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right"/>
              <w:spacing w:after="0" w:line="121"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80" w:type="dxa"/>
            <w:vAlign w:val="bottom"/>
          </w:tcPr>
          <w:p>
            <w:pPr>
              <w:jc w:val="right"/>
              <w:spacing w:after="0" w:line="121"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tcPr>
          <w:p>
            <w:pPr>
              <w:jc w:val="right"/>
              <w:spacing w:after="0" w:line="121"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r>
      <w:tr>
        <w:trPr>
          <w:trHeight w:val="121"/>
        </w:trPr>
        <w:tc>
          <w:tcPr>
            <w:tcW w:w="2960" w:type="dxa"/>
            <w:vAlign w:val="bottom"/>
            <w:shd w:val="clear" w:color="auto" w:fill="CFF0FC"/>
          </w:tcPr>
          <w:p>
            <w:pPr>
              <w:ind w:left="20"/>
              <w:spacing w:after="0" w:line="121" w:lineRule="exact"/>
              <w:rPr>
                <w:sz w:val="20"/>
                <w:szCs w:val="20"/>
                <w:color w:val="auto"/>
              </w:rPr>
            </w:pPr>
            <w:r>
              <w:rPr>
                <w:rFonts w:ascii="Times New Roman" w:cs="Times New Roman" w:eastAsia="Times New Roman" w:hAnsi="Times New Roman"/>
                <w:sz w:val="11"/>
                <w:szCs w:val="11"/>
                <w:color w:val="auto"/>
              </w:rPr>
              <w:t>Exercise of warrants, cashless</w:t>
            </w: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20" w:type="dxa"/>
            <w:vAlign w:val="bottom"/>
            <w:gridSpan w:val="2"/>
            <w:shd w:val="clear" w:color="auto" w:fill="CFF0FC"/>
          </w:tcPr>
          <w:p>
            <w:pPr>
              <w:jc w:val="right"/>
              <w:spacing w:after="0" w:line="121" w:lineRule="exact"/>
              <w:rPr>
                <w:sz w:val="20"/>
                <w:szCs w:val="20"/>
                <w:color w:val="auto"/>
              </w:rPr>
            </w:pPr>
            <w:r>
              <w:rPr>
                <w:rFonts w:ascii="Times New Roman" w:cs="Times New Roman" w:eastAsia="Times New Roman" w:hAnsi="Times New Roman"/>
                <w:sz w:val="11"/>
                <w:szCs w:val="11"/>
                <w:color w:val="auto"/>
              </w:rPr>
              <w:t>161,131</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1"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line="121"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360" w:type="dxa"/>
            <w:vAlign w:val="bottom"/>
            <w:shd w:val="clear" w:color="auto" w:fill="CFF0FC"/>
          </w:tcPr>
          <w:p>
            <w:pPr>
              <w:jc w:val="right"/>
              <w:spacing w:after="0" w:line="121"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r>
      <w:tr>
        <w:trPr>
          <w:trHeight w:val="121"/>
        </w:trPr>
        <w:tc>
          <w:tcPr>
            <w:tcW w:w="2960" w:type="dxa"/>
            <w:vAlign w:val="bottom"/>
          </w:tcPr>
          <w:p>
            <w:pPr>
              <w:ind w:left="20"/>
              <w:spacing w:after="0" w:line="121" w:lineRule="exact"/>
              <w:rPr>
                <w:sz w:val="20"/>
                <w:szCs w:val="20"/>
                <w:color w:val="auto"/>
              </w:rPr>
            </w:pPr>
            <w:r>
              <w:rPr>
                <w:rFonts w:ascii="Times New Roman" w:cs="Times New Roman" w:eastAsia="Times New Roman" w:hAnsi="Times New Roman"/>
                <w:sz w:val="11"/>
                <w:szCs w:val="11"/>
                <w:color w:val="auto"/>
              </w:rPr>
              <w:t>Stock split and fractional shares issued</w:t>
            </w: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right"/>
              <w:spacing w:after="0" w:line="121" w:lineRule="exact"/>
              <w:rPr>
                <w:sz w:val="20"/>
                <w:szCs w:val="20"/>
                <w:color w:val="auto"/>
              </w:rPr>
            </w:pPr>
            <w:r>
              <w:rPr>
                <w:rFonts w:ascii="Times New Roman" w:cs="Times New Roman" w:eastAsia="Times New Roman" w:hAnsi="Times New Roman"/>
                <w:sz w:val="11"/>
                <w:szCs w:val="11"/>
                <w:color w:val="auto"/>
              </w:rPr>
              <w:t>174</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right"/>
              <w:spacing w:after="0" w:line="121"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0" w:type="dxa"/>
            <w:vAlign w:val="bottom"/>
            <w:gridSpan w:val="2"/>
          </w:tcPr>
          <w:p>
            <w:pPr>
              <w:jc w:val="right"/>
              <w:ind w:right="160"/>
              <w:spacing w:after="0" w:line="121" w:lineRule="exact"/>
              <w:rPr>
                <w:sz w:val="20"/>
                <w:szCs w:val="20"/>
                <w:color w:val="auto"/>
              </w:rPr>
            </w:pPr>
            <w:r>
              <w:rPr>
                <w:rFonts w:ascii="Times New Roman" w:cs="Times New Roman" w:eastAsia="Times New Roman" w:hAnsi="Times New Roman"/>
                <w:sz w:val="11"/>
                <w:szCs w:val="11"/>
                <w:color w:val="auto"/>
              </w:rPr>
              <w:t>(1 )</w:t>
            </w: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2"/>
          </w:tcPr>
          <w:p>
            <w:pPr>
              <w:jc w:val="right"/>
              <w:ind w:right="80"/>
              <w:spacing w:after="0" w:line="121" w:lineRule="exact"/>
              <w:rPr>
                <w:sz w:val="20"/>
                <w:szCs w:val="20"/>
                <w:color w:val="auto"/>
              </w:rPr>
            </w:pPr>
            <w:r>
              <w:rPr>
                <w:rFonts w:ascii="Times New Roman" w:cs="Times New Roman" w:eastAsia="Times New Roman" w:hAnsi="Times New Roman"/>
                <w:sz w:val="11"/>
                <w:szCs w:val="11"/>
                <w:color w:val="auto"/>
              </w:rPr>
              <w:t>(1 )</w:t>
            </w:r>
          </w:p>
        </w:tc>
      </w:tr>
      <w:tr>
        <w:trPr>
          <w:trHeight w:val="121"/>
        </w:trPr>
        <w:tc>
          <w:tcPr>
            <w:tcW w:w="2960" w:type="dxa"/>
            <w:vAlign w:val="bottom"/>
            <w:shd w:val="clear" w:color="auto" w:fill="CFF0FC"/>
          </w:tcPr>
          <w:p>
            <w:pPr>
              <w:ind w:left="20"/>
              <w:spacing w:after="0" w:line="121" w:lineRule="exact"/>
              <w:rPr>
                <w:sz w:val="20"/>
                <w:szCs w:val="20"/>
                <w:color w:val="auto"/>
              </w:rPr>
            </w:pPr>
            <w:r>
              <w:rPr>
                <w:rFonts w:ascii="Times New Roman" w:cs="Times New Roman" w:eastAsia="Times New Roman" w:hAnsi="Times New Roman"/>
                <w:sz w:val="11"/>
                <w:szCs w:val="11"/>
                <w:color w:val="auto"/>
              </w:rPr>
              <w:t>Stock-based compensation expense</w:t>
            </w: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line="121" w:lineRule="exact"/>
              <w:rPr>
                <w:sz w:val="20"/>
                <w:szCs w:val="20"/>
                <w:color w:val="auto"/>
              </w:rPr>
            </w:pPr>
            <w:r>
              <w:rPr>
                <w:rFonts w:ascii="Times New Roman" w:cs="Times New Roman" w:eastAsia="Times New Roman" w:hAnsi="Times New Roman"/>
                <w:sz w:val="11"/>
                <w:szCs w:val="11"/>
                <w:color w:val="auto"/>
              </w:rPr>
              <w:t>191</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360" w:type="dxa"/>
            <w:vAlign w:val="bottom"/>
            <w:shd w:val="clear" w:color="auto" w:fill="CFF0FC"/>
          </w:tcPr>
          <w:p>
            <w:pPr>
              <w:jc w:val="right"/>
              <w:spacing w:after="0" w:line="121" w:lineRule="exact"/>
              <w:rPr>
                <w:sz w:val="20"/>
                <w:szCs w:val="20"/>
                <w:color w:val="auto"/>
              </w:rPr>
            </w:pPr>
            <w:r>
              <w:rPr>
                <w:rFonts w:ascii="Times New Roman" w:cs="Times New Roman" w:eastAsia="Times New Roman" w:hAnsi="Times New Roman"/>
                <w:sz w:val="11"/>
                <w:szCs w:val="11"/>
                <w:color w:val="auto"/>
              </w:rPr>
              <w:t>191</w:t>
            </w:r>
          </w:p>
        </w:tc>
        <w:tc>
          <w:tcPr>
            <w:tcW w:w="120" w:type="dxa"/>
            <w:vAlign w:val="bottom"/>
            <w:shd w:val="clear" w:color="auto" w:fill="CFF0FC"/>
          </w:tcPr>
          <w:p>
            <w:pPr>
              <w:spacing w:after="0"/>
              <w:rPr>
                <w:sz w:val="10"/>
                <w:szCs w:val="10"/>
                <w:color w:val="auto"/>
              </w:rPr>
            </w:pPr>
          </w:p>
        </w:tc>
      </w:tr>
      <w:tr>
        <w:trPr>
          <w:trHeight w:val="121"/>
        </w:trPr>
        <w:tc>
          <w:tcPr>
            <w:tcW w:w="2960" w:type="dxa"/>
            <w:vAlign w:val="bottom"/>
          </w:tcPr>
          <w:p>
            <w:pPr>
              <w:ind w:left="20"/>
              <w:spacing w:after="0" w:line="121" w:lineRule="exact"/>
              <w:rPr>
                <w:sz w:val="20"/>
                <w:szCs w:val="20"/>
                <w:color w:val="auto"/>
              </w:rPr>
            </w:pPr>
            <w:r>
              <w:rPr>
                <w:rFonts w:ascii="Times New Roman" w:cs="Times New Roman" w:eastAsia="Times New Roman" w:hAnsi="Times New Roman"/>
                <w:sz w:val="11"/>
                <w:szCs w:val="11"/>
                <w:color w:val="auto"/>
              </w:rPr>
              <w:t>Net loss</w:t>
            </w: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tcPr>
          <w:p>
            <w:pPr>
              <w:jc w:val="right"/>
              <w:ind w:right="160"/>
              <w:spacing w:after="0" w:line="121" w:lineRule="exact"/>
              <w:rPr>
                <w:sz w:val="20"/>
                <w:szCs w:val="20"/>
                <w:color w:val="auto"/>
              </w:rPr>
            </w:pPr>
            <w:r>
              <w:rPr>
                <w:rFonts w:ascii="Times New Roman" w:cs="Times New Roman" w:eastAsia="Times New Roman" w:hAnsi="Times New Roman"/>
                <w:sz w:val="11"/>
                <w:szCs w:val="11"/>
                <w:color w:val="auto"/>
              </w:rPr>
              <w:t>(7,711 )</w:t>
            </w:r>
          </w:p>
        </w:tc>
        <w:tc>
          <w:tcPr>
            <w:tcW w:w="100" w:type="dxa"/>
            <w:vAlign w:val="bottom"/>
          </w:tcPr>
          <w:p>
            <w:pPr>
              <w:spacing w:after="0"/>
              <w:rPr>
                <w:sz w:val="10"/>
                <w:szCs w:val="10"/>
                <w:color w:val="auto"/>
              </w:rPr>
            </w:pPr>
          </w:p>
        </w:tc>
        <w:tc>
          <w:tcPr>
            <w:tcW w:w="1480" w:type="dxa"/>
            <w:vAlign w:val="bottom"/>
            <w:gridSpan w:val="2"/>
          </w:tcPr>
          <w:p>
            <w:pPr>
              <w:jc w:val="right"/>
              <w:ind w:right="80"/>
              <w:spacing w:after="0" w:line="121" w:lineRule="exact"/>
              <w:rPr>
                <w:sz w:val="20"/>
                <w:szCs w:val="20"/>
                <w:color w:val="auto"/>
              </w:rPr>
            </w:pPr>
            <w:r>
              <w:rPr>
                <w:rFonts w:ascii="Times New Roman" w:cs="Times New Roman" w:eastAsia="Times New Roman" w:hAnsi="Times New Roman"/>
                <w:sz w:val="11"/>
                <w:szCs w:val="11"/>
                <w:color w:val="auto"/>
              </w:rPr>
              <w:t>(7,711 )</w:t>
            </w:r>
          </w:p>
        </w:tc>
      </w:tr>
      <w:tr>
        <w:trPr>
          <w:trHeight w:val="20"/>
        </w:trPr>
        <w:tc>
          <w:tcPr>
            <w:tcW w:w="29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14"/>
        </w:trPr>
        <w:tc>
          <w:tcPr>
            <w:tcW w:w="2960" w:type="dxa"/>
            <w:vAlign w:val="bottom"/>
            <w:shd w:val="clear" w:color="auto" w:fill="CFF0FC"/>
          </w:tcPr>
          <w:p>
            <w:pPr>
              <w:ind w:left="20"/>
              <w:spacing w:after="0" w:line="114" w:lineRule="exact"/>
              <w:rPr>
                <w:sz w:val="20"/>
                <w:szCs w:val="20"/>
                <w:color w:val="auto"/>
              </w:rPr>
            </w:pPr>
            <w:r>
              <w:rPr>
                <w:rFonts w:ascii="Times New Roman" w:cs="Times New Roman" w:eastAsia="Times New Roman" w:hAnsi="Times New Roman"/>
                <w:sz w:val="11"/>
                <w:szCs w:val="11"/>
                <w:b w:val="1"/>
                <w:bCs w:val="1"/>
                <w:color w:val="auto"/>
              </w:rPr>
              <w:t>Balance at December 31, 2023</w:t>
            </w:r>
          </w:p>
        </w:tc>
        <w:tc>
          <w:tcPr>
            <w:tcW w:w="800" w:type="dxa"/>
            <w:vAlign w:val="bottom"/>
            <w:shd w:val="clear" w:color="auto" w:fill="CFF0FC"/>
          </w:tcPr>
          <w:p>
            <w:pPr>
              <w:jc w:val="right"/>
              <w:spacing w:after="0" w:line="114" w:lineRule="exact"/>
              <w:rPr>
                <w:sz w:val="20"/>
                <w:szCs w:val="20"/>
                <w:color w:val="auto"/>
              </w:rPr>
            </w:pPr>
            <w:r>
              <w:rPr>
                <w:rFonts w:ascii="Times New Roman" w:cs="Times New Roman" w:eastAsia="Times New Roman" w:hAnsi="Times New Roman"/>
                <w:sz w:val="11"/>
                <w:szCs w:val="11"/>
                <w:b w:val="1"/>
                <w:bCs w:val="1"/>
                <w:color w:val="auto"/>
              </w:rPr>
              <w:t>210</w:t>
            </w:r>
          </w:p>
        </w:tc>
        <w:tc>
          <w:tcPr>
            <w:tcW w:w="220" w:type="dxa"/>
            <w:vAlign w:val="bottom"/>
            <w:shd w:val="clear" w:color="auto" w:fill="CFF0FC"/>
          </w:tcPr>
          <w:p>
            <w:pPr>
              <w:spacing w:after="0"/>
              <w:rPr>
                <w:sz w:val="9"/>
                <w:szCs w:val="9"/>
                <w:color w:val="auto"/>
              </w:rPr>
            </w:pPr>
          </w:p>
        </w:tc>
        <w:tc>
          <w:tcPr>
            <w:tcW w:w="480" w:type="dxa"/>
            <w:vAlign w:val="bottom"/>
            <w:shd w:val="clear" w:color="auto" w:fill="CFF0FC"/>
          </w:tcPr>
          <w:p>
            <w:pPr>
              <w:jc w:val="right"/>
              <w:ind w:right="366"/>
              <w:spacing w:after="0" w:line="114"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80" w:type="dxa"/>
            <w:vAlign w:val="bottom"/>
            <w:shd w:val="clear" w:color="auto" w:fill="CFF0FC"/>
          </w:tcPr>
          <w:p>
            <w:pPr>
              <w:jc w:val="right"/>
              <w:spacing w:after="0" w:line="114" w:lineRule="exact"/>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shd w:val="clear" w:color="auto" w:fill="CFF0FC"/>
          </w:tcPr>
          <w:p>
            <w:pPr>
              <w:spacing w:after="0"/>
              <w:rPr>
                <w:sz w:val="9"/>
                <w:szCs w:val="9"/>
                <w:color w:val="auto"/>
              </w:rPr>
            </w:pPr>
          </w:p>
        </w:tc>
        <w:tc>
          <w:tcPr>
            <w:tcW w:w="820" w:type="dxa"/>
            <w:vAlign w:val="bottom"/>
            <w:shd w:val="clear" w:color="auto" w:fill="CFF0FC"/>
          </w:tcPr>
          <w:p>
            <w:pPr>
              <w:jc w:val="right"/>
              <w:spacing w:after="0" w:line="114" w:lineRule="exact"/>
              <w:rPr>
                <w:sz w:val="20"/>
                <w:szCs w:val="20"/>
                <w:color w:val="auto"/>
              </w:rPr>
            </w:pPr>
            <w:r>
              <w:rPr>
                <w:rFonts w:ascii="Times New Roman" w:cs="Times New Roman" w:eastAsia="Times New Roman" w:hAnsi="Times New Roman"/>
                <w:sz w:val="11"/>
                <w:szCs w:val="11"/>
                <w:b w:val="1"/>
                <w:bCs w:val="1"/>
                <w:color w:val="auto"/>
              </w:rPr>
              <w:t>298,281</w:t>
            </w: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jc w:val="right"/>
              <w:ind w:right="26"/>
              <w:spacing w:after="0" w:line="114"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shd w:val="clear" w:color="auto" w:fill="CFF0FC"/>
          </w:tcPr>
          <w:p>
            <w:pPr>
              <w:jc w:val="right"/>
              <w:spacing w:after="0" w:line="114" w:lineRule="exact"/>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shd w:val="clear" w:color="auto" w:fill="CFF0FC"/>
          </w:tcPr>
          <w:p>
            <w:pPr>
              <w:spacing w:after="0"/>
              <w:rPr>
                <w:sz w:val="9"/>
                <w:szCs w:val="9"/>
                <w:color w:val="auto"/>
              </w:rPr>
            </w:pPr>
          </w:p>
        </w:tc>
        <w:tc>
          <w:tcPr>
            <w:tcW w:w="480" w:type="dxa"/>
            <w:vAlign w:val="bottom"/>
            <w:shd w:val="clear" w:color="auto" w:fill="CFF0FC"/>
          </w:tcPr>
          <w:p>
            <w:pPr>
              <w:jc w:val="right"/>
              <w:ind w:right="346"/>
              <w:spacing w:after="0" w:line="114" w:lineRule="exact"/>
              <w:rPr>
                <w:sz w:val="20"/>
                <w:szCs w:val="20"/>
                <w:color w:val="auto"/>
              </w:rPr>
            </w:pPr>
            <w:r>
              <w:rPr>
                <w:rFonts w:ascii="Times New Roman" w:cs="Times New Roman" w:eastAsia="Times New Roman" w:hAnsi="Times New Roman"/>
                <w:sz w:val="11"/>
                <w:szCs w:val="11"/>
                <w:b w:val="1"/>
                <w:bCs w:val="1"/>
                <w:color w:val="auto"/>
              </w:rPr>
              <w:t>$</w:t>
            </w:r>
          </w:p>
        </w:tc>
        <w:tc>
          <w:tcPr>
            <w:tcW w:w="780" w:type="dxa"/>
            <w:vAlign w:val="bottom"/>
            <w:shd w:val="clear" w:color="auto" w:fill="CFF0FC"/>
          </w:tcPr>
          <w:p>
            <w:pPr>
              <w:jc w:val="right"/>
              <w:spacing w:after="0" w:line="114" w:lineRule="exact"/>
              <w:rPr>
                <w:sz w:val="20"/>
                <w:szCs w:val="20"/>
                <w:color w:val="auto"/>
              </w:rPr>
            </w:pPr>
            <w:r>
              <w:rPr>
                <w:rFonts w:ascii="Times New Roman" w:cs="Times New Roman" w:eastAsia="Times New Roman" w:hAnsi="Times New Roman"/>
                <w:sz w:val="11"/>
                <w:szCs w:val="11"/>
                <w:b w:val="1"/>
                <w:bCs w:val="1"/>
                <w:color w:val="auto"/>
              </w:rPr>
              <w:t>305,351</w:t>
            </w: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jc w:val="right"/>
              <w:spacing w:after="0" w:line="114"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1300" w:type="dxa"/>
            <w:vAlign w:val="bottom"/>
            <w:gridSpan w:val="2"/>
            <w:shd w:val="clear" w:color="auto" w:fill="CFF0FC"/>
          </w:tcPr>
          <w:p>
            <w:pPr>
              <w:jc w:val="right"/>
              <w:ind w:right="160"/>
              <w:spacing w:after="0" w:line="114" w:lineRule="exact"/>
              <w:rPr>
                <w:sz w:val="20"/>
                <w:szCs w:val="20"/>
                <w:color w:val="auto"/>
              </w:rPr>
            </w:pPr>
            <w:r>
              <w:rPr>
                <w:rFonts w:ascii="Times New Roman" w:cs="Times New Roman" w:eastAsia="Times New Roman" w:hAnsi="Times New Roman"/>
                <w:sz w:val="11"/>
                <w:szCs w:val="11"/>
                <w:b w:val="1"/>
                <w:bCs w:val="1"/>
                <w:color w:val="auto"/>
              </w:rPr>
              <w:t>(297,253 )</w:t>
            </w:r>
          </w:p>
        </w:tc>
        <w:tc>
          <w:tcPr>
            <w:tcW w:w="100" w:type="dxa"/>
            <w:vAlign w:val="bottom"/>
            <w:shd w:val="clear" w:color="auto" w:fill="CFF0FC"/>
          </w:tcPr>
          <w:p>
            <w:pPr>
              <w:jc w:val="right"/>
              <w:spacing w:after="0" w:line="114"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1360" w:type="dxa"/>
            <w:vAlign w:val="bottom"/>
            <w:shd w:val="clear" w:color="auto" w:fill="CFF0FC"/>
          </w:tcPr>
          <w:p>
            <w:pPr>
              <w:jc w:val="right"/>
              <w:spacing w:after="0" w:line="114" w:lineRule="exact"/>
              <w:rPr>
                <w:sz w:val="20"/>
                <w:szCs w:val="20"/>
                <w:color w:val="auto"/>
              </w:rPr>
            </w:pPr>
            <w:r>
              <w:rPr>
                <w:rFonts w:ascii="Times New Roman" w:cs="Times New Roman" w:eastAsia="Times New Roman" w:hAnsi="Times New Roman"/>
                <w:sz w:val="11"/>
                <w:szCs w:val="11"/>
                <w:b w:val="1"/>
                <w:bCs w:val="1"/>
                <w:color w:val="auto"/>
              </w:rPr>
              <w:t>8,098</w:t>
            </w:r>
          </w:p>
        </w:tc>
        <w:tc>
          <w:tcPr>
            <w:tcW w:w="120" w:type="dxa"/>
            <w:vAlign w:val="bottom"/>
            <w:shd w:val="clear" w:color="auto" w:fill="CFF0FC"/>
          </w:tcPr>
          <w:p>
            <w:pPr>
              <w:spacing w:after="0"/>
              <w:rPr>
                <w:sz w:val="9"/>
                <w:szCs w:val="9"/>
                <w:color w:val="auto"/>
              </w:rPr>
            </w:pPr>
          </w:p>
        </w:tc>
      </w:tr>
      <w:tr>
        <w:trPr>
          <w:trHeight w:val="100"/>
        </w:trPr>
        <w:tc>
          <w:tcPr>
            <w:tcW w:w="2960" w:type="dxa"/>
            <w:vAlign w:val="bottom"/>
            <w:tcBorders>
              <w:top w:val="single" w:sz="8" w:color="CFF0FC"/>
            </w:tcBorders>
          </w:tcPr>
          <w:p>
            <w:pPr>
              <w:ind w:left="20"/>
              <w:spacing w:after="0" w:line="101" w:lineRule="exact"/>
              <w:rPr>
                <w:sz w:val="20"/>
                <w:szCs w:val="20"/>
                <w:color w:val="auto"/>
              </w:rPr>
            </w:pPr>
            <w:r>
              <w:rPr>
                <w:rFonts w:ascii="Times New Roman" w:cs="Times New Roman" w:eastAsia="Times New Roman" w:hAnsi="Times New Roman"/>
                <w:sz w:val="11"/>
                <w:szCs w:val="11"/>
                <w:color w:val="auto"/>
              </w:rPr>
              <w:t>Public offering sale of common stock, warrants, and prefunded</w:t>
            </w:r>
          </w:p>
        </w:tc>
        <w:tc>
          <w:tcPr>
            <w:tcW w:w="80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00" w:type="dxa"/>
            <w:vAlign w:val="bottom"/>
            <w:tcBorders>
              <w:top w:val="single" w:sz="8" w:color="CFF0FC"/>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00" w:type="dxa"/>
            <w:vAlign w:val="bottom"/>
            <w:tcBorders>
              <w:top w:val="single" w:sz="8" w:color="CFF0FC"/>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8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36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r>
      <w:tr>
        <w:trPr>
          <w:trHeight w:val="135"/>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warrants, net of offering costs of $8,416</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1,871,921</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100,303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100,303</w:t>
            </w:r>
          </w:p>
        </w:tc>
        <w:tc>
          <w:tcPr>
            <w:tcW w:w="120" w:type="dxa"/>
            <w:vAlign w:val="bottom"/>
          </w:tcPr>
          <w:p>
            <w:pPr>
              <w:spacing w:after="0"/>
              <w:rPr>
                <w:sz w:val="11"/>
                <w:szCs w:val="11"/>
                <w:color w:val="auto"/>
              </w:rPr>
            </w:pPr>
          </w:p>
        </w:tc>
      </w:tr>
      <w:tr>
        <w:trPr>
          <w:trHeight w:val="121"/>
        </w:trPr>
        <w:tc>
          <w:tcPr>
            <w:tcW w:w="2960" w:type="dxa"/>
            <w:vAlign w:val="bottom"/>
            <w:shd w:val="clear" w:color="auto" w:fill="CFF0FC"/>
          </w:tcPr>
          <w:p>
            <w:pPr>
              <w:ind w:left="20"/>
              <w:spacing w:after="0" w:line="121" w:lineRule="exact"/>
              <w:rPr>
                <w:sz w:val="20"/>
                <w:szCs w:val="20"/>
                <w:color w:val="auto"/>
              </w:rPr>
            </w:pPr>
            <w:r>
              <w:rPr>
                <w:rFonts w:ascii="Times New Roman" w:cs="Times New Roman" w:eastAsia="Times New Roman" w:hAnsi="Times New Roman"/>
                <w:sz w:val="11"/>
                <w:szCs w:val="11"/>
                <w:color w:val="auto"/>
              </w:rPr>
              <w:t>Exercise of pre-funded warrants for cash</w:t>
            </w: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20" w:type="dxa"/>
            <w:vAlign w:val="bottom"/>
            <w:gridSpan w:val="2"/>
            <w:shd w:val="clear" w:color="auto" w:fill="CFF0FC"/>
          </w:tcPr>
          <w:p>
            <w:pPr>
              <w:jc w:val="right"/>
              <w:spacing w:after="0" w:line="121" w:lineRule="exact"/>
              <w:rPr>
                <w:sz w:val="20"/>
                <w:szCs w:val="20"/>
                <w:color w:val="auto"/>
              </w:rPr>
            </w:pPr>
            <w:r>
              <w:rPr>
                <w:rFonts w:ascii="Times New Roman" w:cs="Times New Roman" w:eastAsia="Times New Roman" w:hAnsi="Times New Roman"/>
                <w:sz w:val="11"/>
                <w:szCs w:val="11"/>
                <w:color w:val="auto"/>
              </w:rPr>
              <w:t>973,240</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1"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line="121" w:lineRule="exact"/>
              <w:rPr>
                <w:sz w:val="20"/>
                <w:szCs w:val="20"/>
                <w:color w:val="auto"/>
              </w:rPr>
            </w:pPr>
            <w:r>
              <w:rPr>
                <w:rFonts w:ascii="Times New Roman" w:cs="Times New Roman" w:eastAsia="Times New Roman" w:hAnsi="Times New Roman"/>
                <w:sz w:val="11"/>
                <w:szCs w:val="11"/>
                <w:color w:val="auto"/>
              </w:rPr>
              <w:t>1</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360" w:type="dxa"/>
            <w:vAlign w:val="bottom"/>
            <w:shd w:val="clear" w:color="auto" w:fill="CFF0FC"/>
          </w:tcPr>
          <w:p>
            <w:pPr>
              <w:jc w:val="right"/>
              <w:spacing w:after="0" w:line="121" w:lineRule="exact"/>
              <w:rPr>
                <w:sz w:val="20"/>
                <w:szCs w:val="20"/>
                <w:color w:val="auto"/>
              </w:rPr>
            </w:pPr>
            <w:r>
              <w:rPr>
                <w:rFonts w:ascii="Times New Roman" w:cs="Times New Roman" w:eastAsia="Times New Roman" w:hAnsi="Times New Roman"/>
                <w:sz w:val="11"/>
                <w:szCs w:val="11"/>
                <w:color w:val="auto"/>
              </w:rPr>
              <w:t>1</w:t>
            </w:r>
          </w:p>
        </w:tc>
        <w:tc>
          <w:tcPr>
            <w:tcW w:w="120" w:type="dxa"/>
            <w:vAlign w:val="bottom"/>
            <w:shd w:val="clear" w:color="auto" w:fill="CFF0FC"/>
          </w:tcPr>
          <w:p>
            <w:pPr>
              <w:spacing w:after="0"/>
              <w:rPr>
                <w:sz w:val="10"/>
                <w:szCs w:val="10"/>
                <w:color w:val="auto"/>
              </w:rPr>
            </w:pPr>
          </w:p>
        </w:tc>
      </w:tr>
      <w:tr>
        <w:trPr>
          <w:trHeight w:val="121"/>
        </w:trPr>
        <w:tc>
          <w:tcPr>
            <w:tcW w:w="2960" w:type="dxa"/>
            <w:vAlign w:val="bottom"/>
          </w:tcPr>
          <w:p>
            <w:pPr>
              <w:ind w:left="20"/>
              <w:spacing w:after="0" w:line="121" w:lineRule="exact"/>
              <w:rPr>
                <w:sz w:val="20"/>
                <w:szCs w:val="20"/>
                <w:color w:val="auto"/>
              </w:rPr>
            </w:pPr>
            <w:r>
              <w:rPr>
                <w:rFonts w:ascii="Times New Roman" w:cs="Times New Roman" w:eastAsia="Times New Roman" w:hAnsi="Times New Roman"/>
                <w:sz w:val="11"/>
                <w:szCs w:val="11"/>
                <w:color w:val="auto"/>
              </w:rPr>
              <w:t>Exercise of pre-funded warrants, cashless</w:t>
            </w: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right"/>
              <w:spacing w:after="0" w:line="121" w:lineRule="exact"/>
              <w:rPr>
                <w:sz w:val="20"/>
                <w:szCs w:val="20"/>
                <w:color w:val="auto"/>
              </w:rPr>
            </w:pPr>
            <w:r>
              <w:rPr>
                <w:rFonts w:ascii="Times New Roman" w:cs="Times New Roman" w:eastAsia="Times New Roman" w:hAnsi="Times New Roman"/>
                <w:sz w:val="11"/>
                <w:szCs w:val="11"/>
                <w:color w:val="auto"/>
              </w:rPr>
              <w:t>205,467</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right"/>
              <w:spacing w:after="0" w:line="121"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80" w:type="dxa"/>
            <w:vAlign w:val="bottom"/>
          </w:tcPr>
          <w:p>
            <w:pPr>
              <w:jc w:val="right"/>
              <w:spacing w:after="0" w:line="121"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tcPr>
          <w:p>
            <w:pPr>
              <w:jc w:val="right"/>
              <w:spacing w:after="0" w:line="121"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r>
      <w:tr>
        <w:trPr>
          <w:trHeight w:val="121"/>
        </w:trPr>
        <w:tc>
          <w:tcPr>
            <w:tcW w:w="2960" w:type="dxa"/>
            <w:vAlign w:val="bottom"/>
            <w:shd w:val="clear" w:color="auto" w:fill="CFF0FC"/>
          </w:tcPr>
          <w:p>
            <w:pPr>
              <w:ind w:left="20"/>
              <w:spacing w:after="0" w:line="121" w:lineRule="exact"/>
              <w:rPr>
                <w:sz w:val="20"/>
                <w:szCs w:val="20"/>
                <w:color w:val="auto"/>
              </w:rPr>
            </w:pPr>
            <w:r>
              <w:rPr>
                <w:rFonts w:ascii="Times New Roman" w:cs="Times New Roman" w:eastAsia="Times New Roman" w:hAnsi="Times New Roman"/>
                <w:sz w:val="11"/>
                <w:szCs w:val="11"/>
                <w:color w:val="auto"/>
              </w:rPr>
              <w:t>Exercise of warrants</w:t>
            </w: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20" w:type="dxa"/>
            <w:vAlign w:val="bottom"/>
            <w:gridSpan w:val="2"/>
            <w:shd w:val="clear" w:color="auto" w:fill="CFF0FC"/>
          </w:tcPr>
          <w:p>
            <w:pPr>
              <w:jc w:val="right"/>
              <w:spacing w:after="0" w:line="121" w:lineRule="exact"/>
              <w:rPr>
                <w:sz w:val="20"/>
                <w:szCs w:val="20"/>
                <w:color w:val="auto"/>
              </w:rPr>
            </w:pPr>
            <w:r>
              <w:rPr>
                <w:rFonts w:ascii="Times New Roman" w:cs="Times New Roman" w:eastAsia="Times New Roman" w:hAnsi="Times New Roman"/>
                <w:sz w:val="11"/>
                <w:szCs w:val="11"/>
                <w:color w:val="auto"/>
              </w:rPr>
              <w:t>12,000</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1"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line="121" w:lineRule="exact"/>
              <w:rPr>
                <w:sz w:val="20"/>
                <w:szCs w:val="20"/>
                <w:color w:val="auto"/>
              </w:rPr>
            </w:pPr>
            <w:r>
              <w:rPr>
                <w:rFonts w:ascii="Times New Roman" w:cs="Times New Roman" w:eastAsia="Times New Roman" w:hAnsi="Times New Roman"/>
                <w:sz w:val="11"/>
                <w:szCs w:val="11"/>
                <w:color w:val="auto"/>
              </w:rPr>
              <w:t>68</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360" w:type="dxa"/>
            <w:vAlign w:val="bottom"/>
            <w:shd w:val="clear" w:color="auto" w:fill="CFF0FC"/>
          </w:tcPr>
          <w:p>
            <w:pPr>
              <w:jc w:val="right"/>
              <w:spacing w:after="0" w:line="121" w:lineRule="exact"/>
              <w:rPr>
                <w:sz w:val="20"/>
                <w:szCs w:val="20"/>
                <w:color w:val="auto"/>
              </w:rPr>
            </w:pPr>
            <w:r>
              <w:rPr>
                <w:rFonts w:ascii="Times New Roman" w:cs="Times New Roman" w:eastAsia="Times New Roman" w:hAnsi="Times New Roman"/>
                <w:sz w:val="11"/>
                <w:szCs w:val="11"/>
                <w:color w:val="auto"/>
              </w:rPr>
              <w:t>68</w:t>
            </w:r>
          </w:p>
        </w:tc>
        <w:tc>
          <w:tcPr>
            <w:tcW w:w="120" w:type="dxa"/>
            <w:vAlign w:val="bottom"/>
            <w:shd w:val="clear" w:color="auto" w:fill="CFF0FC"/>
          </w:tcPr>
          <w:p>
            <w:pPr>
              <w:spacing w:after="0"/>
              <w:rPr>
                <w:sz w:val="10"/>
                <w:szCs w:val="10"/>
                <w:color w:val="auto"/>
              </w:rPr>
            </w:pPr>
          </w:p>
        </w:tc>
      </w:tr>
      <w:tr>
        <w:trPr>
          <w:trHeight w:val="121"/>
        </w:trPr>
        <w:tc>
          <w:tcPr>
            <w:tcW w:w="2960" w:type="dxa"/>
            <w:vAlign w:val="bottom"/>
          </w:tcPr>
          <w:p>
            <w:pPr>
              <w:ind w:left="20"/>
              <w:spacing w:after="0" w:line="121" w:lineRule="exact"/>
              <w:rPr>
                <w:sz w:val="20"/>
                <w:szCs w:val="20"/>
                <w:color w:val="auto"/>
              </w:rPr>
            </w:pPr>
            <w:r>
              <w:rPr>
                <w:rFonts w:ascii="Times New Roman" w:cs="Times New Roman" w:eastAsia="Times New Roman" w:hAnsi="Times New Roman"/>
                <w:sz w:val="11"/>
                <w:szCs w:val="11"/>
                <w:color w:val="auto"/>
              </w:rPr>
              <w:t>Stock split and fractional shares issued</w:t>
            </w: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right"/>
              <w:spacing w:after="0" w:line="121" w:lineRule="exact"/>
              <w:rPr>
                <w:sz w:val="20"/>
                <w:szCs w:val="20"/>
                <w:color w:val="auto"/>
              </w:rPr>
            </w:pPr>
            <w:r>
              <w:rPr>
                <w:rFonts w:ascii="Times New Roman" w:cs="Times New Roman" w:eastAsia="Times New Roman" w:hAnsi="Times New Roman"/>
                <w:sz w:val="11"/>
                <w:szCs w:val="11"/>
                <w:color w:val="auto"/>
              </w:rPr>
              <w:t>59,997</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right"/>
              <w:spacing w:after="0" w:line="121"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80" w:type="dxa"/>
            <w:vAlign w:val="bottom"/>
          </w:tcPr>
          <w:p>
            <w:pPr>
              <w:jc w:val="right"/>
              <w:spacing w:after="0" w:line="121"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tcPr>
          <w:p>
            <w:pPr>
              <w:jc w:val="right"/>
              <w:spacing w:after="0" w:line="121"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r>
      <w:tr>
        <w:trPr>
          <w:trHeight w:val="121"/>
        </w:trPr>
        <w:tc>
          <w:tcPr>
            <w:tcW w:w="2960" w:type="dxa"/>
            <w:vAlign w:val="bottom"/>
            <w:shd w:val="clear" w:color="auto" w:fill="CFF0FC"/>
          </w:tcPr>
          <w:p>
            <w:pPr>
              <w:ind w:left="20"/>
              <w:spacing w:after="0" w:line="121" w:lineRule="exact"/>
              <w:rPr>
                <w:sz w:val="20"/>
                <w:szCs w:val="20"/>
                <w:color w:val="auto"/>
              </w:rPr>
            </w:pPr>
            <w:r>
              <w:rPr>
                <w:rFonts w:ascii="Times New Roman" w:cs="Times New Roman" w:eastAsia="Times New Roman" w:hAnsi="Times New Roman"/>
                <w:sz w:val="11"/>
                <w:szCs w:val="11"/>
                <w:color w:val="auto"/>
              </w:rPr>
              <w:t>Stock-based compensation expense</w:t>
            </w: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line="121" w:lineRule="exact"/>
              <w:rPr>
                <w:sz w:val="20"/>
                <w:szCs w:val="20"/>
                <w:color w:val="auto"/>
              </w:rPr>
            </w:pPr>
            <w:r>
              <w:rPr>
                <w:rFonts w:ascii="Times New Roman" w:cs="Times New Roman" w:eastAsia="Times New Roman" w:hAnsi="Times New Roman"/>
                <w:sz w:val="11"/>
                <w:szCs w:val="11"/>
                <w:color w:val="auto"/>
              </w:rPr>
              <w:t>1,125</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360" w:type="dxa"/>
            <w:vAlign w:val="bottom"/>
            <w:shd w:val="clear" w:color="auto" w:fill="CFF0FC"/>
          </w:tcPr>
          <w:p>
            <w:pPr>
              <w:jc w:val="right"/>
              <w:spacing w:after="0" w:line="121" w:lineRule="exact"/>
              <w:rPr>
                <w:sz w:val="20"/>
                <w:szCs w:val="20"/>
                <w:color w:val="auto"/>
              </w:rPr>
            </w:pPr>
            <w:r>
              <w:rPr>
                <w:rFonts w:ascii="Times New Roman" w:cs="Times New Roman" w:eastAsia="Times New Roman" w:hAnsi="Times New Roman"/>
                <w:sz w:val="11"/>
                <w:szCs w:val="11"/>
                <w:color w:val="auto"/>
              </w:rPr>
              <w:t>1,125</w:t>
            </w:r>
          </w:p>
        </w:tc>
        <w:tc>
          <w:tcPr>
            <w:tcW w:w="120" w:type="dxa"/>
            <w:vAlign w:val="bottom"/>
            <w:shd w:val="clear" w:color="auto" w:fill="CFF0FC"/>
          </w:tcPr>
          <w:p>
            <w:pPr>
              <w:spacing w:after="0"/>
              <w:rPr>
                <w:sz w:val="10"/>
                <w:szCs w:val="10"/>
                <w:color w:val="auto"/>
              </w:rPr>
            </w:pPr>
          </w:p>
        </w:tc>
      </w:tr>
      <w:tr>
        <w:trPr>
          <w:trHeight w:val="121"/>
        </w:trPr>
        <w:tc>
          <w:tcPr>
            <w:tcW w:w="2960" w:type="dxa"/>
            <w:vAlign w:val="bottom"/>
          </w:tcPr>
          <w:p>
            <w:pPr>
              <w:ind w:left="20"/>
              <w:spacing w:after="0" w:line="121" w:lineRule="exact"/>
              <w:rPr>
                <w:sz w:val="20"/>
                <w:szCs w:val="20"/>
                <w:color w:val="auto"/>
              </w:rPr>
            </w:pPr>
            <w:r>
              <w:rPr>
                <w:rFonts w:ascii="Times New Roman" w:cs="Times New Roman" w:eastAsia="Times New Roman" w:hAnsi="Times New Roman"/>
                <w:sz w:val="11"/>
                <w:szCs w:val="11"/>
                <w:color w:val="auto"/>
              </w:rPr>
              <w:t>Net loss</w:t>
            </w: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tcPr>
          <w:p>
            <w:pPr>
              <w:jc w:val="right"/>
              <w:ind w:right="160"/>
              <w:spacing w:after="0" w:line="121" w:lineRule="exact"/>
              <w:rPr>
                <w:sz w:val="20"/>
                <w:szCs w:val="20"/>
                <w:color w:val="auto"/>
              </w:rPr>
            </w:pPr>
            <w:r>
              <w:rPr>
                <w:rFonts w:ascii="Times New Roman" w:cs="Times New Roman" w:eastAsia="Times New Roman" w:hAnsi="Times New Roman"/>
                <w:sz w:val="11"/>
                <w:szCs w:val="11"/>
                <w:color w:val="auto"/>
              </w:rPr>
              <w:t>(17,602 )</w:t>
            </w:r>
          </w:p>
        </w:tc>
        <w:tc>
          <w:tcPr>
            <w:tcW w:w="100" w:type="dxa"/>
            <w:vAlign w:val="bottom"/>
          </w:tcPr>
          <w:p>
            <w:pPr>
              <w:spacing w:after="0"/>
              <w:rPr>
                <w:sz w:val="10"/>
                <w:szCs w:val="10"/>
                <w:color w:val="auto"/>
              </w:rPr>
            </w:pPr>
          </w:p>
        </w:tc>
        <w:tc>
          <w:tcPr>
            <w:tcW w:w="1480" w:type="dxa"/>
            <w:vAlign w:val="bottom"/>
            <w:gridSpan w:val="2"/>
          </w:tcPr>
          <w:p>
            <w:pPr>
              <w:jc w:val="right"/>
              <w:ind w:right="80"/>
              <w:spacing w:after="0" w:line="121" w:lineRule="exact"/>
              <w:rPr>
                <w:sz w:val="20"/>
                <w:szCs w:val="20"/>
                <w:color w:val="auto"/>
              </w:rPr>
            </w:pPr>
            <w:r>
              <w:rPr>
                <w:rFonts w:ascii="Times New Roman" w:cs="Times New Roman" w:eastAsia="Times New Roman" w:hAnsi="Times New Roman"/>
                <w:sz w:val="11"/>
                <w:szCs w:val="11"/>
                <w:color w:val="auto"/>
              </w:rPr>
              <w:t>(17,602 )</w:t>
            </w:r>
          </w:p>
        </w:tc>
      </w:tr>
      <w:tr>
        <w:trPr>
          <w:trHeight w:val="20"/>
        </w:trPr>
        <w:tc>
          <w:tcPr>
            <w:tcW w:w="29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14"/>
        </w:trPr>
        <w:tc>
          <w:tcPr>
            <w:tcW w:w="2960" w:type="dxa"/>
            <w:vAlign w:val="bottom"/>
            <w:shd w:val="clear" w:color="auto" w:fill="CFF0FC"/>
          </w:tcPr>
          <w:p>
            <w:pPr>
              <w:ind w:left="20"/>
              <w:spacing w:after="0" w:line="114" w:lineRule="exact"/>
              <w:rPr>
                <w:sz w:val="20"/>
                <w:szCs w:val="20"/>
                <w:color w:val="auto"/>
              </w:rPr>
            </w:pPr>
            <w:r>
              <w:rPr>
                <w:rFonts w:ascii="Times New Roman" w:cs="Times New Roman" w:eastAsia="Times New Roman" w:hAnsi="Times New Roman"/>
                <w:sz w:val="11"/>
                <w:szCs w:val="11"/>
                <w:b w:val="1"/>
                <w:bCs w:val="1"/>
                <w:color w:val="auto"/>
              </w:rPr>
              <w:t>Balance at December 31, 2024</w:t>
            </w:r>
          </w:p>
        </w:tc>
        <w:tc>
          <w:tcPr>
            <w:tcW w:w="800" w:type="dxa"/>
            <w:vAlign w:val="bottom"/>
            <w:shd w:val="clear" w:color="auto" w:fill="CFF0FC"/>
          </w:tcPr>
          <w:p>
            <w:pPr>
              <w:jc w:val="right"/>
              <w:spacing w:after="0" w:line="114" w:lineRule="exact"/>
              <w:rPr>
                <w:sz w:val="20"/>
                <w:szCs w:val="20"/>
                <w:color w:val="auto"/>
              </w:rPr>
            </w:pPr>
            <w:r>
              <w:rPr>
                <w:rFonts w:ascii="Times New Roman" w:cs="Times New Roman" w:eastAsia="Times New Roman" w:hAnsi="Times New Roman"/>
                <w:sz w:val="11"/>
                <w:szCs w:val="11"/>
                <w:b w:val="1"/>
                <w:bCs w:val="1"/>
                <w:color w:val="auto"/>
              </w:rPr>
              <w:t>210</w:t>
            </w:r>
          </w:p>
        </w:tc>
        <w:tc>
          <w:tcPr>
            <w:tcW w:w="220" w:type="dxa"/>
            <w:vAlign w:val="bottom"/>
            <w:shd w:val="clear" w:color="auto" w:fill="CFF0FC"/>
          </w:tcPr>
          <w:p>
            <w:pPr>
              <w:spacing w:after="0"/>
              <w:rPr>
                <w:sz w:val="9"/>
                <w:szCs w:val="9"/>
                <w:color w:val="auto"/>
              </w:rPr>
            </w:pPr>
          </w:p>
        </w:tc>
        <w:tc>
          <w:tcPr>
            <w:tcW w:w="480" w:type="dxa"/>
            <w:vAlign w:val="bottom"/>
            <w:shd w:val="clear" w:color="auto" w:fill="CFF0FC"/>
          </w:tcPr>
          <w:p>
            <w:pPr>
              <w:jc w:val="right"/>
              <w:ind w:right="366"/>
              <w:spacing w:after="0" w:line="114"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80" w:type="dxa"/>
            <w:vAlign w:val="bottom"/>
            <w:shd w:val="clear" w:color="auto" w:fill="CFF0FC"/>
          </w:tcPr>
          <w:p>
            <w:pPr>
              <w:jc w:val="right"/>
              <w:spacing w:after="0" w:line="114" w:lineRule="exact"/>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shd w:val="clear" w:color="auto" w:fill="CFF0FC"/>
          </w:tcPr>
          <w:p>
            <w:pPr>
              <w:spacing w:after="0"/>
              <w:rPr>
                <w:sz w:val="9"/>
                <w:szCs w:val="9"/>
                <w:color w:val="auto"/>
              </w:rPr>
            </w:pPr>
          </w:p>
        </w:tc>
        <w:tc>
          <w:tcPr>
            <w:tcW w:w="820" w:type="dxa"/>
            <w:vAlign w:val="bottom"/>
            <w:shd w:val="clear" w:color="auto" w:fill="CFF0FC"/>
          </w:tcPr>
          <w:p>
            <w:pPr>
              <w:jc w:val="right"/>
              <w:spacing w:after="0" w:line="114" w:lineRule="exact"/>
              <w:rPr>
                <w:sz w:val="20"/>
                <w:szCs w:val="20"/>
                <w:color w:val="auto"/>
              </w:rPr>
            </w:pPr>
            <w:r>
              <w:rPr>
                <w:rFonts w:ascii="Times New Roman" w:cs="Times New Roman" w:eastAsia="Times New Roman" w:hAnsi="Times New Roman"/>
                <w:sz w:val="11"/>
                <w:szCs w:val="11"/>
                <w:b w:val="1"/>
                <w:bCs w:val="1"/>
                <w:color w:val="auto"/>
              </w:rPr>
              <w:t>3,420,906</w:t>
            </w: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jc w:val="right"/>
              <w:ind w:right="26"/>
              <w:spacing w:after="0" w:line="114"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shd w:val="clear" w:color="auto" w:fill="CFF0FC"/>
          </w:tcPr>
          <w:p>
            <w:pPr>
              <w:jc w:val="right"/>
              <w:spacing w:after="0" w:line="114" w:lineRule="exact"/>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shd w:val="clear" w:color="auto" w:fill="CFF0FC"/>
          </w:tcPr>
          <w:p>
            <w:pPr>
              <w:spacing w:after="0"/>
              <w:rPr>
                <w:sz w:val="9"/>
                <w:szCs w:val="9"/>
                <w:color w:val="auto"/>
              </w:rPr>
            </w:pPr>
          </w:p>
        </w:tc>
        <w:tc>
          <w:tcPr>
            <w:tcW w:w="480" w:type="dxa"/>
            <w:vAlign w:val="bottom"/>
            <w:shd w:val="clear" w:color="auto" w:fill="CFF0FC"/>
          </w:tcPr>
          <w:p>
            <w:pPr>
              <w:jc w:val="right"/>
              <w:ind w:right="346"/>
              <w:spacing w:after="0" w:line="114" w:lineRule="exact"/>
              <w:rPr>
                <w:sz w:val="20"/>
                <w:szCs w:val="20"/>
                <w:color w:val="auto"/>
              </w:rPr>
            </w:pPr>
            <w:r>
              <w:rPr>
                <w:rFonts w:ascii="Times New Roman" w:cs="Times New Roman" w:eastAsia="Times New Roman" w:hAnsi="Times New Roman"/>
                <w:sz w:val="11"/>
                <w:szCs w:val="11"/>
                <w:b w:val="1"/>
                <w:bCs w:val="1"/>
                <w:color w:val="auto"/>
              </w:rPr>
              <w:t>$</w:t>
            </w:r>
          </w:p>
        </w:tc>
        <w:tc>
          <w:tcPr>
            <w:tcW w:w="780" w:type="dxa"/>
            <w:vAlign w:val="bottom"/>
            <w:shd w:val="clear" w:color="auto" w:fill="CFF0FC"/>
          </w:tcPr>
          <w:p>
            <w:pPr>
              <w:jc w:val="right"/>
              <w:spacing w:after="0" w:line="114" w:lineRule="exact"/>
              <w:rPr>
                <w:sz w:val="20"/>
                <w:szCs w:val="20"/>
                <w:color w:val="auto"/>
              </w:rPr>
            </w:pPr>
            <w:r>
              <w:rPr>
                <w:rFonts w:ascii="Times New Roman" w:cs="Times New Roman" w:eastAsia="Times New Roman" w:hAnsi="Times New Roman"/>
                <w:sz w:val="11"/>
                <w:szCs w:val="11"/>
                <w:b w:val="1"/>
                <w:bCs w:val="1"/>
                <w:color w:val="auto"/>
              </w:rPr>
              <w:t>406,848</w:t>
            </w: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jc w:val="right"/>
              <w:spacing w:after="0" w:line="114"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1300" w:type="dxa"/>
            <w:vAlign w:val="bottom"/>
            <w:gridSpan w:val="2"/>
            <w:shd w:val="clear" w:color="auto" w:fill="CFF0FC"/>
          </w:tcPr>
          <w:p>
            <w:pPr>
              <w:jc w:val="right"/>
              <w:ind w:right="160"/>
              <w:spacing w:after="0" w:line="114" w:lineRule="exact"/>
              <w:rPr>
                <w:sz w:val="20"/>
                <w:szCs w:val="20"/>
                <w:color w:val="auto"/>
              </w:rPr>
            </w:pPr>
            <w:r>
              <w:rPr>
                <w:rFonts w:ascii="Times New Roman" w:cs="Times New Roman" w:eastAsia="Times New Roman" w:hAnsi="Times New Roman"/>
                <w:sz w:val="11"/>
                <w:szCs w:val="11"/>
                <w:b w:val="1"/>
                <w:bCs w:val="1"/>
                <w:color w:val="auto"/>
              </w:rPr>
              <w:t>(314,855 )</w:t>
            </w:r>
          </w:p>
        </w:tc>
        <w:tc>
          <w:tcPr>
            <w:tcW w:w="100" w:type="dxa"/>
            <w:vAlign w:val="bottom"/>
            <w:shd w:val="clear" w:color="auto" w:fill="CFF0FC"/>
          </w:tcPr>
          <w:p>
            <w:pPr>
              <w:jc w:val="right"/>
              <w:spacing w:after="0" w:line="114"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1360" w:type="dxa"/>
            <w:vAlign w:val="bottom"/>
            <w:shd w:val="clear" w:color="auto" w:fill="CFF0FC"/>
          </w:tcPr>
          <w:p>
            <w:pPr>
              <w:jc w:val="right"/>
              <w:spacing w:after="0" w:line="114" w:lineRule="exact"/>
              <w:rPr>
                <w:sz w:val="20"/>
                <w:szCs w:val="20"/>
                <w:color w:val="auto"/>
              </w:rPr>
            </w:pPr>
            <w:r>
              <w:rPr>
                <w:rFonts w:ascii="Times New Roman" w:cs="Times New Roman" w:eastAsia="Times New Roman" w:hAnsi="Times New Roman"/>
                <w:sz w:val="11"/>
                <w:szCs w:val="11"/>
                <w:b w:val="1"/>
                <w:bCs w:val="1"/>
                <w:color w:val="auto"/>
              </w:rPr>
              <w:t>91,993</w:t>
            </w:r>
          </w:p>
        </w:tc>
        <w:tc>
          <w:tcPr>
            <w:tcW w:w="120" w:type="dxa"/>
            <w:vAlign w:val="bottom"/>
            <w:shd w:val="clear" w:color="auto" w:fill="CFF0FC"/>
          </w:tcPr>
          <w:p>
            <w:pPr>
              <w:spacing w:after="0"/>
              <w:rPr>
                <w:sz w:val="9"/>
                <w:szCs w:val="9"/>
                <w:color w:val="auto"/>
              </w:rPr>
            </w:pPr>
          </w:p>
        </w:tc>
      </w:tr>
      <w:tr>
        <w:trPr>
          <w:trHeight w:val="20"/>
        </w:trPr>
        <w:tc>
          <w:tcPr>
            <w:tcW w:w="296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2390775</wp:posOffset>
            </wp:positionH>
            <wp:positionV relativeFrom="paragraph">
              <wp:posOffset>-1422400</wp:posOffset>
            </wp:positionV>
            <wp:extent cx="6794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1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-1422400</wp:posOffset>
            </wp:positionV>
            <wp:extent cx="6794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17">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3533140</wp:posOffset>
            </wp:positionH>
            <wp:positionV relativeFrom="paragraph">
              <wp:posOffset>-1422400</wp:posOffset>
            </wp:positionV>
            <wp:extent cx="6794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18">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4171950</wp:posOffset>
            </wp:positionH>
            <wp:positionV relativeFrom="paragraph">
              <wp:posOffset>-1422400</wp:posOffset>
            </wp:positionV>
            <wp:extent cx="6794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1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5109210</wp:posOffset>
            </wp:positionH>
            <wp:positionV relativeFrom="paragraph">
              <wp:posOffset>-1422400</wp:posOffset>
            </wp:positionV>
            <wp:extent cx="6794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2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5995670</wp:posOffset>
            </wp:positionH>
            <wp:positionV relativeFrom="paragraph">
              <wp:posOffset>-1422400</wp:posOffset>
            </wp:positionV>
            <wp:extent cx="6794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21">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7061200</wp:posOffset>
            </wp:positionH>
            <wp:positionV relativeFrom="paragraph">
              <wp:posOffset>-1422400</wp:posOffset>
            </wp:positionV>
            <wp:extent cx="768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2390775</wp:posOffset>
            </wp:positionH>
            <wp:positionV relativeFrom="paragraph">
              <wp:posOffset>-715010</wp:posOffset>
            </wp:positionV>
            <wp:extent cx="6794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23">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-715010</wp:posOffset>
            </wp:positionV>
            <wp:extent cx="6794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2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3533140</wp:posOffset>
            </wp:positionH>
            <wp:positionV relativeFrom="paragraph">
              <wp:posOffset>-715010</wp:posOffset>
            </wp:positionV>
            <wp:extent cx="6794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2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4171950</wp:posOffset>
            </wp:positionH>
            <wp:positionV relativeFrom="paragraph">
              <wp:posOffset>-715010</wp:posOffset>
            </wp:positionV>
            <wp:extent cx="6794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2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5109210</wp:posOffset>
            </wp:positionH>
            <wp:positionV relativeFrom="paragraph">
              <wp:posOffset>-715010</wp:posOffset>
            </wp:positionV>
            <wp:extent cx="6794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27">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5995670</wp:posOffset>
            </wp:positionH>
            <wp:positionV relativeFrom="paragraph">
              <wp:posOffset>-715010</wp:posOffset>
            </wp:positionV>
            <wp:extent cx="6794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28">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7061200</wp:posOffset>
            </wp:positionH>
            <wp:positionV relativeFrom="paragraph">
              <wp:posOffset>-715010</wp:posOffset>
            </wp:positionV>
            <wp:extent cx="768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2390775</wp:posOffset>
            </wp:positionH>
            <wp:positionV relativeFrom="paragraph">
              <wp:posOffset>-7620</wp:posOffset>
            </wp:positionV>
            <wp:extent cx="6794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3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-7620</wp:posOffset>
            </wp:positionV>
            <wp:extent cx="6794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31">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3533140</wp:posOffset>
            </wp:positionH>
            <wp:positionV relativeFrom="paragraph">
              <wp:posOffset>-7620</wp:posOffset>
            </wp:positionV>
            <wp:extent cx="6794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32">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4171950</wp:posOffset>
            </wp:positionH>
            <wp:positionV relativeFrom="paragraph">
              <wp:posOffset>-7620</wp:posOffset>
            </wp:positionV>
            <wp:extent cx="6794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33">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5109210</wp:posOffset>
            </wp:positionH>
            <wp:positionV relativeFrom="paragraph">
              <wp:posOffset>-7620</wp:posOffset>
            </wp:positionV>
            <wp:extent cx="6794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3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5995670</wp:posOffset>
            </wp:positionH>
            <wp:positionV relativeFrom="paragraph">
              <wp:posOffset>-7620</wp:posOffset>
            </wp:positionV>
            <wp:extent cx="6794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3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7061200</wp:posOffset>
            </wp:positionH>
            <wp:positionV relativeFrom="paragraph">
              <wp:posOffset>-7620</wp:posOffset>
            </wp:positionV>
            <wp:extent cx="768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36">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TENAX THERAPEUTICS, INC.</w:t>
      </w:r>
    </w:p>
    <w:p>
      <w:pPr>
        <w:spacing w:after="0" w:line="18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680" w:type="dxa"/>
            <w:vAlign w:val="bottom"/>
          </w:tcPr>
          <w:p>
            <w:pPr>
              <w:spacing w:after="0"/>
              <w:rPr>
                <w:sz w:val="20"/>
                <w:szCs w:val="20"/>
                <w:color w:val="auto"/>
              </w:rPr>
            </w:pPr>
          </w:p>
        </w:tc>
        <w:tc>
          <w:tcPr>
            <w:tcW w:w="2900" w:type="dxa"/>
            <w:vAlign w:val="bottom"/>
            <w:tcBorders>
              <w:bottom w:val="single" w:sz="8" w:color="auto"/>
            </w:tcBorders>
            <w:gridSpan w:val="4"/>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76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tcPr>
          <w:p>
            <w:pPr>
              <w:jc w:val="right"/>
              <w:ind w:right="7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6"/>
              </w:rPr>
              <w:t>(17,602 )</w:t>
            </w:r>
          </w:p>
        </w:tc>
        <w:tc>
          <w:tcPr>
            <w:tcW w:w="1000" w:type="dxa"/>
            <w:vAlign w:val="bottom"/>
          </w:tcPr>
          <w:p>
            <w:pPr>
              <w:jc w:val="right"/>
              <w:ind w:right="79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(7,711 )</w:t>
            </w:r>
          </w:p>
        </w:tc>
      </w:tr>
      <w:tr>
        <w:trPr>
          <w:trHeight w:val="215"/>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7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r>
      <w:tr>
        <w:trPr>
          <w:trHeight w:val="215"/>
        </w:trPr>
        <w:tc>
          <w:tcPr>
            <w:tcW w:w="7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on debt instrument</w:t>
            </w: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FF0FC"/>
          </w:tcPr>
          <w:p>
            <w:pPr>
              <w:spacing w:after="0"/>
              <w:rPr>
                <w:sz w:val="18"/>
                <w:szCs w:val="18"/>
                <w:color w:val="auto"/>
              </w:rPr>
            </w:pPr>
          </w:p>
        </w:tc>
      </w:tr>
      <w:tr>
        <w:trPr>
          <w:trHeight w:val="215"/>
        </w:trPr>
        <w:tc>
          <w:tcPr>
            <w:tcW w:w="7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on sale of equipment</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r>
      <w:tr>
        <w:trPr>
          <w:trHeight w:val="215"/>
        </w:trPr>
        <w:tc>
          <w:tcPr>
            <w:tcW w:w="7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3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FF0FC"/>
          </w:tcPr>
          <w:p>
            <w:pPr>
              <w:spacing w:after="0"/>
              <w:rPr>
                <w:sz w:val="18"/>
                <w:szCs w:val="18"/>
                <w:color w:val="auto"/>
              </w:rPr>
            </w:pPr>
          </w:p>
        </w:tc>
      </w:tr>
      <w:tr>
        <w:trPr>
          <w:trHeight w:val="215"/>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7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Accounts receivable, prepaid expenses and other assets</w:t>
            </w: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(306 )</w:t>
            </w:r>
          </w:p>
        </w:tc>
      </w:tr>
      <w:tr>
        <w:trPr>
          <w:trHeight w:val="215"/>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100" w:type="dxa"/>
            <w:vAlign w:val="bottom"/>
          </w:tcPr>
          <w:p>
            <w:pPr>
              <w:spacing w:after="0"/>
              <w:rPr>
                <w:sz w:val="18"/>
                <w:szCs w:val="18"/>
                <w:color w:val="auto"/>
              </w:rPr>
            </w:pPr>
          </w:p>
        </w:tc>
      </w:tr>
      <w:tr>
        <w:trPr>
          <w:trHeight w:val="215"/>
        </w:trPr>
        <w:tc>
          <w:tcPr>
            <w:tcW w:w="76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Accrued liabilities</w:t>
            </w:r>
          </w:p>
        </w:tc>
        <w:tc>
          <w:tcPr>
            <w:tcW w:w="9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36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27"/>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6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6"/>
              </w:rPr>
              <w:t>(14,811 )</w:t>
            </w:r>
          </w:p>
        </w:tc>
        <w:tc>
          <w:tcPr>
            <w:tcW w:w="10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(5,904 )</w:t>
            </w:r>
          </w:p>
        </w:tc>
      </w:tr>
      <w:tr>
        <w:trPr>
          <w:trHeight w:val="196"/>
        </w:trPr>
        <w:tc>
          <w:tcPr>
            <w:tcW w:w="76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r>
      <w:tr>
        <w:trPr>
          <w:trHeight w:val="208"/>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8"/>
                <w:szCs w:val="18"/>
                <w:color w:val="auto"/>
              </w:rPr>
            </w:pPr>
          </w:p>
        </w:tc>
      </w:tr>
      <w:tr>
        <w:trPr>
          <w:trHeight w:val="4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5"/>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issuance of warrants and pre-funded warrants, net of issuance costs</w:t>
            </w: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100,303</w:t>
            </w:r>
          </w:p>
        </w:tc>
        <w:tc>
          <w:tcPr>
            <w:tcW w:w="3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14,192</w:t>
            </w:r>
          </w:p>
        </w:tc>
        <w:tc>
          <w:tcPr>
            <w:tcW w:w="100" w:type="dxa"/>
            <w:vAlign w:val="bottom"/>
            <w:shd w:val="clear" w:color="auto" w:fill="CFF0FC"/>
          </w:tcPr>
          <w:p>
            <w:pPr>
              <w:spacing w:after="0"/>
              <w:rPr>
                <w:sz w:val="18"/>
                <w:szCs w:val="18"/>
                <w:color w:val="auto"/>
              </w:rPr>
            </w:pPr>
          </w:p>
        </w:tc>
      </w:tr>
      <w:tr>
        <w:trPr>
          <w:trHeight w:val="215"/>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the exercise of warrants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r>
      <w:tr>
        <w:trPr>
          <w:trHeight w:val="215"/>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Payments on short-term note</w:t>
            </w:r>
          </w:p>
        </w:tc>
        <w:tc>
          <w:tcPr>
            <w:tcW w:w="9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(501 )</w:t>
            </w:r>
          </w:p>
        </w:tc>
        <w:tc>
          <w:tcPr>
            <w:tcW w:w="100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(624 )</w:t>
            </w:r>
          </w:p>
        </w:tc>
      </w:tr>
      <w:tr>
        <w:trPr>
          <w:trHeight w:val="227"/>
        </w:trPr>
        <w:tc>
          <w:tcPr>
            <w:tcW w:w="768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99,870</w:t>
            </w:r>
          </w:p>
        </w:tc>
        <w:tc>
          <w:tcPr>
            <w:tcW w:w="360" w:type="dxa"/>
            <w:vAlign w:val="bottom"/>
            <w:tcBorders>
              <w:top w:val="single" w:sz="8" w:color="CFF0FC"/>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13,569</w:t>
            </w:r>
          </w:p>
        </w:tc>
        <w:tc>
          <w:tcPr>
            <w:tcW w:w="100" w:type="dxa"/>
            <w:vAlign w:val="bottom"/>
            <w:tcBorders>
              <w:top w:val="single" w:sz="8" w:color="CFF0FC"/>
            </w:tcBorders>
          </w:tcPr>
          <w:p>
            <w:pPr>
              <w:spacing w:after="0"/>
              <w:rPr>
                <w:sz w:val="19"/>
                <w:szCs w:val="19"/>
                <w:color w:val="auto"/>
              </w:rPr>
            </w:pPr>
          </w:p>
        </w:tc>
      </w:tr>
      <w:tr>
        <w:trPr>
          <w:trHeight w:val="196"/>
        </w:trPr>
        <w:tc>
          <w:tcPr>
            <w:tcW w:w="76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9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85,059</w:t>
            </w:r>
          </w:p>
        </w:tc>
        <w:tc>
          <w:tcPr>
            <w:tcW w:w="36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8"/>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9,792</w:t>
            </w:r>
          </w:p>
        </w:tc>
        <w:tc>
          <w:tcPr>
            <w:tcW w:w="36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100" w:type="dxa"/>
            <w:vAlign w:val="bottom"/>
          </w:tcPr>
          <w:p>
            <w:pPr>
              <w:spacing w:after="0"/>
              <w:rPr>
                <w:sz w:val="18"/>
                <w:szCs w:val="18"/>
                <w:color w:val="auto"/>
              </w:rPr>
            </w:pPr>
          </w:p>
        </w:tc>
      </w:tr>
      <w:tr>
        <w:trPr>
          <w:trHeight w:val="248"/>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960" w:type="dxa"/>
            <w:vAlign w:val="bottom"/>
            <w:tcBorders>
              <w:bottom w:val="single" w:sz="8" w:color="auto"/>
            </w:tcBorders>
            <w:shd w:val="clear" w:color="auto" w:fill="CFF0FC"/>
          </w:tcPr>
          <w:p>
            <w:pPr>
              <w:jc w:val="right"/>
              <w:ind w:right="77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94,851</w:t>
            </w:r>
          </w:p>
        </w:tc>
        <w:tc>
          <w:tcPr>
            <w:tcW w:w="36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79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41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Disclosures:</w:t>
            </w: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5"/>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960" w:type="dxa"/>
            <w:vAlign w:val="bottom"/>
            <w:shd w:val="clear" w:color="auto" w:fill="CFF0FC"/>
          </w:tcPr>
          <w:p>
            <w:pPr>
              <w:jc w:val="right"/>
              <w:ind w:right="77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79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FF0FC"/>
          </w:tcPr>
          <w:p>
            <w:pPr>
              <w:spacing w:after="0"/>
              <w:rPr>
                <w:sz w:val="18"/>
                <w:szCs w:val="18"/>
                <w:color w:val="auto"/>
              </w:rPr>
            </w:pPr>
          </w:p>
        </w:tc>
      </w:tr>
      <w:tr>
        <w:trPr>
          <w:trHeight w:val="4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operating activity</w:t>
            </w: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5"/>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 to prepaids for insurance premium</w:t>
            </w:r>
          </w:p>
        </w:tc>
        <w:tc>
          <w:tcPr>
            <w:tcW w:w="960" w:type="dxa"/>
            <w:vAlign w:val="bottom"/>
            <w:shd w:val="clear" w:color="auto" w:fill="CFF0FC"/>
          </w:tcPr>
          <w:p>
            <w:pPr>
              <w:jc w:val="right"/>
              <w:ind w:right="77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79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shd w:val="clear" w:color="auto" w:fill="CFF0FC"/>
          </w:tcPr>
          <w:p>
            <w:pPr>
              <w:spacing w:after="0"/>
              <w:rPr>
                <w:sz w:val="18"/>
                <w:szCs w:val="18"/>
                <w:color w:val="auto"/>
              </w:rPr>
            </w:pPr>
          </w:p>
        </w:tc>
      </w:tr>
      <w:tr>
        <w:trPr>
          <w:trHeight w:val="4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financing activity</w:t>
            </w: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5"/>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 to notes payable for financing insurance premium</w:t>
            </w:r>
          </w:p>
        </w:tc>
        <w:tc>
          <w:tcPr>
            <w:tcW w:w="960" w:type="dxa"/>
            <w:vAlign w:val="bottom"/>
            <w:shd w:val="clear" w:color="auto" w:fill="CFF0FC"/>
          </w:tcPr>
          <w:p>
            <w:pPr>
              <w:jc w:val="right"/>
              <w:ind w:right="77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79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-3340100</wp:posOffset>
            </wp:positionV>
            <wp:extent cx="6794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38">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-3340100</wp:posOffset>
            </wp:positionV>
            <wp:extent cx="6794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3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-1959610</wp:posOffset>
            </wp:positionV>
            <wp:extent cx="6794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4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-1959610</wp:posOffset>
            </wp:positionV>
            <wp:extent cx="6794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41">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-1541780</wp:posOffset>
            </wp:positionV>
            <wp:extent cx="6794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42">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-1541780</wp:posOffset>
            </wp:positionV>
            <wp:extent cx="6794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43">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-1252220</wp:posOffset>
            </wp:positionV>
            <wp:extent cx="6794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4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-1235075</wp:posOffset>
            </wp:positionV>
            <wp:extent cx="6794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4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-1252220</wp:posOffset>
            </wp:positionV>
            <wp:extent cx="6794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4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-1235075</wp:posOffset>
            </wp:positionV>
            <wp:extent cx="6794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47">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TENAX THERAPEUTICS, INC.</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1—DESCRIPTION OF BUSINESS</w:t>
      </w:r>
    </w:p>
    <w:p>
      <w:pPr>
        <w:spacing w:after="0" w:line="18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Tenax Therapeutics, Inc., together with its subsidiaries (collectively "Tenax" or the “Company”), is a Phase 3, development-stage pharmaceutical company using clinical insights to develop novel cardiopulmonary therapies.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incorporated in Delaware and is headquartered in Chapel Hill, North Carolina.</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financed its operations since September 1990 primarily through the sale of equity and debt securities and loans from stockholders. The Company had an accumulated deficit of $314.9 million at December 31, 2024 and incurred losses of $17.6 million and $7.7 million during the years ended December 31, 2024 and 2023, respectively. The Company expects to continue to incur expenses related to the development of levosimendan for pulmonary hypertension and other potential indications and, over the long term, imatinib for pulmonary arterial hypertension ("PAH"), as well as identifying and developing other potential product candidates. At December 31, 2024, the Company had cash and cash equivalents of $94.9 million. Based on its resources on December 31, 2024, Company management believes that it has sufficient funds for the Company to continue its operations over at least the next 12 months from the date these consolidated financial statements were available to be issued.</w:t>
      </w:r>
    </w:p>
    <w:p>
      <w:pPr>
        <w:spacing w:after="0" w:line="1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the extent that the Company raises additional funds by issuing shares of its common stock or other securities convertible or exchangeable for shares of common stock, stockholders will experience dilution, which may be significant. In the event the Company raises additional capital through debt financings, the Company may incur significant interest expense and become subject to restrictive covenants in the related transaction documents that may affect the manner in which the Company conducts its business. To the extent that the Company raises additional funds through collaboration and licensing arrangements, it may be necessary to relinquish some rights to its technologies or product candidates or grant licenses on terms that may not be favorable to the Company. Any or all of the foregoing may have a material adverse effect on the Company’s business and financial performance.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2—SUMMARY OF SIGNIFICANT ACCOUNTING POLICIES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8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Company has prepared its consolidated financial statements in accordance with accounting principles generally accepted in the United States of America (“U.S. GAAP”) as found in the Accounting Standards Codification (“ASC”) and Accounting Standards Updates (“ASUs”) promulgated by the Financial Accounting Standards Board (“FASB”).</w:t>
      </w:r>
    </w:p>
    <w:p>
      <w:pPr>
        <w:spacing w:after="0" w:line="13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subsidiaries. Intercompany balances and transactions have been eliminated upon consolidation.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8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preparation of consolidated financial statements in accordance with U.S. GAAP requires management to make certain estimates and assumptions that affect the reported amounts of assets and liabilities and disclosure of contingent assets and liabilities at the date of the consolidated financial statements and reported amounts of expenses during the reporting period. Actual results could differ from those estimates.</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On an ongoing basis, management reviews its estimates to ensure that these estimates appropriately reflect changes in the Company’s business and new information as it becomes available. If historical experience and other factors used by management to make these estimates do not reasonably reflect future activity, the Company’s results of operations and financial position could be materially impacted.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adjusted the financial statements to reflect that on January 2, 2024, it effected a 1-for-80 reverse stock split (the “Reverse Stock Split”). The Company has also adjusted the financial statements to reflect that on January 4, 2023, we effected a 1-for-20 reverse stock split (the “Prior Reverse Stock Split”, together with the Reverse Stock Split, the “Reverse Stock Splits”). The Reverse Stock Splits did not change the number of authorized shares of capital stock or cause an adjustment to the par value of our capital stock. Pursuant to their terms, a proportionate adjustment was made to the per share exercise price and number of shares issuable under our outstanding stock options and warrants. The number of shares authorized for issuance pursuant to our equity incentive plans have also been adjusted proportionately to reflect the Reverse Stock Splits.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considers all highly liquid instruments with a maturity date of three months or less, when acquired, to be cash equivalents. The Company’s cash and cash equivalents include holdings in checking and overnight sweep accounts. The Company’s cash equivalents are comprised primarily of bank certificates of deposit through CDARS (Certificate of Deposit Account Registry Service), as well as money market funds, are measured at fair value on a recurring basis. As of December 31, 2024 and 2023, the balances of cash and cash equivalents were $94.9 million and $9.8 million, respectively, which approximate fair value and were determined based upon Level 1 inputs. The sweep account is valued using quoted market prices with no valuation adjustments applied. Accordingly, these financial instruments are categorized as Level 1.</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Off-Balance Sheet Risk</w:t>
      </w:r>
    </w:p>
    <w:p>
      <w:pPr>
        <w:spacing w:after="0" w:line="18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Federal Deposit Insurance Corporation (the “FDIC”) insurance limits are $250 thousand per depositor per insured bank. The Company's holdings of cash and cash equivalents in CDARS limits the exposure of amounts greater than $250 thousand. The Company had cash balances of $1.0 million and $2.4 million uninsured by the FDIC as of December 31, 2024 and 2023, respectively.</w:t>
      </w:r>
    </w:p>
    <w:p>
      <w:pPr>
        <w:spacing w:after="0" w:line="6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Financial instruments that potentially subject the Company to credit risk consist primarily of cash and cash equivalents. The Company mitigates its risk with respect to cash and cash equivalents by maintaining its deposits and investments at high-quality financial institutions. The Company invests any excess cash in money market funds and certificates of deposit, and the management of these investments is not discretionary on the part of the financial institution. Substantially all of the Company's cash and cash equivalents are held at First Horizon Bank, and the amounts frequently exceed federally insured limits.</w:t>
      </w:r>
    </w:p>
    <w:p>
      <w:pPr>
        <w:spacing w:after="0" w:line="5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Company has no off-balance-sheet concentration of credit risk such as foreign exchange contracts, option contracts or other foreign hedging arrangements.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Study and Clinical Accruals</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estimates its preclinical study and clinical trial expenses based on the services received pursuant to contracts with several research institutions and contract research organizations (“CROs”) that do or may conduct and manage preclinical and clinical trials on its behalf. The financial terms of the agreements vary from contract to contract, may be estimated by the Company and outside advisors prior to contracting with a CRO, and may result in uneven expenses and payment flows. Preclinical study and clinical trial expenses include the following:</w:t>
      </w:r>
    </w:p>
    <w:p>
      <w:pPr>
        <w:spacing w:after="0" w:line="140" w:lineRule="exact"/>
        <w:rPr>
          <w:sz w:val="20"/>
          <w:szCs w:val="20"/>
          <w:color w:val="auto"/>
        </w:rPr>
      </w:pPr>
    </w:p>
    <w:p>
      <w:pPr>
        <w:ind w:left="760" w:hanging="365"/>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CROs in connection with clinical trials,</w:t>
      </w:r>
    </w:p>
    <w:p>
      <w:pPr>
        <w:spacing w:after="0" w:line="26" w:lineRule="exact"/>
        <w:rPr>
          <w:rFonts w:ascii="Times New Roman" w:cs="Times New Roman" w:eastAsia="Times New Roman" w:hAnsi="Times New Roman"/>
          <w:sz w:val="18"/>
          <w:szCs w:val="18"/>
          <w:color w:val="auto"/>
        </w:rPr>
      </w:pPr>
    </w:p>
    <w:p>
      <w:pPr>
        <w:ind w:left="820" w:hanging="425"/>
        <w:spacing w:after="0"/>
        <w:tabs>
          <w:tab w:leader="none" w:pos="82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fees paid to research institutions in conjunction with preclinical and clinical research studies, and</w:t>
      </w:r>
    </w:p>
    <w:p>
      <w:pPr>
        <w:spacing w:after="0" w:line="10" w:lineRule="exact"/>
        <w:rPr>
          <w:rFonts w:ascii="Times New Roman" w:cs="Times New Roman" w:eastAsia="Times New Roman" w:hAnsi="Times New Roman"/>
          <w:sz w:val="21"/>
          <w:szCs w:val="21"/>
          <w:color w:val="auto"/>
        </w:rPr>
      </w:pPr>
    </w:p>
    <w:p>
      <w:pPr>
        <w:ind w:left="760" w:hanging="365"/>
        <w:spacing w:after="0" w:line="238" w:lineRule="auto"/>
        <w:tabs>
          <w:tab w:leader="none" w:pos="828"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fees paid to contract manufacturers and service providers in connection with the production and testing of active pharmaceutical ingredients and drug materials for use in preclinical studies and clinical trials.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Research and development costs include, but are not limited to, (i) expenses incurred under agreements with CROs and investigative sites, which conduct our clinical trials; (ii) the cost of supplying clinical trial materials; (iii) payments to contract service organizations, as well as consultants; (iv) employee-related expenses, which include salaries and benefits; and (v) depreciation and other allocated expenses, which include direct and allocated expenses for equipment, laboratory and other supplies. All research and development expenses are expensed as incurred.</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Deferred tax assets and liabilities are recorded for differences between the financial statement and tax bases of the assets and liabilities that will result in taxable or deductible amounts in the future based on enacted tax laws and rates applicable to the periods in which the differences are expected to affect taxable income. Valuation allowances are established when necessary to reduce deferred tax assets to the amount expected to be realized. Income tax expense is recorded for the amount of income tax payable or refundable for the period increased or decreased by the change in deferred tax assets and liabilities during the period.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accounts for stock-based awards to employees in accordance with ASC 718, Compensation — Stock Compensation, which provides for the use of the fair value-based method to determine compensation for all arrangements where shares of stock or equity instruments are issued for compensation. Fair values of equity securities are determined by management based predominantly on the trading price of the Company’s common stock. The values of these awards are based upon their grant-date fair value. That cost is recognized over the period during which the employee is required to provide service in exchange for the reward.</w:t>
      </w:r>
    </w:p>
    <w:p>
      <w:pPr>
        <w:spacing w:after="0" w:line="15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Company accounts for equity instruments issued to non-employees in accordance with ASC 505-50, Equity-Based Payments to Non-Employees. The Company records equity instruments at their fair value on the measurement date and periodically adjust them as the underlying equity instruments vest.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for Common Shares and Derivative Financial Instruments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Warrants for shares of common stock and other derivative financial instruments are classified as equity if the contracts: (i) require physical settlement or net-share settlement or (ii) give the Company a choice of net-cash settlement or settlement in its own shares (physical settlement or net-share settlement). Contracts are classified as equity or liabilities if the contracts: (i) require net-cash settlement (including a requirement to net cash settle the contract if an event occurs and if that event is outside the control of the Company), (ii) give the counterparty a choice of net-cash settlement or settlement in shares (physical settlement or net-share settlement), or (iii) contain reset provisions that do not qualify for the scope exception. The Company assesses the classification of its warrants for shares of common stock and other derivatives at each reporting date to determine whether a change in classification between equity and liabilities is required.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Offering Costs</w:t>
      </w:r>
    </w:p>
    <w:p>
      <w:pPr>
        <w:spacing w:after="0" w:line="18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Offering costs consists of the costs incurred with the issuance of common stock. warrants, and pre-funded warrants. Costs include placement agent, legal, advisory, accounting and filing fees.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Per Share</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Basic loss per share, which excludes antidilutive securities, is computed by dividing net loss by the weighted-average number of common shares outstanding for that particular period. In contrast, diluted loss per share considers the potential dilution that could occur from other equity instruments that would increase the total number of outstanding shares of common stock. Such amounts include shares potentially issuable under outstanding options, restricted stock and warrants.</w:t>
      </w:r>
    </w:p>
    <w:p>
      <w:pPr>
        <w:spacing w:after="0" w:line="140"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The following outstanding options, convertible preferred shares and warrants were excluded from the computation of basic and diluted net loss per share for the periods presented because including them would have had an anti-dilutive effect.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2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3560" w:type="dxa"/>
            <w:vAlign w:val="bottom"/>
            <w:gridSpan w:val="4"/>
          </w:tcPr>
          <w:p>
            <w:pPr>
              <w:ind w:left="7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8"/>
        </w:trPr>
        <w:tc>
          <w:tcPr>
            <w:tcW w:w="42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620" w:type="dxa"/>
            <w:vAlign w:val="bottom"/>
            <w:tcBorders>
              <w:top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40" w:type="dxa"/>
            <w:vAlign w:val="bottom"/>
            <w:tcBorders>
              <w:top w:val="single" w:sz="8" w:color="auto"/>
            </w:tcBorders>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8"/>
        </w:trPr>
        <w:tc>
          <w:tcPr>
            <w:tcW w:w="42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5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19,874,360</w:t>
            </w:r>
          </w:p>
        </w:tc>
        <w:tc>
          <w:tcPr>
            <w:tcW w:w="1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19,694</w:t>
            </w:r>
          </w:p>
        </w:tc>
        <w:tc>
          <w:tcPr>
            <w:tcW w:w="100" w:type="dxa"/>
            <w:vAlign w:val="bottom"/>
            <w:shd w:val="clear" w:color="auto" w:fill="CFF0FC"/>
          </w:tcPr>
          <w:p>
            <w:pPr>
              <w:spacing w:after="0"/>
              <w:rPr>
                <w:sz w:val="18"/>
                <w:szCs w:val="18"/>
                <w:color w:val="auto"/>
              </w:rPr>
            </w:pPr>
          </w:p>
        </w:tc>
      </w:tr>
      <w:tr>
        <w:trPr>
          <w:trHeight w:val="215"/>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5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3,126,750</w:t>
            </w: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tcPr>
          <w:p>
            <w:pPr>
              <w:spacing w:after="0"/>
              <w:rPr>
                <w:sz w:val="18"/>
                <w:szCs w:val="18"/>
                <w:color w:val="auto"/>
              </w:rPr>
            </w:pPr>
          </w:p>
        </w:tc>
      </w:tr>
      <w:tr>
        <w:trPr>
          <w:trHeight w:val="215"/>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Convertible preferred shares outstanding</w:t>
            </w:r>
          </w:p>
        </w:tc>
        <w:tc>
          <w:tcPr>
            <w:tcW w:w="5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FF0FC"/>
          </w:tcPr>
          <w:p>
            <w:pPr>
              <w:spacing w:after="0"/>
              <w:rPr>
                <w:sz w:val="18"/>
                <w:szCs w:val="18"/>
                <w:color w:val="auto"/>
              </w:rPr>
            </w:pPr>
          </w:p>
        </w:tc>
      </w:tr>
      <w:tr>
        <w:trPr>
          <w:trHeight w:val="859"/>
        </w:trPr>
        <w:tc>
          <w:tcPr>
            <w:tcW w:w="4200" w:type="dxa"/>
            <w:vAlign w:val="bottom"/>
          </w:tcPr>
          <w:p>
            <w:pPr>
              <w:spacing w:after="0"/>
              <w:rPr>
                <w:sz w:val="24"/>
                <w:szCs w:val="24"/>
                <w:color w:val="auto"/>
              </w:rPr>
            </w:pPr>
          </w:p>
        </w:tc>
        <w:tc>
          <w:tcPr>
            <w:tcW w:w="5100" w:type="dxa"/>
            <w:vAlign w:val="bottom"/>
            <w:gridSpan w:val="2"/>
          </w:tcPr>
          <w:p>
            <w:pPr>
              <w:jc w:val="right"/>
              <w:ind w:right="3411"/>
              <w:spacing w:after="0"/>
              <w:rPr>
                <w:sz w:val="20"/>
                <w:szCs w:val="20"/>
                <w:color w:val="auto"/>
              </w:rPr>
            </w:pPr>
            <w:r>
              <w:rPr>
                <w:rFonts w:ascii="Times New Roman" w:cs="Times New Roman" w:eastAsia="Times New Roman" w:hAnsi="Times New Roman"/>
                <w:sz w:val="18"/>
                <w:szCs w:val="18"/>
                <w:color w:val="auto"/>
              </w:rPr>
              <w:t>F-11</w:t>
            </w: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58"/>
        </w:trPr>
        <w:tc>
          <w:tcPr>
            <w:tcW w:w="420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5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the inception of an arrangement, the Company determines whether the arrangement is or contains a lease. Leases with a term greater than one year are recognized on the consolidated balance sheet as a right-of-use (“ROU”) asset and current and non-current lease liabilities, as applicable. The Company has made an accounting policy election, known as the short-term lease recognition exemption, which allows the Company to not recognize ROU assets and lease liabilities that arise from short-term leases (12 months or less); The Company has applied this election to all classes of underlying assets. The Company typically only includes an initial lease term in its assessment of a lease arrangement. Options to renew or options to cancel a lease are not included in the Company’s assessment unless there is reasonable certainty that the Company will renew or will not cancel, respectively. The Company monitors its material leases on a quarterly basis.</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Operating lease liabilities and their corresponding ROU assets are recorded based on the present value of future lease payments over the expected remaining lease term. Lease cost for operating leases is recognized on a straight-line basis over the lease term as an operating expense. Certain adjustments to the ROU asset may be required for items such as lease prepayments or incentives received. The interest rate implicit in lease contracts is typically not readily determinable. As a result, the Company utilizes its incremental borrowing rate, which reflects the fixed rate at which the Company could borrow on a collateralized basis the amount of the lease payments in the same currency, for a similar term, in a similar economic environment. The Company has elected to account for the lease and non-lease components together for all leases.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determines the fair value of its financial assets and liabilities in accordance with ASC 820, Fair Value Measurements. The Company’s balance sheet includes the following financial instruments: cash and cash equivalents, investments in marketable securities, and short-term notes payable. The Company considers the carrying amount of its cash and cash equivalents and short-term notes payable to approximate fair value due to the short-term nature of these instruments.</w:t>
      </w:r>
    </w:p>
    <w:p>
      <w:pPr>
        <w:spacing w:after="0" w:line="14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Accounting for fair value measurements involves a single definition of fair value, along with a conceptual framework to measure fair value, with a fair value defined as “the price that would be received to sell an asset or paid to transfer a liability in an orderly transaction between market participants at the measurement date”. The fair value measurement hierarchy consists of three levels:</w:t>
      </w:r>
    </w:p>
    <w:p>
      <w:pPr>
        <w:sectPr>
          <w:pgSz w:w="11900" w:h="16838" w:orient="portrait"/>
          <w:cols w:equalWidth="0" w:num="1">
            <w:col w:w="11240"/>
          </w:cols>
          <w:pgMar w:left="320" w:top="117" w:right="339" w:bottom="1440" w:gutter="0" w:footer="0" w:header="0"/>
        </w:sectPr>
      </w:pP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Level one</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Level two</w:t>
      </w: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Level three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Quoted market prices in active markets for identical assets or liabilities;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Inputs other than level one inputs that are either directly or indirectly observable; and</w:t>
      </w:r>
    </w:p>
    <w:p>
      <w:pPr>
        <w:spacing w:after="0" w:line="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Unobservable inputs developed using estimates and assumptions; which are developed by the reporting entity and reflect those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assumptions that a market participant would use.</w:t>
      </w:r>
    </w:p>
    <w:p>
      <w:pPr>
        <w:spacing w:after="0" w:line="200" w:lineRule="exact"/>
        <w:rPr>
          <w:sz w:val="20"/>
          <w:szCs w:val="20"/>
          <w:color w:val="auto"/>
        </w:rPr>
      </w:pPr>
    </w:p>
    <w:p>
      <w:pPr>
        <w:sectPr>
          <w:pgSz w:w="11900" w:h="16838" w:orient="portrait"/>
          <w:cols w:equalWidth="0" w:num="2">
            <w:col w:w="840" w:space="420"/>
            <w:col w:w="9980"/>
          </w:cols>
          <w:pgMar w:left="320" w:top="117" w:right="339" w:bottom="1440" w:gutter="0" w:footer="0" w:header="0"/>
          <w:type w:val="continuous"/>
        </w:sectPr>
      </w:pPr>
    </w:p>
    <w:p>
      <w:pPr>
        <w:spacing w:after="0" w:line="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Company applies valuation techniques that (1) place greater reliance on observable inputs and less reliance on unobservable inputs and (2) are consistent with the market approach, the income approach and/or the cost approach, and include enhanced disclosures of fair value measurements in the Company’s consolidated financial statements.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 of Prior Year Presentation</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prior year amounts have been reclassified. These reclassifications had no effect on the financial position or reported results of operations for the periods presented. In the Consolidated Statements of Stockholders Equity for the year ended December 31, 2023, the presentation of the public offering sale of common stock and warrants was presented as proceeds, net of broker fees, of $13.9 million in additional paid-in capital and $0.5 million attributed to the exercise of pre-funded warrants, with $0.3 million of additional offering costs presented separately. In the current presentation, this is now presented as $14.1 million, net of offering costs of $1.5 million for the public offering of common stock and warrants.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8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which is intended to provide enhanced segment disclosures. The standard will require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disclosures about significant segment expenses and other segment items and identifying the Chief Operating Decision Maker ("CODM") and how they use the reported segment profitability measures to assess segment performance and allocate resources. These enhanced disclosures are required for all entities on an interim and annual basis, even if they have only a single reportable segment. The standard is effective for years beginning after December 15, 2023, and interim periods within annual periods beginning after December 15, 2024. The adoption of this standard for the year ended December 31, 2024 did not have a material impact on the Company’s consolidated financial results, but resulted in enhanced disclosures as included in Note 9, Segments. The Company operates in one reportable segment, which is focused on identifying and developing therapeutics that address cardiovascular and pulmonary diseases with high unmet medical need. The determination of a single reportable segment is consistent with the consolidated financial information regularly provided to the Company’s CODM, which is its president and chief executive officer, who reviews and evaluates consolidated net income (loss) for purposes of assessing performance, making operating decisions, allocating resources and planning and forecasting for future periods. The measure of segment assets is reported on the balance sheet as total assets.</w:t>
      </w:r>
    </w:p>
    <w:p>
      <w:pPr>
        <w:spacing w:after="0" w:line="1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is intended to provide enhancements to annual income tax disclosures. The standard will require more detailed information in the rate reconciliation table and for income taxes paid, among other enhancements. The standard is effective for years beginning after December 15, 2024 and early adoption is permitted. The Company is evaluating this standard to determine if adoption will have a material impact on the Company’s consolidated financial statements.</w:t>
      </w:r>
    </w:p>
    <w:p>
      <w:pPr>
        <w:spacing w:after="0" w:line="1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(Topic 220-40), which addresses the disaggregation of income statement expenses. This standard is effective for annual reporting periods beginning after December 15, 2026, and interim reporting periods beginning after December 15, 2027. The Company is evaluating this standard to determine if adoption will have a material impact on the Company’s consolidated financial statements.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3—ACCRUED LIABILITIES</w:t>
            </w:r>
          </w:p>
        </w:tc>
        <w:tc>
          <w:tcPr>
            <w:tcW w:w="6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3"/>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 consist of the following (in thousands):</w:t>
            </w: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9"/>
        </w:trPr>
        <w:tc>
          <w:tcPr>
            <w:tcW w:w="7740" w:type="dxa"/>
            <w:vAlign w:val="bottom"/>
          </w:tcPr>
          <w:p>
            <w:pPr>
              <w:spacing w:after="0"/>
              <w:rPr>
                <w:sz w:val="24"/>
                <w:szCs w:val="24"/>
                <w:color w:val="auto"/>
              </w:rPr>
            </w:pPr>
          </w:p>
        </w:tc>
        <w:tc>
          <w:tcPr>
            <w:tcW w:w="1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80" w:type="dxa"/>
            <w:vAlign w:val="bottom"/>
          </w:tcPr>
          <w:p>
            <w:pPr>
              <w:spacing w:after="0"/>
              <w:rPr>
                <w:sz w:val="24"/>
                <w:szCs w:val="24"/>
                <w:color w:val="auto"/>
              </w:rPr>
            </w:pPr>
          </w:p>
        </w:tc>
        <w:tc>
          <w:tcPr>
            <w:tcW w:w="1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4"/>
                <w:szCs w:val="24"/>
                <w:color w:val="auto"/>
              </w:rPr>
            </w:pPr>
          </w:p>
        </w:tc>
      </w:tr>
      <w:tr>
        <w:trPr>
          <w:trHeight w:val="208"/>
        </w:trPr>
        <w:tc>
          <w:tcPr>
            <w:tcW w:w="77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Operating costs</w:t>
            </w:r>
          </w:p>
        </w:tc>
        <w:tc>
          <w:tcPr>
            <w:tcW w:w="620" w:type="dxa"/>
            <w:vAlign w:val="bottom"/>
            <w:shd w:val="clear" w:color="auto" w:fill="CCECFF"/>
          </w:tcPr>
          <w:p>
            <w:pPr>
              <w:jc w:val="right"/>
              <w:ind w:right="43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900" w:type="dxa"/>
            <w:vAlign w:val="bottom"/>
            <w:gridSpan w:val="2"/>
            <w:shd w:val="clear" w:color="auto" w:fill="CCECFF"/>
          </w:tcPr>
          <w:p>
            <w:pPr>
              <w:jc w:val="right"/>
              <w:ind w:right="43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CECFF"/>
          </w:tcPr>
          <w:p>
            <w:pPr>
              <w:spacing w:after="0"/>
              <w:rPr>
                <w:sz w:val="18"/>
                <w:szCs w:val="18"/>
                <w:color w:val="auto"/>
              </w:rPr>
            </w:pPr>
          </w:p>
        </w:tc>
      </w:tr>
      <w:tr>
        <w:trPr>
          <w:trHeight w:val="215"/>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related</w:t>
            </w:r>
          </w:p>
        </w:tc>
        <w:tc>
          <w:tcPr>
            <w:tcW w:w="6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28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Pr>
          <w:p>
            <w:pPr>
              <w:spacing w:after="0"/>
              <w:rPr>
                <w:sz w:val="18"/>
                <w:szCs w:val="18"/>
                <w:color w:val="auto"/>
              </w:rPr>
            </w:pPr>
          </w:p>
        </w:tc>
      </w:tr>
      <w:tr>
        <w:trPr>
          <w:trHeight w:val="248"/>
        </w:trPr>
        <w:tc>
          <w:tcPr>
            <w:tcW w:w="7740" w:type="dxa"/>
            <w:vAlign w:val="bottom"/>
            <w:tcBorders>
              <w:bottom w:val="single" w:sz="8" w:color="CCECFF"/>
            </w:tcBorders>
            <w:shd w:val="clear" w:color="auto" w:fill="CCECFF"/>
          </w:tcPr>
          <w:p>
            <w:pPr>
              <w:spacing w:after="0"/>
              <w:rPr>
                <w:sz w:val="21"/>
                <w:szCs w:val="21"/>
                <w:color w:val="auto"/>
              </w:rPr>
            </w:pPr>
          </w:p>
        </w:tc>
        <w:tc>
          <w:tcPr>
            <w:tcW w:w="620" w:type="dxa"/>
            <w:vAlign w:val="bottom"/>
            <w:tcBorders>
              <w:bottom w:val="single" w:sz="8" w:color="auto"/>
            </w:tcBorders>
            <w:shd w:val="clear" w:color="auto" w:fill="CCECFF"/>
          </w:tcPr>
          <w:p>
            <w:pPr>
              <w:jc w:val="right"/>
              <w:ind w:right="43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280" w:type="dxa"/>
            <w:vAlign w:val="bottom"/>
            <w:tcBorders>
              <w:bottom w:val="single" w:sz="8" w:color="CCECFF"/>
            </w:tcBorders>
            <w:shd w:val="clear" w:color="auto" w:fill="CCECFF"/>
          </w:tcPr>
          <w:p>
            <w:pPr>
              <w:spacing w:after="0"/>
              <w:rPr>
                <w:sz w:val="21"/>
                <w:szCs w:val="21"/>
                <w:color w:val="auto"/>
              </w:rPr>
            </w:pPr>
          </w:p>
        </w:tc>
        <w:tc>
          <w:tcPr>
            <w:tcW w:w="620" w:type="dxa"/>
            <w:vAlign w:val="bottom"/>
            <w:tcBorders>
              <w:bottom w:val="single" w:sz="8" w:color="auto"/>
            </w:tcBorders>
            <w:shd w:val="clear" w:color="auto" w:fill="CCECFF"/>
          </w:tcPr>
          <w:p>
            <w:pPr>
              <w:jc w:val="right"/>
              <w:ind w:right="43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Borders>
              <w:bottom w:val="single" w:sz="8" w:color="CCECFF"/>
            </w:tcBorders>
            <w:shd w:val="clear" w:color="auto" w:fill="CCEC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5902325</wp:posOffset>
            </wp:positionH>
            <wp:positionV relativeFrom="paragraph">
              <wp:posOffset>-24765</wp:posOffset>
            </wp:positionV>
            <wp:extent cx="6794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5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5902325</wp:posOffset>
            </wp:positionH>
            <wp:positionV relativeFrom="paragraph">
              <wp:posOffset>-7620</wp:posOffset>
            </wp:positionV>
            <wp:extent cx="6794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5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-24765</wp:posOffset>
            </wp:positionV>
            <wp:extent cx="6794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5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794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57">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4—NOTE PAYABLE</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31, 2023, the Company executed a premium finance note agreement (the “Note”) with a third party to finance the Company’s Directors and Officers Insurance Policy as well as the Errors and Omissions policy. The total amount financed was $549 thousand. The Company paid a down payment of $48 thousand at execution leaving a balance of $501 thousand payable in monthly installments of $48 thousand through December 1, 2024. The Note had an interest rate of 9.95%. During the quarter ended September 30, 2024, the Company repaid the entire outstanding balance of the Note. The Company recorded interest expense on the Note in the amount of $23 thousand during the year ended December 31, 2024. The balance on the Note as of December 31, 2024 and December 31, 2023, was zero and $501 thousand, respectively.</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5—STOCKHOLDERS’ EQUITY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and Preferred Stock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The Company’s Certificate of Incorporation, as amended, authorizes it to issue 400,000,000 shares of $0.0001 par value common stock. As of December 31, 2024, and December 31, 2023, there were 3,420,906 and 298,281 shares of common stock issued and outstanding, respectively.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Company’s Certificate of Incorporation, as amended, the Board is authorized, without further stockholder action, to provide for the issuance of up to 10,000,000 shares of preferred stock, par value $0.0001 per share, in one or more series, to establish from time to time the number of shares to be included in each such series, and to fix the designation, powers, preferences and rights of the shares of each such series and the qualifications, limitations and restrictions thereof. Of the potential 10,000,000 shares of preferred stock, 5,181,346 are designated as Series A Stock and 4,818,654 remain undesignated. As of December 31, 2024 and 2023, there were 210 shares of Series A Stock outstanding, convertible into one share of common stock.</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and Pre-Funded Warrants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August 2024 Private Placement Financing (the “August 2024 Offering”)</w:t>
      </w:r>
    </w:p>
    <w:p>
      <w:pPr>
        <w:spacing w:after="0" w:line="1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6, 2024, the Company entered into a securities purchase agreement with certain accredited investors for the purchase and sale, in a private placement financing by the Company, of (i) an aggregate of 1,450,661 shares of its common stock, and pre-funded warrants to purchase an aggregate of 31,882,671 shares of common stock and (ii) accompanying warrants to purchase up to an aggregate of 16,666,666 shares of its common stock (or, in lieu thereof, additional pre-funded warrants) at a combined offering price of $3.00 per share of common stock and accompanying warrant, or $2.99 per pre-funded warrant and accompanying warrant, resulting in gross proceeds of $99.7 million. The pre-funded warrants do not expire and have an exercise price of $0.01. The net proceeds of the August 2024 Offering after deducting placement agent fees and direct offering expenses were $92.3 million. The relative fair value allocated to the common stock, pre-funded warrants, and warrants was $3.2 million, $69.4 million, and $27.1 million, respectively. At December 31, 2024, 31,882,671 pre-funded warrants remained outstanding.</w:t>
      </w:r>
    </w:p>
    <w:p>
      <w:pPr>
        <w:spacing w:after="0" w:line="1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Also, on August 6, 2024 and in connection with the August 2024 Offering, the Company entered into a registration rights agreement (the “August 2024 Registration Rights Agreement”) with the purchasers, pursuant to which the Company agreed to register for resale the shares of common stock issued in the August 2024 Offering and the shares of common stock issuable upon exercise of the warrants issued in the August 2024 Offering within 60 days following the effective date of the August 2024 Registration Rights Agreement. Pursuant to the August 2024 Registration Rights Agreement, on August 30, 2024, the Company filed a resale registration statement on Form S-3 with the SEC, which went effective on September 12, 2024.</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August 2024 Registration Rights Agreement includes liquidated damages provisions that meet the definition of a registration payment arrangement that is within the scope of ASC 825-20. The Company determined at the initial issuance of the pre-funded warrants and accompanying warrant that it is not probable that a payment would be required as it has both the intent and ability to satisfy the August 2024 Registration Rights Agreement. Therefore, the Company did not record a liability at inception but will evaluate the contingency at each reporting period. As of December 31, 2024 no events have occurred that would change our initial assessment of this provision.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February 2024 Registered Public Offering (the “February 2024 Offering”)</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8, 2024, the Company entered into a securities purchase agreement with certain purchasers for the purchase and sale, in a registered public offering by the Company, of (i) an aggregate of 421,260 shares of its common stock, and pre-funded warrants to purchase an aggregate of 1,178,740 shares of common stock and (ii) accompanying warrants to purchase up to an aggregate of 3,200,000 shares of its common stock at a combined offering price of $5.65 per share of common stock and associated warrant, or $5.649 per pre-funded warrant and associated warrant, resulting in gross proceeds of $9.0 million. The net proceeds of the February 2024 Offering after deducting placement agent fees and direct offering expenses were $8.0 million. The relative fair value allocated to the common stock, pre-funded warrants and warrants was $0.9 million, $2.4 million, and $5.7 million, respectively.</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February 2023 Registered Public Offering (the “February 2023 Offering”)</w:t>
      </w:r>
    </w:p>
    <w:p>
      <w:pPr>
        <w:spacing w:after="0" w:line="19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On February 3, 2023, the Company entered into a securities purchase agreement with certain purchasers for the purchase and sale, in a registered public offering by the Company of (i) an aggregate of 86,994 shares of its common stock, and pre-funded warrants to purchase an aggregate of 21,341 shares of common stock and (ii) accompanying warrants to purchase up to an aggregate of 216,667 shares of its common stock at a combined offering price of $144 per share of common stock and associated common warrant, or $143.92 per pre-funded warrant and associated common warrant, resulting in gross proceeds of $15.6 million. The net proceeds of the February 2023 Offering after deducting placement agent fees and direct offering expenses were $14.1 million. The relative fair value allocated to the common stock, pre-funded warrants and warrants was $5.0 million, $1.2 million and $9.4 million, respectively.</w:t>
      </w:r>
    </w:p>
    <w:p>
      <w:pPr>
        <w:spacing w:after="0" w:line="13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At December 31, 2024, the Company had pre-funded warrants outstanding to purchase a total of 31,882,671 shares of common stock, exercisable at $0.01 per share.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warrant activity for the years ended December 31, 2024 and 2023, not including pre-funded warrants: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5"/>
        </w:trPr>
        <w:tc>
          <w:tcPr>
            <w:tcW w:w="7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37"/>
        </w:trPr>
        <w:tc>
          <w:tcPr>
            <w:tcW w:w="7680" w:type="dxa"/>
            <w:vAlign w:val="bottom"/>
          </w:tcPr>
          <w:p>
            <w:pPr>
              <w:spacing w:after="0"/>
              <w:rPr>
                <w:sz w:val="20"/>
                <w:szCs w:val="20"/>
                <w:color w:val="auto"/>
              </w:rPr>
            </w:pPr>
          </w:p>
        </w:tc>
        <w:tc>
          <w:tcPr>
            <w:tcW w:w="19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60" w:type="dxa"/>
            <w:vAlign w:val="bottom"/>
          </w:tcPr>
          <w:p>
            <w:pPr>
              <w:spacing w:after="0"/>
              <w:rPr>
                <w:sz w:val="20"/>
                <w:szCs w:val="20"/>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r>
      <w:tr>
        <w:trPr>
          <w:trHeight w:val="208"/>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2022</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19,703</w:t>
            </w:r>
          </w:p>
        </w:tc>
        <w:tc>
          <w:tcPr>
            <w:tcW w:w="28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1,370.58</w:t>
            </w:r>
          </w:p>
        </w:tc>
        <w:tc>
          <w:tcPr>
            <w:tcW w:w="100" w:type="dxa"/>
            <w:vAlign w:val="bottom"/>
            <w:shd w:val="clear" w:color="auto" w:fill="CFF0FC"/>
          </w:tcPr>
          <w:p>
            <w:pPr>
              <w:spacing w:after="0"/>
              <w:rPr>
                <w:sz w:val="18"/>
                <w:szCs w:val="18"/>
                <w:color w:val="auto"/>
              </w:rPr>
            </w:pPr>
          </w:p>
        </w:tc>
      </w:tr>
      <w:tr>
        <w:trPr>
          <w:trHeight w:val="215"/>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216,667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100" w:type="dxa"/>
            <w:vAlign w:val="bottom"/>
          </w:tcPr>
          <w:p>
            <w:pPr>
              <w:spacing w:after="0"/>
              <w:rPr>
                <w:sz w:val="18"/>
                <w:szCs w:val="18"/>
                <w:color w:val="auto"/>
              </w:rPr>
            </w:pPr>
          </w:p>
        </w:tc>
      </w:tr>
      <w:tr>
        <w:trPr>
          <w:trHeight w:val="215"/>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(214,842 )</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100" w:type="dxa"/>
            <w:vAlign w:val="bottom"/>
            <w:shd w:val="clear" w:color="auto" w:fill="CFF0FC"/>
          </w:tcPr>
          <w:p>
            <w:pPr>
              <w:spacing w:after="0"/>
              <w:rPr>
                <w:sz w:val="18"/>
                <w:szCs w:val="18"/>
                <w:color w:val="auto"/>
              </w:rPr>
            </w:pPr>
          </w:p>
        </w:tc>
      </w:tr>
      <w:tr>
        <w:trPr>
          <w:trHeight w:val="215"/>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Canceled</w:t>
            </w: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(1,834 )</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3,142.54</w:t>
            </w:r>
          </w:p>
        </w:tc>
        <w:tc>
          <w:tcPr>
            <w:tcW w:w="100" w:type="dxa"/>
            <w:vAlign w:val="bottom"/>
          </w:tcPr>
          <w:p>
            <w:pPr>
              <w:spacing w:after="0"/>
              <w:rPr>
                <w:sz w:val="18"/>
                <w:szCs w:val="18"/>
                <w:color w:val="auto"/>
              </w:rPr>
            </w:pPr>
          </w:p>
        </w:tc>
      </w:tr>
      <w:tr>
        <w:trPr>
          <w:trHeight w:val="208"/>
        </w:trPr>
        <w:tc>
          <w:tcPr>
            <w:tcW w:w="768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2023</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19,694</w:t>
            </w:r>
          </w:p>
        </w:tc>
        <w:tc>
          <w:tcPr>
            <w:tcW w:w="2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1,095.27</w:t>
            </w:r>
          </w:p>
        </w:tc>
        <w:tc>
          <w:tcPr>
            <w:tcW w:w="100" w:type="dxa"/>
            <w:vAlign w:val="bottom"/>
            <w:tcBorders>
              <w:top w:val="single" w:sz="8" w:color="CFF0FC"/>
            </w:tcBorders>
            <w:shd w:val="clear" w:color="auto" w:fill="CFF0FC"/>
          </w:tcPr>
          <w:p>
            <w:pPr>
              <w:spacing w:after="0"/>
              <w:rPr>
                <w:sz w:val="18"/>
                <w:szCs w:val="18"/>
                <w:color w:val="auto"/>
              </w:rPr>
            </w:pPr>
          </w:p>
        </w:tc>
      </w:tr>
      <w:tr>
        <w:trPr>
          <w:trHeight w:val="215"/>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19,866,666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Pr>
          <w:p>
            <w:pPr>
              <w:spacing w:after="0"/>
              <w:rPr>
                <w:sz w:val="18"/>
                <w:szCs w:val="18"/>
                <w:color w:val="auto"/>
              </w:rPr>
            </w:pPr>
          </w:p>
        </w:tc>
      </w:tr>
      <w:tr>
        <w:trPr>
          <w:trHeight w:val="215"/>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(12,000 )</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shd w:val="clear" w:color="auto" w:fill="CFF0FC"/>
          </w:tcPr>
          <w:p>
            <w:pPr>
              <w:spacing w:after="0"/>
              <w:rPr>
                <w:sz w:val="18"/>
                <w:szCs w:val="18"/>
                <w:color w:val="auto"/>
              </w:rPr>
            </w:pPr>
          </w:p>
        </w:tc>
      </w:tr>
      <w:tr>
        <w:trPr>
          <w:trHeight w:val="215"/>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Canceled</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08"/>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2024</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19,874,360</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5.77</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5902325</wp:posOffset>
            </wp:positionH>
            <wp:positionV relativeFrom="paragraph">
              <wp:posOffset>-698500</wp:posOffset>
            </wp:positionV>
            <wp:extent cx="6794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6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-698500</wp:posOffset>
            </wp:positionV>
            <wp:extent cx="6794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61">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August 2024 Warrants</w:t>
      </w:r>
    </w:p>
    <w:p>
      <w:pPr>
        <w:spacing w:after="0" w:line="1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described above, as part of the August 2024 Offering, the Company issued unregistered warrants to purchase 16,666,666 shares of its common stock at an exercise price of $4.50 per share. The warrants expire at the earlier of (i) 30 trading days following the date of the Company’s initial public announcement of topline data from its Phase 3 LEVEL trial (the “Topline Data Announcement”), (ii) immediately upon the exercise of the August 2024 pre-funded warrants if such exercise is prior to the Topline Data Announcement, provided that if the pre-funded warrant is not exercised in full, the warrant expires proportionally to the extent the pre-funded warrant is exercised, and (iii) August 8, 2029. The warrants have an estimated term of 1.8 years. The unregistered warrants were offered in a private placement under Section 4(a)(2) of the Securities Act of 1933, as amended (the “Securities Act”) and Regulation D promulgated thereunder. In accordance with ASC 815, Derivatives and Hedging, these warrants are classified as equity and their relative fair value of $27.1 million was recognized as additional paid in capital. The estimated fair value is determined using the Black-Scholes option pricing model using the following assumptions: remaining estimated term of 1.8 years, risk free interest rate of 3.83%, expected dividends of zero, and expected volatility of 177.27%.</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February 2024 Warrants</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described above, as a part of the February 2024 Offering, the Company issued registered warrants to purchase 3,200,000 shares of its common stock at an exercise price of $5.65 per share and contractual term of five years. In accordance with ASC 815, Derivatives and Hedging, these warrants are classified as equity and their relative fair value of $5.7 million was recognized as additional paid in capital. The estimated fair value was determined using the Black-Scholes option pricing model using the following assumptions: remaining estimated term of 5.0 years, risk free interest rate of 4.12%, expected dividends of zero, and expected volatility of 131.87%.</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February 2023 Warrants</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described above, as a part of the February 2023 Offering, the Company issued registered warrants to purchase 216,667 shares of its common stock at an exercise price of $180.00 per share and contractual term of five years. In accordance with ASC 815, Derivatives and Hedging, these warrants are classified as equity and their relative fair value of $9.4 million was recognized as additional paid in capital. The estimated fair value was determined using the Black-Scholes option pricing model using the following assumptions: remaining estimated term of 5.0 years, risk free interest rate of 2.23%, expected dividends of zero, and expected volatility of 105.69%.</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Incentive Plans</w:t>
      </w:r>
    </w:p>
    <w:p>
      <w:pPr>
        <w:spacing w:after="0" w:line="18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June 2022, the Company adopted the 2022 Stock Incentive Plan, as amended on June 7, 2024, (the "2022 Plan"), with the outstanding shares available for future grants under prior plans, as well as outstanding awards under prior plans that subsequently expire, terminate or are surrendered or forfeited, generally being assumed by the 2022 Plan. Unexpired awards granted under certain prior plans may be subject to the terms of such prior plans.</w:t>
      </w:r>
    </w:p>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2022 Plan, with the approval of the Board’s Compensation Committee, the Company may grant stock options, stock appreciation rights, restricted stock, restricted stock units, performance shares, performance units, cash-based awards or other stock-based awards. Stock options granted under the 2022 Plan may be either incentive stock options (“ISOs”) or nonqualified stock options (“NSOs”). ISOs may be granted only to employees. NSOs may be granted to employees, consultants and directors. Stock options under the 2022 Plan may be granted with a term of up to ten years and at prices no less than fair market value at the time of grant. Stock options granted generally vest over one to four years.</w:t>
      </w:r>
    </w:p>
    <w:p>
      <w:pPr>
        <w:spacing w:after="0" w:line="14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 xml:space="preserve">Upon approval of the Company’s stockholders in October 2024, the number of shares of common stock authorized for issuance under the 2022 Plan was increased to a total of 8,337,252 shares. A total of 5,211,121 shares remained available for issuance as of </w:t>
      </w:r>
      <w:r>
        <w:rPr>
          <w:rFonts w:ascii="Times New Roman" w:cs="Times New Roman" w:eastAsia="Times New Roman" w:hAnsi="Times New Roman"/>
          <w:sz w:val="18"/>
          <w:szCs w:val="18"/>
          <w:color w:val="212529"/>
        </w:rPr>
        <w:t>December 31, 2024.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Stock Option Activity</w:t>
      </w:r>
    </w:p>
    <w:p>
      <w:pPr>
        <w:spacing w:after="0" w:line="224"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8"/>
          <w:szCs w:val="18"/>
          <w:color w:val="auto"/>
        </w:rPr>
        <w:t>Transactions during the years ended December 31, 2024 and 2023 related to stock options granted to employees and directors under Company option plans were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ind w:right="97"/>
              <w:spacing w:after="0" w:line="148" w:lineRule="exact"/>
              <w:rPr>
                <w:sz w:val="20"/>
                <w:szCs w:val="20"/>
                <w:color w:val="auto"/>
              </w:rPr>
            </w:pPr>
            <w:r>
              <w:rPr>
                <w:rFonts w:ascii="Times New Roman" w:cs="Times New Roman" w:eastAsia="Times New Roman" w:hAnsi="Times New Roman"/>
                <w:sz w:val="14"/>
                <w:szCs w:val="14"/>
                <w:b w:val="1"/>
                <w:bCs w:val="1"/>
                <w:color w:val="auto"/>
                <w:w w:val="98"/>
              </w:rPr>
              <w:t>average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ind w:right="97"/>
              <w:spacing w:after="0" w:line="148"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20"/>
              <w:spacing w:after="0" w:line="148"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18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gridSpan w:val="2"/>
            <w:vMerge w:val="restart"/>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ind w:right="97"/>
              <w:spacing w:after="0" w:line="148" w:lineRule="exact"/>
              <w:rPr>
                <w:sz w:val="20"/>
                <w:szCs w:val="20"/>
                <w:color w:val="auto"/>
              </w:rPr>
            </w:pPr>
            <w:r>
              <w:rPr>
                <w:rFonts w:ascii="Times New Roman" w:cs="Times New Roman" w:eastAsia="Times New Roman" w:hAnsi="Times New Roman"/>
                <w:sz w:val="14"/>
                <w:szCs w:val="14"/>
                <w:b w:val="1"/>
                <w:bCs w:val="1"/>
                <w:color w:val="auto"/>
                <w:w w:val="99"/>
              </w:rPr>
              <w:t>price per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20"/>
              <w:spacing w:after="0" w:line="148"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2"/>
        </w:trPr>
        <w:tc>
          <w:tcPr>
            <w:tcW w:w="4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outstanding as of December 31, 2022</w:t>
            </w:r>
          </w:p>
        </w:tc>
        <w:tc>
          <w:tcPr>
            <w:tcW w:w="2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4,827.36</w:t>
            </w:r>
          </w:p>
        </w:tc>
        <w:tc>
          <w:tcPr>
            <w:tcW w:w="14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2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Canceled or forfeited</w:t>
            </w:r>
          </w:p>
        </w:tc>
        <w:tc>
          <w:tcPr>
            <w:tcW w:w="14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(33 )</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10,252.12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outstanding as of December 31, 2023</w:t>
            </w:r>
          </w:p>
        </w:tc>
        <w:tc>
          <w:tcPr>
            <w:tcW w:w="142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4,509.71</w:t>
            </w:r>
          </w:p>
        </w:tc>
        <w:tc>
          <w:tcPr>
            <w:tcW w:w="12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3,125,794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2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Canceled or forfeited</w:t>
            </w:r>
          </w:p>
        </w:tc>
        <w:tc>
          <w:tcPr>
            <w:tcW w:w="14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(4 )</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outstanding as of December 31, 2024</w:t>
            </w:r>
          </w:p>
        </w:tc>
        <w:tc>
          <w:tcPr>
            <w:tcW w:w="142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3,126,436</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220" w:type="dxa"/>
            <w:vAlign w:val="bottom"/>
            <w:tcBorders>
              <w:bottom w:val="single" w:sz="8" w:color="CFF0FC"/>
            </w:tcBorders>
            <w:gridSpan w:val="2"/>
            <w:shd w:val="clear" w:color="auto" w:fill="CFF0FC"/>
          </w:tcPr>
          <w:p>
            <w:pPr>
              <w:spacing w:after="0"/>
              <w:rPr>
                <w:sz w:val="21"/>
                <w:szCs w:val="21"/>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240" w:type="dxa"/>
            <w:vAlign w:val="bottom"/>
            <w:tcBorders>
              <w:bottom w:val="single" w:sz="8" w:color="CFF0FC"/>
            </w:tcBorders>
            <w:gridSpan w:val="2"/>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438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color w:val="auto"/>
              </w:rPr>
              <w:t>Options exercisable at December 31, 2024</w:t>
            </w:r>
          </w:p>
        </w:tc>
        <w:tc>
          <w:tcPr>
            <w:tcW w:w="1420" w:type="dxa"/>
            <w:vAlign w:val="bottom"/>
          </w:tcPr>
          <w:p>
            <w:pPr>
              <w:spacing w:after="0"/>
              <w:rPr>
                <w:sz w:val="16"/>
                <w:szCs w:val="16"/>
                <w:color w:val="auto"/>
              </w:rPr>
            </w:pPr>
          </w:p>
        </w:tc>
        <w:tc>
          <w:tcPr>
            <w:tcW w:w="118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482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4,371.49</w:t>
            </w:r>
          </w:p>
        </w:tc>
        <w:tc>
          <w:tcPr>
            <w:tcW w:w="220" w:type="dxa"/>
            <w:vAlign w:val="bottom"/>
            <w:gridSpan w:val="2"/>
          </w:tcPr>
          <w:p>
            <w:pPr>
              <w:spacing w:after="0"/>
              <w:rPr>
                <w:sz w:val="16"/>
                <w:szCs w:val="16"/>
                <w:color w:val="auto"/>
              </w:rPr>
            </w:pPr>
          </w:p>
        </w:tc>
        <w:tc>
          <w:tcPr>
            <w:tcW w:w="120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6.10</w:t>
            </w:r>
          </w:p>
        </w:tc>
        <w:tc>
          <w:tcPr>
            <w:tcW w:w="240" w:type="dxa"/>
            <w:vAlign w:val="bottom"/>
            <w:gridSpan w:val="2"/>
          </w:tcPr>
          <w:p>
            <w:pPr>
              <w:spacing w:after="0"/>
              <w:rPr>
                <w:sz w:val="16"/>
                <w:szCs w:val="16"/>
                <w:color w:val="auto"/>
              </w:rPr>
            </w:pPr>
          </w:p>
        </w:tc>
        <w:tc>
          <w:tcPr>
            <w:tcW w:w="12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0"/>
        </w:trPr>
        <w:tc>
          <w:tcPr>
            <w:tcW w:w="4380" w:type="dxa"/>
            <w:vAlign w:val="bottom"/>
          </w:tcPr>
          <w:p>
            <w:pPr>
              <w:spacing w:after="0"/>
              <w:rPr>
                <w:sz w:val="24"/>
                <w:szCs w:val="24"/>
                <w:color w:val="auto"/>
              </w:rPr>
            </w:pPr>
          </w:p>
        </w:tc>
        <w:tc>
          <w:tcPr>
            <w:tcW w:w="2840" w:type="dxa"/>
            <w:vAlign w:val="bottom"/>
            <w:gridSpan w:val="4"/>
          </w:tcPr>
          <w:p>
            <w:pPr>
              <w:ind w:left="1080"/>
              <w:spacing w:after="0"/>
              <w:rPr>
                <w:sz w:val="20"/>
                <w:szCs w:val="20"/>
                <w:color w:val="auto"/>
              </w:rPr>
            </w:pPr>
            <w:r>
              <w:rPr>
                <w:rFonts w:ascii="Times New Roman" w:cs="Times New Roman" w:eastAsia="Times New Roman" w:hAnsi="Times New Roman"/>
                <w:sz w:val="18"/>
                <w:szCs w:val="18"/>
                <w:color w:val="auto"/>
              </w:rPr>
              <w:t>F-16</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8"/>
        </w:trPr>
        <w:tc>
          <w:tcPr>
            <w:tcW w:w="43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4427855</wp:posOffset>
            </wp:positionH>
            <wp:positionV relativeFrom="paragraph">
              <wp:posOffset>-1788795</wp:posOffset>
            </wp:positionV>
            <wp:extent cx="6794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63">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-1788795</wp:posOffset>
            </wp:positionV>
            <wp:extent cx="6794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6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6182995</wp:posOffset>
            </wp:positionH>
            <wp:positionV relativeFrom="paragraph">
              <wp:posOffset>-1788795</wp:posOffset>
            </wp:positionV>
            <wp:extent cx="6794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6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-1788795</wp:posOffset>
            </wp:positionV>
            <wp:extent cx="6794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6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-1226820</wp:posOffset>
            </wp:positionV>
            <wp:extent cx="6794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67">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-1209675</wp:posOffset>
            </wp:positionV>
            <wp:extent cx="6794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68">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-1226820</wp:posOffset>
            </wp:positionV>
            <wp:extent cx="6794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6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-1209675</wp:posOffset>
            </wp:positionV>
            <wp:extent cx="6794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7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6182995</wp:posOffset>
            </wp:positionH>
            <wp:positionV relativeFrom="paragraph">
              <wp:posOffset>-1226820</wp:posOffset>
            </wp:positionV>
            <wp:extent cx="6794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71">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6182995</wp:posOffset>
            </wp:positionH>
            <wp:positionV relativeFrom="paragraph">
              <wp:posOffset>-1209675</wp:posOffset>
            </wp:positionV>
            <wp:extent cx="6794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72">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-1226820</wp:posOffset>
            </wp:positionV>
            <wp:extent cx="6794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73">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-1209675</wp:posOffset>
            </wp:positionV>
            <wp:extent cx="6794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7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7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all options issued under the Company's stock plans that are outstanding as of December 31, 2024:</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20" w:type="dxa"/>
            <w:vAlign w:val="bottom"/>
            <w:gridSpan w:val="3"/>
          </w:tcPr>
          <w:p>
            <w:pPr>
              <w:jc w:val="right"/>
              <w:ind w:right="711"/>
              <w:spacing w:after="0"/>
              <w:rPr>
                <w:sz w:val="20"/>
                <w:szCs w:val="20"/>
                <w:color w:val="auto"/>
              </w:rPr>
            </w:pPr>
            <w:r>
              <w:rPr>
                <w:rFonts w:ascii="Times New Roman" w:cs="Times New Roman" w:eastAsia="Times New Roman" w:hAnsi="Times New Roman"/>
                <w:sz w:val="18"/>
                <w:szCs w:val="18"/>
                <w:b w:val="1"/>
                <w:bCs w:val="1"/>
                <w:color w:val="auto"/>
              </w:rPr>
              <w:t>Options Outstanding at</w:t>
            </w:r>
          </w:p>
        </w:tc>
        <w:tc>
          <w:tcPr>
            <w:tcW w:w="240" w:type="dxa"/>
            <w:vAlign w:val="bottom"/>
          </w:tcPr>
          <w:p>
            <w:pPr>
              <w:spacing w:after="0"/>
              <w:rPr>
                <w:sz w:val="18"/>
                <w:szCs w:val="18"/>
                <w:color w:val="auto"/>
              </w:rPr>
            </w:pPr>
          </w:p>
        </w:tc>
        <w:tc>
          <w:tcPr>
            <w:tcW w:w="354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Options Exercisable and Vested</w:t>
            </w:r>
          </w:p>
        </w:tc>
        <w:tc>
          <w:tcPr>
            <w:tcW w:w="0" w:type="dxa"/>
            <w:vAlign w:val="bottom"/>
          </w:tcPr>
          <w:p>
            <w:pPr>
              <w:spacing w:after="0"/>
              <w:rPr>
                <w:sz w:val="1"/>
                <w:szCs w:val="1"/>
                <w:color w:val="auto"/>
              </w:rPr>
            </w:pPr>
          </w:p>
        </w:tc>
      </w:tr>
      <w:tr>
        <w:trPr>
          <w:trHeight w:val="237"/>
        </w:trPr>
        <w:tc>
          <w:tcPr>
            <w:tcW w:w="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20" w:type="dxa"/>
            <w:vAlign w:val="bottom"/>
            <w:gridSpan w:val="3"/>
          </w:tcPr>
          <w:p>
            <w:pPr>
              <w:jc w:val="right"/>
              <w:ind w:right="891"/>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40" w:type="dxa"/>
            <w:vAlign w:val="bottom"/>
          </w:tcPr>
          <w:p>
            <w:pPr>
              <w:spacing w:after="0"/>
              <w:rPr>
                <w:sz w:val="20"/>
                <w:szCs w:val="20"/>
                <w:color w:val="auto"/>
              </w:rPr>
            </w:pPr>
          </w:p>
        </w:tc>
        <w:tc>
          <w:tcPr>
            <w:tcW w:w="354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at December 31, 2024</w:t>
            </w:r>
          </w:p>
        </w:tc>
        <w:tc>
          <w:tcPr>
            <w:tcW w:w="0" w:type="dxa"/>
            <w:vAlign w:val="bottom"/>
          </w:tcPr>
          <w:p>
            <w:pPr>
              <w:spacing w:after="0"/>
              <w:rPr>
                <w:sz w:val="1"/>
                <w:szCs w:val="1"/>
                <w:color w:val="auto"/>
              </w:rPr>
            </w:pPr>
          </w:p>
        </w:tc>
      </w:tr>
      <w:tr>
        <w:trPr>
          <w:trHeight w:val="186"/>
        </w:trPr>
        <w:tc>
          <w:tcPr>
            <w:tcW w:w="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240" w:type="dxa"/>
            <w:vAlign w:val="bottom"/>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Remaining</w:t>
            </w: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215"/>
        </w:trPr>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240" w:type="dxa"/>
            <w:vAlign w:val="bottom"/>
          </w:tcPr>
          <w:p>
            <w:pPr>
              <w:spacing w:after="0"/>
              <w:rPr>
                <w:sz w:val="18"/>
                <w:szCs w:val="18"/>
                <w:color w:val="auto"/>
              </w:rPr>
            </w:pPr>
          </w:p>
        </w:tc>
        <w:tc>
          <w:tcPr>
            <w:tcW w:w="160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37"/>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60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to</w:t>
            </w:r>
          </w:p>
        </w:tc>
        <w:tc>
          <w:tcPr>
            <w:tcW w:w="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4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Life (Years)</w:t>
            </w:r>
          </w:p>
        </w:tc>
        <w:tc>
          <w:tcPr>
            <w:tcW w:w="240" w:type="dxa"/>
            <w:vAlign w:val="bottom"/>
          </w:tcPr>
          <w:p>
            <w:pPr>
              <w:spacing w:after="0"/>
              <w:rPr>
                <w:sz w:val="20"/>
                <w:szCs w:val="20"/>
                <w:color w:val="auto"/>
              </w:rPr>
            </w:pPr>
          </w:p>
        </w:tc>
        <w:tc>
          <w:tcPr>
            <w:tcW w:w="1600" w:type="dxa"/>
            <w:vAlign w:val="bottom"/>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0" w:type="dxa"/>
            <w:vAlign w:val="bottom"/>
          </w:tcPr>
          <w:p>
            <w:pPr>
              <w:spacing w:after="0"/>
              <w:rPr>
                <w:sz w:val="1"/>
                <w:szCs w:val="1"/>
                <w:color w:val="auto"/>
              </w:rPr>
            </w:pPr>
          </w:p>
        </w:tc>
      </w:tr>
      <w:tr>
        <w:trPr>
          <w:trHeight w:val="208"/>
        </w:trPr>
        <w:tc>
          <w:tcPr>
            <w:tcW w:w="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600" w:type="dxa"/>
            <w:vAlign w:val="bottom"/>
            <w:vMerge w:val="continue"/>
          </w:tcPr>
          <w:p>
            <w:pPr>
              <w:spacing w:after="0"/>
              <w:rPr>
                <w:sz w:val="18"/>
                <w:szCs w:val="18"/>
                <w:color w:val="auto"/>
              </w:rPr>
            </w:pPr>
          </w:p>
        </w:tc>
        <w:tc>
          <w:tcPr>
            <w:tcW w:w="440" w:type="dxa"/>
            <w:vAlign w:val="bottom"/>
            <w:tcBorders>
              <w:top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240" w:type="dxa"/>
            <w:vAlign w:val="bottom"/>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3,125,794</w:t>
            </w:r>
          </w:p>
        </w:tc>
        <w:tc>
          <w:tcPr>
            <w:tcW w:w="240" w:type="dxa"/>
            <w:vAlign w:val="bottom"/>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992.00</w:t>
            </w:r>
          </w:p>
        </w:tc>
        <w:tc>
          <w:tcPr>
            <w:tcW w:w="6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w:t>
            </w:r>
          </w:p>
        </w:tc>
        <w:tc>
          <w:tcPr>
            <w:tcW w:w="440" w:type="dxa"/>
            <w:vAlign w:val="bottom"/>
            <w:shd w:val="clear" w:color="auto" w:fill="CFF0FC"/>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2,960.00</w:t>
            </w:r>
          </w:p>
        </w:tc>
        <w:tc>
          <w:tcPr>
            <w:tcW w:w="24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1,801.81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3,200.00</w:t>
            </w:r>
          </w:p>
        </w:tc>
        <w:tc>
          <w:tcPr>
            <w:tcW w:w="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w:t>
            </w:r>
          </w:p>
        </w:tc>
        <w:tc>
          <w:tcPr>
            <w:tcW w:w="44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16,960.00</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8,026.46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66,240.00</w:t>
            </w:r>
          </w:p>
        </w:tc>
        <w:tc>
          <w:tcPr>
            <w:tcW w:w="6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w:t>
            </w:r>
          </w:p>
        </w:tc>
        <w:tc>
          <w:tcPr>
            <w:tcW w:w="440" w:type="dxa"/>
            <w:vAlign w:val="bottom"/>
            <w:shd w:val="clear" w:color="auto" w:fill="CFF0FC"/>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101,120.00</w:t>
            </w:r>
          </w:p>
        </w:tc>
        <w:tc>
          <w:tcPr>
            <w:tcW w:w="24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75,800.00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109,440.00</w:t>
            </w:r>
          </w:p>
        </w:tc>
        <w:tc>
          <w:tcPr>
            <w:tcW w:w="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w:t>
            </w:r>
          </w:p>
        </w:tc>
        <w:tc>
          <w:tcPr>
            <w:tcW w:w="44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180,800.00</w:t>
            </w:r>
          </w:p>
        </w:tc>
        <w:tc>
          <w:tcPr>
            <w:tcW w:w="24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109,440.00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3,126,436</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4,371.49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371"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The Company used the following assumptions to estimate the fair value of options granted for the year ended December 31, 2024. The Company had no option issuances during the year ending December 31, 2023.</w:t>
      </w:r>
    </w:p>
    <w:p>
      <w:pPr>
        <w:spacing w:after="0" w:line="159"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56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8"/>
                <w:szCs w:val="18"/>
                <w:color w:val="auto"/>
              </w:rPr>
            </w:pPr>
          </w:p>
        </w:tc>
      </w:tr>
      <w:tr>
        <w:trPr>
          <w:trHeight w:val="208"/>
        </w:trPr>
        <w:tc>
          <w:tcPr>
            <w:tcW w:w="85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 (weighted average)</w:t>
            </w: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4.09 %</w:t>
            </w:r>
          </w:p>
        </w:tc>
        <w:tc>
          <w:tcPr>
            <w:tcW w:w="1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r>
      <w:tr>
        <w:trPr>
          <w:trHeight w:val="215"/>
        </w:trPr>
        <w:tc>
          <w:tcPr>
            <w:tcW w:w="8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 (weighted average)</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131.33 %</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r>
      <w:tr>
        <w:trPr>
          <w:trHeight w:val="215"/>
        </w:trPr>
        <w:tc>
          <w:tcPr>
            <w:tcW w:w="85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2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33"/>
        </w:trPr>
        <w:tc>
          <w:tcPr>
            <w:tcW w:w="8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0.00 %</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0.00 %</w:t>
            </w:r>
          </w:p>
        </w:tc>
      </w:tr>
    </w:tbl>
    <w:p>
      <w:pPr>
        <w:spacing w:after="0" w:line="17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Company recorded compensation expense for non-inducement stock options of $998 thousand and $116 thousand for the years ended December 31, 2024 and 2023, respectively.</w:t>
      </w:r>
    </w:p>
    <w:p>
      <w:pPr>
        <w:spacing w:after="0" w:line="12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As of December 31, 2024, there were unrecognized compensation costs of $15.3 million related to non-vested stock option awards that will be recognized on a straight-line basis over the weighted average remaining vesting period of 1.28 years.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Inducement Stock Options</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granted an employment inducement stock option award for 157 shares of common stock, to its then-new President and Chief Executive Officer on July 6, 2021. The employment inducement stock option award was granted in accordance with the employment inducement award exemption provided by Nasdaq Listing Rule 5635(c)(4) and was therefore not awarded under the Company’s stockholder approved equity plan. This award vests as follows: 25% on the one-year anniversary of the Chief Executive Officer's employment start date and an additional 25% on each of the following three anniversaries of the Chief Executive Officer's employment start date, subject to continued employment. The option has a 10-year term and an exercise price of $3,152 per share, the July 6, 2021 closing price of our common stock. As of December 31, 2024, 75% of the vesting milestones have been achieved. The estimated fair value of this inducement stock option award was $403 thousand using the Black-Scholes option pricing model based on market prices and the following assumptions at the date of inducement option grant: risk-free interest rate of 1.13%, dividend yield of 0%, volatility factor for our common stock of 99.36% and an expected life of 7 years.</w:t>
      </w:r>
    </w:p>
    <w:p>
      <w:pPr>
        <w:spacing w:after="0" w:line="15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also granted an employment inducement stock option award for 157 shares of common stock to its then-new Chief Medical Officer on January 15, 2021. This employment inducement stock option was awarded in accordance with the employment inducement award exemption provided by Nasdaq Listing Rule 5635(c)(4) and was therefore not awarded under the Company’s stockholder approved equity plan. The option award will vest as follows: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7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25% upon initiation of a Phase 3 trial; 25% upon database lock; 25% upon acceptance for review of an investigational NDA; and 25% upon approval. The options have a 10-year term and an exercise price of $2,848 per share, the January 15, 2021 closing price of our common stock. As of December 31, 2024, two of the vesting milestones have been achieved. The estimated fair value of the inducement stock option award granted was $403 thousand using the Black-Scholes option pricing model based on market prices and the following assumptions at the date of inducement option grant: risk-free interest rate of 11%, dividend yield of 0%, volatility factor for our common stock of 103.94% and an expected life of 10 years.</w:t>
      </w:r>
    </w:p>
    <w:p>
      <w:pPr>
        <w:spacing w:after="0" w:line="15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Inducement stock option compensation expense totaled $127 thousand and $75 thousand for the years ended December 31, 2024 and December 31, 2023, respectively. As of December 31, 2024, there was $214 thousand of remaining unrecognized compensation expense related to these inducement stock options.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6—COMMITMENTS AND CONTINGENCIES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Company owns no real property. Beginning November 1, 2022, the Company maintains a membership providing dedicated office space, as well as shared services and shared space for meetings, catering, and other business activities, at its' principal executive office. The current rent is approximately $1 thousand per month.</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Previously, the Company was party to a lease agreement (the “Lease”) with Concourse Associates, LLC (the “Landlord”) for its prior headquarters (the “Premises”). As of April 2021, the Lease's term extended through June 30, 2024 and the annual base rent of $125 thousand would increase 2.5% annually for lease years two and three. On February 7, 2023, the Company entered into a Lease Termination Agreement with the Landlord, with respect to the Premises. As consideration for the Landlord’s entry into the Lease Termination Agreement, including a release of any claims the Landlord may have had against the Company under the Lease, the Company paid the Landlord $170 thousand. Pursuant to the Lease Termination Agreement, effective February 8, 2023, the Company had no remaining rent or further obligations to the Landlord pursuant to the Lease.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Simdax License Agreement</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November 13, 2013, the Company acquired certain assets of Phyxius pursuant to the Asset Purchase Agreement by and among the Company, Phyxius and the stockholders of Phyxius. Among these assets was a license with Orion for the exclusive, sublicensable right to develop and commercialize pharmaceutical products containing levosimendan, 2.5 mg/ml concentrate for solution for infusion / 5ml vial in the United States and Canada (the "License"). On October 9, 2020 and January 25, 2022, the Company entered into an amendment to the License to include in the scope of the License two new oral Product formulations containing levosimendan, in capsule and solid dosage form (TNX-103) and a subcutaneously administered dosage form (TNX-102), subject to specified limitations.</w:t>
      </w:r>
    </w:p>
    <w:p>
      <w:pPr>
        <w:spacing w:after="0" w:line="15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February 19, 2024, the Company entered into an additional amendment to the License providing global rights to oral and subcutaneous formulations of levosimendan used in the treatment of PH-HFpEF. The amendment also reduced the tiered royalties based on worldwide net sales of the product by the Company and its sublicensees, increased the License’s existing milestone payment due to Orion upon the grant of United States Food and Drug Administration approval of a levosimendan-based product to $10.0 million and added a milestone payment to Orion of $5.0 million due upon the grant of regulatory approval for a levosimendan-based product in Japan. The amendment also (i) increased the Company’s obligations to make certain non-refundable commercialization milestone payments to Orion, aggregating to up to $45.0 million, contingent upon achievement of certain cumulative worldwide sales of the product by the Company, and (ii) reduced the maximum price per capsule payable by the Company to Orion, under a yet-to-be-negotiated supply agreement, for the commercial supply of oral levosimendan-based product. Pursuant to the License, the Company and Orion will agree to a new trademark when commercializing levosimendan in either of the dosage forms.</w:t>
      </w:r>
    </w:p>
    <w:p>
      <w:pPr>
        <w:spacing w:after="0" w:line="15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term of the License extends until 10 years after the launch of the Product in the territory, provided that the License will continue after the end of the term in each country in the territory until the expiration of Orion’s patent rights in the Product in such country. In the event that no regulatory approval for the Product has been granted in the United States on or before September 20, 2030, however, either party will have the right to terminate the License with immediate effect.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7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License also grants the Company a right of first refusal to commercialize new developments of the Product, including developments as to the formulation, presentation, means of delivery, route of administration, dosage or indication but, pursuant to the February 2024 amendment, excluding new applications of levosimendan for neurological diseases and disorders developed by Orion.</w:t>
      </w:r>
    </w:p>
    <w:p>
      <w:pPr>
        <w:spacing w:after="0" w:line="14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As of December 31, 2024, the Company has not met any of the developmental milestones under the License and, accordingly, has not recorded any liability for the contingent payments due to Orion.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8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Company is subject to litigation in the normal course of business, none of which management believes will have a material adverse effect on the Company’s consolidated financial statements.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7—401(k) BENEFIT PLAN</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sponsors a 401(k) Retirement Savings Plan (the “401(k) Plan”) for all eligible employees. Full-time employees over the age of eighteen are eligible to participate in the 401(k) Plan after 90 days of continuous employment. Participants may elect to defer earnings into the 401(k) Plan up to the annual IRS limits and the Company provides a matching contribution up to 5% of the participants’ annual salary in accordance with the 401(k) Plan documents. A third-party trustee manages the 401(k) Plan.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2024 and 2023, the Company recorded $63 thousand and $66 thousand for matching contributions expense, respectively.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8—INCOME TAXES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not recorded any income tax expense (benefit) for the period ended December 31, 2024 due to its history of net operating losses.</w:t>
      </w:r>
    </w:p>
    <w:p>
      <w:pPr>
        <w:spacing w:after="0" w:line="182"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The reconciliation of income tax expenses (benefit) at the statutory federal income tax rate of 21% for the periods ended December 31, 2024 and December 31, 2023 is as follows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4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44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8"/>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federal tax benefit at statutory rate</w:t>
            </w:r>
          </w:p>
        </w:tc>
        <w:tc>
          <w:tcPr>
            <w:tcW w:w="4300" w:type="dxa"/>
            <w:vAlign w:val="bottom"/>
            <w:gridSpan w:val="2"/>
            <w:shd w:val="clear" w:color="auto" w:fill="CFF0FC"/>
          </w:tcPr>
          <w:p>
            <w:pPr>
              <w:jc w:val="right"/>
              <w:ind w:right="83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(3,696 )</w:t>
            </w:r>
          </w:p>
        </w:tc>
        <w:tc>
          <w:tcPr>
            <w:tcW w:w="480" w:type="dxa"/>
            <w:vAlign w:val="bottom"/>
            <w:shd w:val="clear" w:color="auto" w:fill="CFF0FC"/>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(1,619 )</w:t>
            </w:r>
          </w:p>
        </w:tc>
      </w:tr>
      <w:tr>
        <w:trPr>
          <w:trHeight w:val="215"/>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 benefit, net of federal benefit</w:t>
            </w:r>
          </w:p>
        </w:tc>
        <w:tc>
          <w:tcPr>
            <w:tcW w:w="3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(94 )</w:t>
            </w:r>
          </w:p>
        </w:tc>
        <w:tc>
          <w:tcPr>
            <w:tcW w:w="4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(33 )</w:t>
            </w:r>
          </w:p>
        </w:tc>
      </w:tr>
      <w:tr>
        <w:trPr>
          <w:trHeight w:val="215"/>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3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FF0FC"/>
          </w:tcPr>
          <w:p>
            <w:pPr>
              <w:spacing w:after="0"/>
              <w:rPr>
                <w:sz w:val="18"/>
                <w:szCs w:val="18"/>
                <w:color w:val="auto"/>
              </w:rPr>
            </w:pPr>
          </w:p>
        </w:tc>
      </w:tr>
      <w:tr>
        <w:trPr>
          <w:trHeight w:val="215"/>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nondeductible, including IPR&amp;D expense</w:t>
            </w:r>
          </w:p>
        </w:tc>
        <w:tc>
          <w:tcPr>
            <w:tcW w:w="3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5"/>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state tax rate</w:t>
            </w:r>
          </w:p>
        </w:tc>
        <w:tc>
          <w:tcPr>
            <w:tcW w:w="3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5"/>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Expiration of NOL Carryforward</w:t>
            </w:r>
          </w:p>
        </w:tc>
        <w:tc>
          <w:tcPr>
            <w:tcW w:w="3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Pr>
          <w:p>
            <w:pPr>
              <w:spacing w:after="0"/>
              <w:rPr>
                <w:sz w:val="18"/>
                <w:szCs w:val="18"/>
                <w:color w:val="auto"/>
              </w:rPr>
            </w:pPr>
          </w:p>
        </w:tc>
      </w:tr>
      <w:tr>
        <w:trPr>
          <w:trHeight w:val="215"/>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operating loss adjustments</w:t>
            </w:r>
          </w:p>
        </w:tc>
        <w:tc>
          <w:tcPr>
            <w:tcW w:w="3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r>
      <w:tr>
        <w:trPr>
          <w:trHeight w:val="215"/>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including effect of tax rate brackets</w:t>
            </w:r>
          </w:p>
        </w:tc>
        <w:tc>
          <w:tcPr>
            <w:tcW w:w="3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(54 )</w:t>
            </w:r>
          </w:p>
        </w:tc>
        <w:tc>
          <w:tcPr>
            <w:tcW w:w="4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(7 )</w:t>
            </w:r>
          </w:p>
        </w:tc>
      </w:tr>
      <w:tr>
        <w:trPr>
          <w:trHeight w:val="215"/>
        </w:trPr>
        <w:tc>
          <w:tcPr>
            <w:tcW w:w="4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28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3,023</w:t>
            </w:r>
          </w:p>
        </w:tc>
        <w:tc>
          <w:tcPr>
            <w:tcW w:w="28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8"/>
        </w:trPr>
        <w:tc>
          <w:tcPr>
            <w:tcW w:w="44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020" w:type="dxa"/>
            <w:vAlign w:val="bottom"/>
            <w:tcBorders>
              <w:bottom w:val="single" w:sz="8" w:color="auto"/>
            </w:tcBorders>
          </w:tcPr>
          <w:p>
            <w:pPr>
              <w:jc w:val="right"/>
              <w:ind w:right="831"/>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4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0"/>
        </w:trPr>
        <w:tc>
          <w:tcPr>
            <w:tcW w:w="44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40"/>
        </w:trPr>
        <w:tc>
          <w:tcPr>
            <w:tcW w:w="4460" w:type="dxa"/>
            <w:vAlign w:val="bottom"/>
          </w:tcPr>
          <w:p>
            <w:pPr>
              <w:spacing w:after="0"/>
              <w:rPr>
                <w:sz w:val="24"/>
                <w:szCs w:val="24"/>
                <w:color w:val="auto"/>
              </w:rPr>
            </w:pPr>
          </w:p>
        </w:tc>
        <w:tc>
          <w:tcPr>
            <w:tcW w:w="4300" w:type="dxa"/>
            <w:vAlign w:val="bottom"/>
            <w:gridSpan w:val="2"/>
          </w:tcPr>
          <w:p>
            <w:pPr>
              <w:jc w:val="right"/>
              <w:ind w:right="2871"/>
              <w:spacing w:after="0"/>
              <w:rPr>
                <w:sz w:val="20"/>
                <w:szCs w:val="20"/>
                <w:color w:val="auto"/>
              </w:rPr>
            </w:pPr>
            <w:r>
              <w:rPr>
                <w:rFonts w:ascii="Times New Roman" w:cs="Times New Roman" w:eastAsia="Times New Roman" w:hAnsi="Times New Roman"/>
                <w:sz w:val="18"/>
                <w:szCs w:val="18"/>
                <w:color w:val="auto"/>
              </w:rPr>
              <w:t>F-19</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58"/>
        </w:trPr>
        <w:tc>
          <w:tcPr>
            <w:tcW w:w="446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5902325</wp:posOffset>
            </wp:positionH>
            <wp:positionV relativeFrom="paragraph">
              <wp:posOffset>-1209675</wp:posOffset>
            </wp:positionV>
            <wp:extent cx="6794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7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-1209675</wp:posOffset>
            </wp:positionV>
            <wp:extent cx="6794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8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8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effects of temporary differences and carry forwards that give rise to significant portions of the deferred tax assets are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7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8"/>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40" w:type="dxa"/>
            <w:vAlign w:val="bottom"/>
            <w:shd w:val="clear" w:color="auto" w:fill="CFF0FC"/>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37,639</w:t>
            </w: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36,835</w:t>
            </w:r>
          </w:p>
        </w:tc>
        <w:tc>
          <w:tcPr>
            <w:tcW w:w="100" w:type="dxa"/>
            <w:vAlign w:val="bottom"/>
            <w:shd w:val="clear" w:color="auto" w:fill="CFF0FC"/>
          </w:tcPr>
          <w:p>
            <w:pPr>
              <w:spacing w:after="0"/>
              <w:rPr>
                <w:sz w:val="18"/>
                <w:szCs w:val="18"/>
                <w:color w:val="auto"/>
              </w:rPr>
            </w:pPr>
          </w:p>
        </w:tc>
      </w:tr>
      <w:tr>
        <w:trPr>
          <w:trHeight w:val="215"/>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Accruals and other</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18"/>
                <w:szCs w:val="18"/>
                <w:color w:val="auto"/>
              </w:rPr>
            </w:pPr>
          </w:p>
        </w:tc>
      </w:tr>
      <w:tr>
        <w:trPr>
          <w:trHeight w:val="215"/>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Capitalized R&amp;D</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3,732</w:t>
            </w: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00" w:type="dxa"/>
            <w:vAlign w:val="bottom"/>
            <w:shd w:val="clear" w:color="auto" w:fill="CFF0FC"/>
          </w:tcPr>
          <w:p>
            <w:pPr>
              <w:spacing w:after="0"/>
              <w:rPr>
                <w:sz w:val="18"/>
                <w:szCs w:val="18"/>
                <w:color w:val="auto"/>
              </w:rPr>
            </w:pPr>
          </w:p>
        </w:tc>
      </w:tr>
      <w:tr>
        <w:trPr>
          <w:trHeight w:val="215"/>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 loss carryforwards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r>
      <w:tr>
        <w:trPr>
          <w:trHeight w:val="215"/>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Valuation allowance</w:t>
            </w:r>
          </w:p>
        </w:tc>
        <w:tc>
          <w:tcPr>
            <w:tcW w:w="3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(41,701 )</w:t>
            </w:r>
          </w:p>
        </w:tc>
        <w:tc>
          <w:tcPr>
            <w:tcW w:w="4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(38,677 )</w:t>
            </w:r>
          </w:p>
        </w:tc>
      </w:tr>
      <w:tr>
        <w:trPr>
          <w:trHeight w:val="208"/>
        </w:trPr>
        <w:tc>
          <w:tcPr>
            <w:tcW w:w="77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Net deferred tax assets</w:t>
            </w: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FF0FC"/>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18"/>
                <w:szCs w:val="18"/>
                <w:color w:val="auto"/>
              </w:rPr>
            </w:pPr>
          </w:p>
        </w:tc>
      </w:tr>
      <w:tr>
        <w:trPr>
          <w:trHeight w:val="208"/>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48"/>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340" w:type="dxa"/>
            <w:vAlign w:val="bottom"/>
            <w:tcBorders>
              <w:bottom w:val="single" w:sz="8" w:color="auto"/>
            </w:tcBorders>
            <w:shd w:val="clear" w:color="auto" w:fill="CFF0FC"/>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5902325</wp:posOffset>
            </wp:positionH>
            <wp:positionV relativeFrom="paragraph">
              <wp:posOffset>-595630</wp:posOffset>
            </wp:positionV>
            <wp:extent cx="6794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83">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-595630</wp:posOffset>
            </wp:positionV>
            <wp:extent cx="6794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8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5902325</wp:posOffset>
            </wp:positionH>
            <wp:positionV relativeFrom="paragraph">
              <wp:posOffset>-24765</wp:posOffset>
            </wp:positionV>
            <wp:extent cx="6794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8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5902325</wp:posOffset>
            </wp:positionH>
            <wp:positionV relativeFrom="paragraph">
              <wp:posOffset>-7620</wp:posOffset>
            </wp:positionV>
            <wp:extent cx="6794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8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-24765</wp:posOffset>
            </wp:positionV>
            <wp:extent cx="6794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87">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794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88">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1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Company has established a valuation allowance against net deferred tax assets due to the uncertainty that such assets will be realized. The Company periodically evaluates the recoverability of the deferred tax assets. At such time that it is determined that it is more likely than not that deferred tax assets will be realizable, the valuation allowance will be reduced. The net increase in the valuation allowance during 2024 was approximately $3.0 million.</w:t>
      </w:r>
    </w:p>
    <w:p>
      <w:pPr>
        <w:spacing w:after="0" w:line="1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As of December 31, 2024, the Company had Federal and State net operating loss carryforwards of approximately $170.5 million and $137.1 million available to offset future federal and state taxable income, respectively. Federal net operating losses of $118.0 million begin to expire in 2025, while the remaining $52.5 million carryforward indefinitely. State net operating losses begin to expire in 2025.</w:t>
      </w:r>
    </w:p>
    <w:p>
      <w:pPr>
        <w:spacing w:after="0" w:line="1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Utilization of the net operating loss carryforwards may be subject to an annual limitation due to the ownership percentage change limitations provided by the Internal Revenue Code of 1986 and similar state provisions. The annual limitations may result in the expiration of the net operating losses before utilization or substantial restrictions on the use of such net operating losses.</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U.S. federal net operating loss carryforwards, or NOLs, which expire in various years if not utilized. Under Sections 382 and 383 of Internal Revenue Code of 1986, as amended, or the Code, if a corporation undergoes an “ownership change,” the corporation’s ability to use its pre-change NOLs and other pre-change tax attributes, such as research tax credits, to offset its future post-change income and taxes may be limited. In general, an “ownership change” occurs if there is a cumulative change in our ownership by “5% shareholders” that exceeds 50 percentage points over a rolling three-year period. Similar rules may apply under state tax laws. We have not performed a formal study to determine whether any of our NOLs are subject to these limitations. We have recorded deferred tax assets for our NOLs and research and development credits and have recorded a full valuation allowance against these deferred tax assets. In the event that it is determined that we have in the past experienced additional ownership changes, or if we experience one or more ownership changes as a result of future transactions in our stock, then we may be further limited in our ability to use our NOLs and other tax assets to reduce taxes owed on the net taxable income that we earn in the event that we attain profitability. Any such limitations on the ability to use our NOLs and other tax assets could adversely impact our business, financial condition, and operating results in the event that we attain profitability.</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follows the provisions of ASC Topic 740-10, “Accounting for Uncertainty in Income Taxes” which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This topic also provides guidance on derecognition, classification, interest and penalties, accounting in interim periods, disclosure, and transition. There were no uncertain tax positions as of December 31, 2024 and 2023.</w:t>
      </w:r>
    </w:p>
    <w:p>
      <w:pPr>
        <w:spacing w:after="0" w:line="18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Company files U.S. and state income tax returns with varying statutes of limitations. The tax years 2005 and forward remain open to examination due to the carryover of unused net operating losses or tax credits.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8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9—SEGMENTS</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Operating segments are identified as components of an entity about which separate discrete financial information is available for evaluation by the CODM, or decision-making group, in making decisions on how to allocate resources and assess performance. The Company's CODM, the President and Chief Executive Officer, views the Company's operations as one operating segment, which is focused on identifying and developing therapeutics that address cardiovascular and pulmonary diseases with high unmet medical need, with an initial therapeutic focus on pulmonary hypertension. The Company does not have revenue in the current comparative period, incurs expenses primarily in North America and manages the business activities on a consolidated basis.</w:t>
      </w:r>
    </w:p>
    <w:p>
      <w:pPr>
        <w:spacing w:after="0" w:line="144" w:lineRule="exact"/>
        <w:rPr>
          <w:sz w:val="20"/>
          <w:szCs w:val="20"/>
          <w:color w:val="auto"/>
        </w:rPr>
      </w:pPr>
    </w:p>
    <w:p>
      <w:pPr>
        <w:jc w:val="both"/>
        <w:ind w:right="80"/>
        <w:spacing w:after="0" w:line="279" w:lineRule="auto"/>
        <w:rPr>
          <w:sz w:val="20"/>
          <w:szCs w:val="20"/>
          <w:color w:val="auto"/>
        </w:rPr>
      </w:pPr>
      <w:r>
        <w:rPr>
          <w:rFonts w:ascii="Times New Roman" w:cs="Times New Roman" w:eastAsia="Times New Roman" w:hAnsi="Times New Roman"/>
          <w:sz w:val="18"/>
          <w:szCs w:val="18"/>
          <w:color w:val="auto"/>
        </w:rPr>
        <w:t>The accounting policies of the cardiovascular and pulmonary therapeutics segment are the same as those described in the summary of significant accounting policies.</w:t>
      </w:r>
    </w:p>
    <w:p>
      <w:pPr>
        <w:spacing w:after="0" w:line="123" w:lineRule="exact"/>
        <w:rPr>
          <w:sz w:val="20"/>
          <w:szCs w:val="20"/>
          <w:color w:val="auto"/>
        </w:rPr>
      </w:pPr>
    </w:p>
    <w:p>
      <w:pPr>
        <w:jc w:val="both"/>
        <w:ind w:right="80"/>
        <w:spacing w:after="0" w:line="264" w:lineRule="auto"/>
        <w:rPr>
          <w:sz w:val="20"/>
          <w:szCs w:val="20"/>
          <w:color w:val="auto"/>
        </w:rPr>
      </w:pPr>
      <w:r>
        <w:rPr>
          <w:rFonts w:ascii="Times New Roman" w:cs="Times New Roman" w:eastAsia="Times New Roman" w:hAnsi="Times New Roman"/>
          <w:sz w:val="18"/>
          <w:szCs w:val="18"/>
          <w:color w:val="auto"/>
        </w:rPr>
        <w:t>The CODM assesses performance for the cardiovascular and pulmonary therapeutics segment and decides how to allocate resources based on net loss that also is reported on the income statement as consolidated net loss. The measure of segment assets is reported on the balance sheet as cash and cash equivalents.</w:t>
      </w:r>
    </w:p>
    <w:p>
      <w:pPr>
        <w:spacing w:after="0" w:line="149" w:lineRule="exact"/>
        <w:rPr>
          <w:sz w:val="20"/>
          <w:szCs w:val="20"/>
          <w:color w:val="auto"/>
        </w:rPr>
      </w:pPr>
    </w:p>
    <w:p>
      <w:pPr>
        <w:jc w:val="both"/>
        <w:ind w:right="80"/>
        <w:spacing w:after="0" w:line="279" w:lineRule="auto"/>
        <w:rPr>
          <w:sz w:val="20"/>
          <w:szCs w:val="20"/>
          <w:color w:val="auto"/>
        </w:rPr>
      </w:pPr>
      <w:r>
        <w:rPr>
          <w:rFonts w:ascii="Times New Roman" w:cs="Times New Roman" w:eastAsia="Times New Roman" w:hAnsi="Times New Roman"/>
          <w:sz w:val="18"/>
          <w:szCs w:val="18"/>
          <w:color w:val="auto"/>
        </w:rPr>
        <w:t>The Company has not generated any product revenue in the current period and expects to continue to incur significant expenses and operating losses for the foreseeable future as the Company advances its product candidates through all stages of development and clinical trials.</w:t>
      </w:r>
    </w:p>
    <w:p>
      <w:pPr>
        <w:spacing w:after="0" w:line="123" w:lineRule="exact"/>
        <w:rPr>
          <w:sz w:val="20"/>
          <w:szCs w:val="20"/>
          <w:color w:val="auto"/>
        </w:rPr>
      </w:pPr>
    </w:p>
    <w:p>
      <w:pPr>
        <w:jc w:val="both"/>
        <w:ind w:right="80"/>
        <w:spacing w:after="0" w:line="264" w:lineRule="auto"/>
        <w:rPr>
          <w:sz w:val="20"/>
          <w:szCs w:val="20"/>
          <w:color w:val="auto"/>
        </w:rPr>
      </w:pPr>
      <w:r>
        <w:rPr>
          <w:rFonts w:ascii="Times New Roman" w:cs="Times New Roman" w:eastAsia="Times New Roman" w:hAnsi="Times New Roman"/>
          <w:sz w:val="18"/>
          <w:szCs w:val="18"/>
          <w:color w:val="auto"/>
        </w:rPr>
        <w:t>As such, the CODM uses cash forecast models in deciding how to invest into the cardiovascular and pulmonary therapeutics segment. Such cash forecast models are reviewed to assess the entity-wide operating results and performance. Net loss is used to monitor budget versus actual results. Monitoring budgeted versus actual results, net cash used in operating activities for the period and cash on hand are used in assessing performance of the segment.</w:t>
      </w:r>
    </w:p>
    <w:p>
      <w:pPr>
        <w:spacing w:after="0" w:line="136" w:lineRule="exact"/>
        <w:rPr>
          <w:sz w:val="20"/>
          <w:szCs w:val="20"/>
          <w:color w:val="auto"/>
        </w:rPr>
      </w:pPr>
    </w:p>
    <w:p>
      <w:pPr>
        <w:jc w:val="both"/>
        <w:ind w:right="80"/>
        <w:spacing w:after="0" w:line="279" w:lineRule="auto"/>
        <w:rPr>
          <w:sz w:val="20"/>
          <w:szCs w:val="20"/>
          <w:color w:val="auto"/>
        </w:rPr>
      </w:pPr>
      <w:r>
        <w:rPr>
          <w:rFonts w:ascii="Times New Roman" w:cs="Times New Roman" w:eastAsia="Times New Roman" w:hAnsi="Times New Roman"/>
          <w:sz w:val="18"/>
          <w:szCs w:val="18"/>
          <w:color w:val="auto"/>
        </w:rPr>
        <w:t>The table below summarizes the significant expense categories regularly reviewed by the CODM for the years ended December 31, 2024 and 2023 (in thousands).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50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The year ended December 31,</w:t>
            </w:r>
          </w:p>
        </w:tc>
        <w:tc>
          <w:tcPr>
            <w:tcW w:w="1380" w:type="dxa"/>
            <w:vAlign w:val="bottom"/>
            <w:tcBorders>
              <w:bottom w:val="single" w:sz="8" w:color="auto"/>
            </w:tcBorders>
          </w:tcPr>
          <w:p>
            <w:pPr>
              <w:spacing w:after="0"/>
              <w:rPr>
                <w:sz w:val="20"/>
                <w:szCs w:val="20"/>
                <w:color w:val="auto"/>
              </w:rPr>
            </w:pPr>
          </w:p>
        </w:tc>
        <w:tc>
          <w:tcPr>
            <w:tcW w:w="540" w:type="dxa"/>
            <w:vAlign w:val="bottom"/>
          </w:tcPr>
          <w:p>
            <w:pPr>
              <w:spacing w:after="0"/>
              <w:rPr>
                <w:sz w:val="20"/>
                <w:szCs w:val="20"/>
                <w:color w:val="auto"/>
              </w:rPr>
            </w:pPr>
          </w:p>
        </w:tc>
      </w:tr>
      <w:tr>
        <w:trPr>
          <w:trHeight w:val="208"/>
        </w:trPr>
        <w:tc>
          <w:tcPr>
            <w:tcW w:w="550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980" w:type="dxa"/>
            <w:vAlign w:val="bottom"/>
            <w:tcBorders>
              <w:bottom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8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Pr>
          <w:p>
            <w:pPr>
              <w:spacing w:after="0"/>
              <w:rPr>
                <w:sz w:val="18"/>
                <w:szCs w:val="18"/>
                <w:color w:val="auto"/>
              </w:rPr>
            </w:pPr>
          </w:p>
        </w:tc>
      </w:tr>
      <w:tr>
        <w:trPr>
          <w:trHeight w:val="208"/>
        </w:trPr>
        <w:tc>
          <w:tcPr>
            <w:tcW w:w="55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expenses:</w:t>
            </w:r>
          </w:p>
        </w:tc>
        <w:tc>
          <w:tcPr>
            <w:tcW w:w="14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r>
      <w:tr>
        <w:trPr>
          <w:trHeight w:val="215"/>
        </w:trPr>
        <w:tc>
          <w:tcPr>
            <w:tcW w:w="55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12,709</w:t>
            </w: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540" w:type="dxa"/>
            <w:vAlign w:val="bottom"/>
          </w:tcPr>
          <w:p>
            <w:pPr>
              <w:spacing w:after="0"/>
              <w:rPr>
                <w:sz w:val="18"/>
                <w:szCs w:val="18"/>
                <w:color w:val="auto"/>
              </w:rPr>
            </w:pPr>
          </w:p>
        </w:tc>
      </w:tr>
      <w:tr>
        <w:trPr>
          <w:trHeight w:val="215"/>
        </w:trPr>
        <w:tc>
          <w:tcPr>
            <w:tcW w:w="550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6,785</w:t>
            </w:r>
          </w:p>
        </w:tc>
        <w:tc>
          <w:tcPr>
            <w:tcW w:w="54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5,005</w:t>
            </w:r>
          </w:p>
        </w:tc>
        <w:tc>
          <w:tcPr>
            <w:tcW w:w="540" w:type="dxa"/>
            <w:vAlign w:val="bottom"/>
            <w:tcBorders>
              <w:bottom w:val="single" w:sz="8" w:color="CFF0FC"/>
            </w:tcBorders>
            <w:shd w:val="clear" w:color="auto" w:fill="CFF0FC"/>
          </w:tcPr>
          <w:p>
            <w:pPr>
              <w:spacing w:after="0"/>
              <w:rPr>
                <w:sz w:val="18"/>
                <w:szCs w:val="18"/>
                <w:color w:val="auto"/>
              </w:rPr>
            </w:pPr>
          </w:p>
        </w:tc>
      </w:tr>
      <w:tr>
        <w:trPr>
          <w:trHeight w:val="227"/>
        </w:trPr>
        <w:tc>
          <w:tcPr>
            <w:tcW w:w="5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19,494</w:t>
            </w: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8,234</w:t>
            </w:r>
          </w:p>
        </w:tc>
        <w:tc>
          <w:tcPr>
            <w:tcW w:w="540" w:type="dxa"/>
            <w:vAlign w:val="bottom"/>
          </w:tcPr>
          <w:p>
            <w:pPr>
              <w:spacing w:after="0"/>
              <w:rPr>
                <w:sz w:val="19"/>
                <w:szCs w:val="19"/>
                <w:color w:val="auto"/>
              </w:rPr>
            </w:pPr>
          </w:p>
        </w:tc>
      </w:tr>
      <w:tr>
        <w:trPr>
          <w:trHeight w:val="196"/>
        </w:trPr>
        <w:tc>
          <w:tcPr>
            <w:tcW w:w="55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15"/>
        </w:trPr>
        <w:tc>
          <w:tcPr>
            <w:tcW w:w="5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operating loss</w:t>
            </w:r>
          </w:p>
        </w:tc>
        <w:tc>
          <w:tcPr>
            <w:tcW w:w="14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(19,494 )</w:t>
            </w:r>
          </w:p>
        </w:tc>
        <w:tc>
          <w:tcPr>
            <w:tcW w:w="88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(8,234 )</w:t>
            </w:r>
          </w:p>
        </w:tc>
      </w:tr>
      <w:tr>
        <w:trPr>
          <w:trHeight w:val="215"/>
        </w:trPr>
        <w:tc>
          <w:tcPr>
            <w:tcW w:w="5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segment items (a)</w:t>
            </w:r>
          </w:p>
        </w:tc>
        <w:tc>
          <w:tcPr>
            <w:tcW w:w="1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5"/>
        </w:trPr>
        <w:tc>
          <w:tcPr>
            <w:tcW w:w="550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Interest income</w:t>
            </w:r>
          </w:p>
        </w:tc>
        <w:tc>
          <w:tcPr>
            <w:tcW w:w="14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5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540" w:type="dxa"/>
            <w:vAlign w:val="bottom"/>
            <w:shd w:val="clear" w:color="auto" w:fill="CFF0FC"/>
          </w:tcPr>
          <w:p>
            <w:pPr>
              <w:spacing w:after="0"/>
              <w:rPr>
                <w:sz w:val="18"/>
                <w:szCs w:val="18"/>
                <w:color w:val="auto"/>
              </w:rPr>
            </w:pPr>
          </w:p>
        </w:tc>
      </w:tr>
      <w:tr>
        <w:trPr>
          <w:trHeight w:val="215"/>
        </w:trPr>
        <w:tc>
          <w:tcPr>
            <w:tcW w:w="55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Interest expense</w:t>
            </w:r>
          </w:p>
        </w:tc>
        <w:tc>
          <w:tcPr>
            <w:tcW w:w="1420" w:type="dxa"/>
            <w:vAlign w:val="bottom"/>
          </w:tcPr>
          <w:p>
            <w:pPr>
              <w:spacing w:after="0"/>
              <w:rPr>
                <w:sz w:val="18"/>
                <w:szCs w:val="18"/>
                <w:color w:val="auto"/>
              </w:rPr>
            </w:pPr>
          </w:p>
        </w:tc>
        <w:tc>
          <w:tcPr>
            <w:tcW w:w="15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(23 )</w:t>
            </w:r>
          </w:p>
        </w:tc>
        <w:tc>
          <w:tcPr>
            <w:tcW w:w="880" w:type="dxa"/>
            <w:vAlign w:val="bottom"/>
          </w:tcPr>
          <w:p>
            <w:pPr>
              <w:spacing w:after="0"/>
              <w:rPr>
                <w:sz w:val="18"/>
                <w:szCs w:val="18"/>
                <w:color w:val="auto"/>
              </w:rPr>
            </w:pPr>
          </w:p>
        </w:tc>
        <w:tc>
          <w:tcPr>
            <w:tcW w:w="19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(24 )</w:t>
            </w:r>
          </w:p>
        </w:tc>
      </w:tr>
      <w:tr>
        <w:trPr>
          <w:trHeight w:val="215"/>
        </w:trPr>
        <w:tc>
          <w:tcPr>
            <w:tcW w:w="550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Other income, net</w:t>
            </w:r>
          </w:p>
        </w:tc>
        <w:tc>
          <w:tcPr>
            <w:tcW w:w="14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540" w:type="dxa"/>
            <w:vAlign w:val="bottom"/>
            <w:tcBorders>
              <w:bottom w:val="single" w:sz="8" w:color="CFF0FC"/>
            </w:tcBorders>
            <w:shd w:val="clear" w:color="auto" w:fill="CFF0FC"/>
          </w:tcPr>
          <w:p>
            <w:pPr>
              <w:spacing w:after="0"/>
              <w:rPr>
                <w:sz w:val="18"/>
                <w:szCs w:val="18"/>
                <w:color w:val="auto"/>
              </w:rPr>
            </w:pPr>
          </w:p>
        </w:tc>
      </w:tr>
      <w:tr>
        <w:trPr>
          <w:trHeight w:val="208"/>
        </w:trPr>
        <w:tc>
          <w:tcPr>
            <w:tcW w:w="5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loss (b)</w:t>
            </w:r>
          </w:p>
        </w:tc>
        <w:tc>
          <w:tcPr>
            <w:tcW w:w="1420" w:type="dxa"/>
            <w:vAlign w:val="bottom"/>
          </w:tcPr>
          <w:p>
            <w:pPr>
              <w:jc w:val="right"/>
              <w:ind w:right="1211"/>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(17,602 )</w:t>
            </w:r>
          </w:p>
        </w:tc>
        <w:tc>
          <w:tcPr>
            <w:tcW w:w="880" w:type="dxa"/>
            <w:vAlign w:val="bottom"/>
          </w:tcPr>
          <w:p>
            <w:pPr>
              <w:jc w:val="right"/>
              <w:ind w:right="691"/>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(7,711 )</w:t>
            </w:r>
          </w:p>
        </w:tc>
      </w:tr>
      <w:tr>
        <w:trPr>
          <w:trHeight w:val="20"/>
        </w:trPr>
        <w:tc>
          <w:tcPr>
            <w:tcW w:w="55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5015865</wp:posOffset>
            </wp:positionH>
            <wp:positionV relativeFrom="paragraph">
              <wp:posOffset>-1132840</wp:posOffset>
            </wp:positionV>
            <wp:extent cx="6794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9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6797040</wp:posOffset>
            </wp:positionH>
            <wp:positionV relativeFrom="paragraph">
              <wp:posOffset>-1132840</wp:posOffset>
            </wp:positionV>
            <wp:extent cx="6794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91">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5015865</wp:posOffset>
            </wp:positionH>
            <wp:positionV relativeFrom="paragraph">
              <wp:posOffset>-169545</wp:posOffset>
            </wp:positionV>
            <wp:extent cx="6794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92">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6797040</wp:posOffset>
            </wp:positionH>
            <wp:positionV relativeFrom="paragraph">
              <wp:posOffset>-169545</wp:posOffset>
            </wp:positionV>
            <wp:extent cx="6794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93">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260" w:hanging="253"/>
        <w:spacing w:after="0"/>
        <w:tabs>
          <w:tab w:leader="none" w:pos="2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included in segment loss includes interest income and interest expense.</w:t>
      </w:r>
    </w:p>
    <w:p>
      <w:pPr>
        <w:spacing w:after="0" w:line="195" w:lineRule="exact"/>
        <w:rPr>
          <w:rFonts w:ascii="Times New Roman" w:cs="Times New Roman" w:eastAsia="Times New Roman" w:hAnsi="Times New Roman"/>
          <w:sz w:val="18"/>
          <w:szCs w:val="18"/>
          <w:color w:val="auto"/>
        </w:rPr>
      </w:pPr>
    </w:p>
    <w:p>
      <w:pPr>
        <w:ind w:right="80" w:firstLine="7"/>
        <w:spacing w:after="0" w:line="279" w:lineRule="auto"/>
        <w:tabs>
          <w:tab w:leader="none" w:pos="26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single operating segment and therefore the measure of segment net loss is the same as consolidated net loss and does not require reconciliation.</w:t>
      </w:r>
    </w:p>
    <w:p>
      <w:pPr>
        <w:spacing w:after="0" w:line="123"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8"/>
          <w:szCs w:val="18"/>
          <w:color w:val="auto"/>
        </w:rPr>
        <w:t>For the year ended December 31, 2024 and 2023, the net cash used in operating activities was $14.8 million and $5.9 million, respectively. The table below summarizes the significant asset categories regularly reviewed by the CODM for the years ended December 31, 2024 and 2023 (in thousands).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9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480" w:type="dxa"/>
            <w:vAlign w:val="bottom"/>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The year ended December 31,</w:t>
            </w:r>
          </w:p>
        </w:tc>
        <w:tc>
          <w:tcPr>
            <w:tcW w:w="1400" w:type="dxa"/>
            <w:vAlign w:val="bottom"/>
            <w:tcBorders>
              <w:bottom w:val="single" w:sz="8" w:color="auto"/>
            </w:tcBorders>
          </w:tcPr>
          <w:p>
            <w:pPr>
              <w:spacing w:after="0"/>
              <w:rPr>
                <w:sz w:val="20"/>
                <w:szCs w:val="20"/>
                <w:color w:val="auto"/>
              </w:rPr>
            </w:pPr>
          </w:p>
        </w:tc>
        <w:tc>
          <w:tcPr>
            <w:tcW w:w="540" w:type="dxa"/>
            <w:vAlign w:val="bottom"/>
          </w:tcPr>
          <w:p>
            <w:pPr>
              <w:spacing w:after="0"/>
              <w:rPr>
                <w:sz w:val="20"/>
                <w:szCs w:val="20"/>
                <w:color w:val="auto"/>
              </w:rPr>
            </w:pPr>
          </w:p>
        </w:tc>
      </w:tr>
      <w:tr>
        <w:trPr>
          <w:trHeight w:val="208"/>
        </w:trPr>
        <w:tc>
          <w:tcPr>
            <w:tcW w:w="548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960" w:type="dxa"/>
            <w:vAlign w:val="bottom"/>
            <w:tcBorders>
              <w:bottom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8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Pr>
          <w:p>
            <w:pPr>
              <w:spacing w:after="0"/>
              <w:rPr>
                <w:sz w:val="18"/>
                <w:szCs w:val="18"/>
                <w:color w:val="auto"/>
              </w:rPr>
            </w:pPr>
          </w:p>
        </w:tc>
      </w:tr>
      <w:tr>
        <w:trPr>
          <w:trHeight w:val="208"/>
        </w:trPr>
        <w:tc>
          <w:tcPr>
            <w:tcW w:w="692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Assets:</w:t>
            </w:r>
          </w:p>
        </w:tc>
        <w:tc>
          <w:tcPr>
            <w:tcW w:w="9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r>
      <w:tr>
        <w:trPr>
          <w:trHeight w:val="233"/>
        </w:trPr>
        <w:tc>
          <w:tcPr>
            <w:tcW w:w="69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94,851</w:t>
            </w: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9,792</w:t>
            </w:r>
          </w:p>
        </w:tc>
        <w:tc>
          <w:tcPr>
            <w:tcW w:w="5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10—SUBSEQUENT EVENTS</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March 4, 2025, the Company entered into a securities purchase agreement with certain accredited investors for the purchase and sale, in a private placement financing by the Company, of (i) 378,346 shares of its common stock, and pre-funded warrants to purchase 3,760,726 shares of common stock at a combined offering price of $6.04 per share of common stock and $6.03 per pre-funded warrant, resulting in gross proceeds of $25.0 million. The pre-funded warrants do not expire and have an exercise price of $0.01.</w:t>
      </w:r>
    </w:p>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Also, on March 5, 2025 and in connection with the March 2025 Offering, the Company entered into a registration rights agreement (the “March 2025 Registration Rights Agreement”) with the purchasers, pursuant to which the Company agreed to register for resale the shares of common stock issued in the March 2025 Offering and the shares of common stock issuable upon exercise of the pre-funded warrants issued in the March 2025 Offering within 45 days of the closing date, and have such registration statement declared effective no later than the earlier of (i) 75 days following the closing date (or 130 days following the closing date, if the U.S. Securities and Exchange Commission (the “SEC”) notifies the Company that it will “review” the registration statement) and (ii) the fifth business day after the date the Company is notified by the SEC that the registration statement will not be reviewed.</w:t>
      </w:r>
    </w:p>
    <w:p>
      <w:pPr>
        <w:spacing w:after="0" w:line="143"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Subsequent to December 31, 2024, the Company received a total of $347 thousand from the exercise of pre-funded warrants for 99,189 shares of common stock and warrants for 71,944 shares of common stock.</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9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10.3.5</w:t>
      </w:r>
    </w:p>
    <w:p>
      <w:pPr>
        <w:spacing w:after="0" w:line="88"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FOURTH AMENDMENT</w:t>
      </w:r>
    </w:p>
    <w:p>
      <w:pPr>
        <w:spacing w:after="0" w:line="102"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TO THE LICENSE AGREEMENT OF SEPTEMBER 20, 2013</w:t>
      </w:r>
    </w:p>
    <w:p>
      <w:pPr>
        <w:spacing w:after="0" w:line="307" w:lineRule="exact"/>
        <w:rPr>
          <w:sz w:val="20"/>
          <w:szCs w:val="20"/>
          <w:color w:val="auto"/>
        </w:rPr>
      </w:pPr>
    </w:p>
    <w:p>
      <w:pPr>
        <w:ind w:right="980"/>
        <w:spacing w:after="0" w:line="299" w:lineRule="auto"/>
        <w:rPr>
          <w:sz w:val="20"/>
          <w:szCs w:val="20"/>
          <w:color w:val="auto"/>
        </w:rPr>
      </w:pPr>
      <w:r>
        <w:rPr>
          <w:rFonts w:ascii="Times New Roman" w:cs="Times New Roman" w:eastAsia="Times New Roman" w:hAnsi="Times New Roman"/>
          <w:sz w:val="18"/>
          <w:szCs w:val="18"/>
          <w:color w:val="auto"/>
        </w:rPr>
        <w:t>This Fourth Amendment to the License Agreement of September 20, 2013 (hereinafter referred to as the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is made and executed as of this </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23"/>
          <w:szCs w:val="23"/>
          <w:b w:val="1"/>
          <w:bCs w:val="1"/>
          <w:color w:val="auto"/>
          <w:vertAlign w:val="superscript"/>
        </w:rPr>
        <w:t>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day of October,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Effective Date of Amendment</w:t>
      </w:r>
      <w:r>
        <w:rPr>
          <w:rFonts w:ascii="Times New Roman" w:cs="Times New Roman" w:eastAsia="Times New Roman" w:hAnsi="Times New Roman"/>
          <w:sz w:val="18"/>
          <w:szCs w:val="18"/>
          <w:color w:val="auto"/>
        </w:rPr>
        <w:t>”) by and between:</w:t>
      </w:r>
    </w:p>
    <w:p>
      <w:pPr>
        <w:spacing w:after="0" w:line="93" w:lineRule="exact"/>
        <w:rPr>
          <w:sz w:val="20"/>
          <w:szCs w:val="20"/>
          <w:color w:val="auto"/>
        </w:rPr>
      </w:pPr>
    </w:p>
    <w:p>
      <w:pPr>
        <w:ind w:right="980"/>
        <w:spacing w:after="0" w:line="284" w:lineRule="auto"/>
        <w:rPr>
          <w:sz w:val="20"/>
          <w:szCs w:val="20"/>
          <w:color w:val="auto"/>
        </w:rPr>
      </w:pPr>
      <w:r>
        <w:rPr>
          <w:rFonts w:ascii="Times New Roman" w:cs="Times New Roman" w:eastAsia="Times New Roman" w:hAnsi="Times New Roman"/>
          <w:sz w:val="18"/>
          <w:szCs w:val="18"/>
          <w:b w:val="1"/>
          <w:bCs w:val="1"/>
          <w:color w:val="auto"/>
        </w:rPr>
        <w:t>Orion Corporation</w:t>
      </w:r>
      <w:r>
        <w:rPr>
          <w:rFonts w:ascii="Times New Roman" w:cs="Times New Roman" w:eastAsia="Times New Roman" w:hAnsi="Times New Roman"/>
          <w:sz w:val="18"/>
          <w:szCs w:val="18"/>
          <w:color w:val="auto"/>
        </w:rPr>
        <w:t>, Business Identity Code 1999212-6, a company registered under the laws of Finland and having its principal office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Orionintie 1, 02200 Espoo, Finland (hereinafter referred to as “</w:t>
      </w:r>
      <w:r>
        <w:rPr>
          <w:rFonts w:ascii="Times New Roman" w:cs="Times New Roman" w:eastAsia="Times New Roman" w:hAnsi="Times New Roman"/>
          <w:sz w:val="18"/>
          <w:szCs w:val="18"/>
          <w:u w:val="single" w:color="auto"/>
          <w:color w:val="auto"/>
        </w:rPr>
        <w:t>Orion</w:t>
      </w:r>
      <w:r>
        <w:rPr>
          <w:rFonts w:ascii="Times New Roman" w:cs="Times New Roman" w:eastAsia="Times New Roman" w:hAnsi="Times New Roman"/>
          <w:sz w:val="18"/>
          <w:szCs w:val="18"/>
          <w:color w:val="auto"/>
        </w:rPr>
        <w:t>”); and</w:t>
      </w:r>
    </w:p>
    <w:p>
      <w:pPr>
        <w:spacing w:after="0" w:line="154" w:lineRule="exact"/>
        <w:rPr>
          <w:sz w:val="20"/>
          <w:szCs w:val="20"/>
          <w:color w:val="auto"/>
        </w:rPr>
      </w:pPr>
    </w:p>
    <w:p>
      <w:pPr>
        <w:ind w:right="1080"/>
        <w:spacing w:after="0" w:line="284" w:lineRule="auto"/>
        <w:rPr>
          <w:sz w:val="20"/>
          <w:szCs w:val="20"/>
          <w:color w:val="auto"/>
        </w:rPr>
      </w:pPr>
      <w:r>
        <w:rPr>
          <w:rFonts w:ascii="Times New Roman" w:cs="Times New Roman" w:eastAsia="Times New Roman" w:hAnsi="Times New Roman"/>
          <w:sz w:val="18"/>
          <w:szCs w:val="18"/>
          <w:b w:val="1"/>
          <w:bCs w:val="1"/>
          <w:color w:val="auto"/>
        </w:rPr>
        <w:t>Tenax Therapeutics, Inc.</w:t>
      </w:r>
      <w:r>
        <w:rPr>
          <w:rFonts w:ascii="Times New Roman" w:cs="Times New Roman" w:eastAsia="Times New Roman" w:hAnsi="Times New Roman"/>
          <w:sz w:val="18"/>
          <w:szCs w:val="18"/>
          <w:color w:val="auto"/>
        </w:rPr>
        <w:t>, EIN number 26-2593535, a company registered under the laws of the State of Delaware, and having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principal office at 101 Glen Lennox Drive, Suite 300, Chapel Hill, NC 27517, USA (hereinafter referred to as “</w:t>
      </w:r>
      <w:r>
        <w:rPr>
          <w:rFonts w:ascii="Times New Roman" w:cs="Times New Roman" w:eastAsia="Times New Roman" w:hAnsi="Times New Roman"/>
          <w:sz w:val="18"/>
          <w:szCs w:val="18"/>
          <w:u w:val="single" w:color="auto"/>
          <w:color w:val="auto"/>
        </w:rPr>
        <w:t>Licensee</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Orion and Licensee are collectively referred to herein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and each individually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w:t>
      </w:r>
    </w:p>
    <w:p>
      <w:pPr>
        <w:spacing w:after="0" w:line="222" w:lineRule="exact"/>
        <w:rPr>
          <w:sz w:val="20"/>
          <w:szCs w:val="20"/>
          <w:color w:val="auto"/>
        </w:rPr>
      </w:pPr>
    </w:p>
    <w:p>
      <w:pPr>
        <w:ind w:left="1180" w:right="960" w:hanging="1178"/>
        <w:spacing w:after="0" w:line="259" w:lineRule="auto"/>
        <w:rPr>
          <w:sz w:val="20"/>
          <w:szCs w:val="20"/>
          <w:color w:val="auto"/>
        </w:rPr>
      </w:pPr>
      <w:r>
        <w:rPr>
          <w:rFonts w:ascii="Times New Roman" w:cs="Times New Roman" w:eastAsia="Times New Roman" w:hAnsi="Times New Roman"/>
          <w:sz w:val="18"/>
          <w:szCs w:val="18"/>
          <w:color w:val="auto"/>
        </w:rPr>
        <w:t>WHEREAS, this Amendment pertains to that certain agreement titled “License Agreement” between the Parties, dated September 20, 2013, as amended October 9, 2020 (the “</w:t>
      </w:r>
      <w:r>
        <w:rPr>
          <w:rFonts w:ascii="Times New Roman" w:cs="Times New Roman" w:eastAsia="Times New Roman" w:hAnsi="Times New Roman"/>
          <w:sz w:val="18"/>
          <w:szCs w:val="18"/>
          <w:u w:val="single" w:color="auto"/>
          <w:color w:val="auto"/>
        </w:rPr>
        <w:t>First Amendment</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jc w:val="both"/>
        <w:ind w:left="1180" w:right="960"/>
        <w:spacing w:after="0" w:line="253" w:lineRule="auto"/>
        <w:rPr>
          <w:sz w:val="20"/>
          <w:szCs w:val="20"/>
          <w:color w:val="auto"/>
        </w:rPr>
      </w:pPr>
      <w:r>
        <w:rPr>
          <w:rFonts w:ascii="Times New Roman" w:cs="Times New Roman" w:eastAsia="Times New Roman" w:hAnsi="Times New Roman"/>
          <w:sz w:val="18"/>
          <w:szCs w:val="18"/>
          <w:color w:val="auto"/>
        </w:rPr>
        <w:t>January 25, 2022 (the “</w:t>
      </w:r>
      <w:r>
        <w:rPr>
          <w:rFonts w:ascii="Times New Roman" w:cs="Times New Roman" w:eastAsia="Times New Roman" w:hAnsi="Times New Roman"/>
          <w:sz w:val="18"/>
          <w:szCs w:val="18"/>
          <w:u w:val="single" w:color="auto"/>
          <w:color w:val="auto"/>
        </w:rPr>
        <w:t>Second Amendment</w:t>
      </w:r>
      <w:r>
        <w:rPr>
          <w:rFonts w:ascii="Times New Roman" w:cs="Times New Roman" w:eastAsia="Times New Roman" w:hAnsi="Times New Roman"/>
          <w:sz w:val="18"/>
          <w:szCs w:val="18"/>
          <w:color w:val="auto"/>
        </w:rPr>
        <w:t>”) and February 19, 2024 (the “</w:t>
      </w:r>
      <w:r>
        <w:rPr>
          <w:rFonts w:ascii="Times New Roman" w:cs="Times New Roman" w:eastAsia="Times New Roman" w:hAnsi="Times New Roman"/>
          <w:sz w:val="18"/>
          <w:szCs w:val="18"/>
          <w:u w:val="single" w:color="auto"/>
          <w:color w:val="auto"/>
        </w:rPr>
        <w:t>Third Amendment</w:t>
      </w:r>
      <w:r>
        <w:rPr>
          <w:rFonts w:ascii="Times New Roman" w:cs="Times New Roman" w:eastAsia="Times New Roman" w:hAnsi="Times New Roman"/>
          <w:sz w:val="18"/>
          <w:szCs w:val="18"/>
          <w:color w:val="auto"/>
        </w:rPr>
        <w:t>”); (the License Agreement, as amended by the First Amendment, Second Amendment, Third Amendment and the present Fourth Amendment, hereinafter referred to as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and</w:t>
      </w:r>
    </w:p>
    <w:p>
      <w:pPr>
        <w:spacing w:after="0" w:line="200" w:lineRule="exact"/>
        <w:rPr>
          <w:sz w:val="20"/>
          <w:szCs w:val="20"/>
          <w:color w:val="auto"/>
        </w:rPr>
      </w:pPr>
    </w:p>
    <w:p>
      <w:pPr>
        <w:spacing w:after="0" w:line="227" w:lineRule="exact"/>
        <w:rPr>
          <w:sz w:val="20"/>
          <w:szCs w:val="20"/>
          <w:color w:val="auto"/>
        </w:rPr>
      </w:pPr>
    </w:p>
    <w:p>
      <w:pPr>
        <w:ind w:right="1160"/>
        <w:spacing w:after="0" w:line="279" w:lineRule="auto"/>
        <w:rPr>
          <w:sz w:val="20"/>
          <w:szCs w:val="20"/>
          <w:color w:val="auto"/>
        </w:rPr>
      </w:pPr>
      <w:r>
        <w:rPr>
          <w:rFonts w:ascii="Times New Roman" w:cs="Times New Roman" w:eastAsia="Times New Roman" w:hAnsi="Times New Roman"/>
          <w:sz w:val="18"/>
          <w:szCs w:val="18"/>
          <w:color w:val="auto"/>
        </w:rPr>
        <w:t>NOW, THEREFORE, the Parties, in consideration of the premises and of the mutual agreement, covenants and conditions hereinafter set forth, hereby agree and convene as follows:</w:t>
      </w:r>
    </w:p>
    <w:p>
      <w:pPr>
        <w:spacing w:after="0" w:line="260" w:lineRule="exact"/>
        <w:rPr>
          <w:sz w:val="20"/>
          <w:szCs w:val="20"/>
          <w:color w:val="auto"/>
        </w:rPr>
      </w:pPr>
    </w:p>
    <w:p>
      <w:pPr>
        <w:ind w:left="760" w:hanging="504"/>
        <w:spacing w:after="0"/>
        <w:tabs>
          <w:tab w:leader="none" w:pos="760" w:val="left"/>
        </w:tabs>
        <w:numPr>
          <w:ilvl w:val="0"/>
          <w:numId w:val="44"/>
        </w:numPr>
        <w:rPr>
          <w:rFonts w:ascii="Calibri" w:cs="Calibri" w:eastAsia="Calibri" w:hAnsi="Calibri"/>
          <w:sz w:val="20"/>
          <w:szCs w:val="20"/>
          <w:color w:val="auto"/>
        </w:rPr>
      </w:pPr>
      <w:r>
        <w:rPr>
          <w:rFonts w:ascii="Times New Roman" w:cs="Times New Roman" w:eastAsia="Times New Roman" w:hAnsi="Times New Roman"/>
          <w:sz w:val="18"/>
          <w:szCs w:val="18"/>
          <w:color w:val="auto"/>
        </w:rPr>
        <w:t>TERMS USED IN THIS AMENDMENT</w:t>
      </w:r>
    </w:p>
    <w:p>
      <w:pPr>
        <w:spacing w:after="0" w:line="324" w:lineRule="exact"/>
        <w:rPr>
          <w:rFonts w:ascii="Calibri" w:cs="Calibri" w:eastAsia="Calibri" w:hAnsi="Calibri"/>
          <w:sz w:val="20"/>
          <w:szCs w:val="20"/>
          <w:color w:val="auto"/>
        </w:rPr>
      </w:pPr>
    </w:p>
    <w:p>
      <w:pPr>
        <w:ind w:left="1280" w:hanging="510"/>
        <w:spacing w:after="0"/>
        <w:rPr>
          <w:rFonts w:ascii="Calibri" w:cs="Calibri" w:eastAsia="Calibri" w:hAnsi="Calibri"/>
          <w:sz w:val="20"/>
          <w:szCs w:val="20"/>
          <w:color w:val="auto"/>
        </w:rPr>
      </w:pPr>
      <w:r>
        <w:rPr>
          <w:rFonts w:ascii="Calibri" w:cs="Calibri" w:eastAsia="Calibri" w:hAnsi="Calibri"/>
          <w:sz w:val="20"/>
          <w:szCs w:val="20"/>
          <w:color w:val="auto"/>
        </w:rPr>
        <w:t xml:space="preserve">1.1. </w:t>
      </w:r>
      <w:r>
        <w:rPr>
          <w:rFonts w:ascii="Times New Roman" w:cs="Times New Roman" w:eastAsia="Times New Roman" w:hAnsi="Times New Roman"/>
          <w:sz w:val="17"/>
          <w:szCs w:val="17"/>
          <w:color w:val="auto"/>
        </w:rPr>
        <w:t>Unless otherwise explicitly agreed herein, all capitalized terms used herein shall have the same meaning as given to them under the</w:t>
      </w:r>
      <w:r>
        <w:rPr>
          <w:rFonts w:ascii="Calibri" w:cs="Calibri" w:eastAsia="Calibri" w:hAnsi="Calibri"/>
          <w:sz w:val="20"/>
          <w:szCs w:val="20"/>
          <w:color w:val="auto"/>
        </w:rPr>
        <w:t xml:space="preserve"> </w:t>
      </w:r>
      <w:r>
        <w:rPr>
          <w:rFonts w:ascii="Times New Roman" w:cs="Times New Roman" w:eastAsia="Times New Roman" w:hAnsi="Times New Roman"/>
          <w:sz w:val="17"/>
          <w:szCs w:val="17"/>
          <w:color w:val="auto"/>
        </w:rPr>
        <w:t>Agreement.</w:t>
      </w:r>
    </w:p>
    <w:p>
      <w:pPr>
        <w:spacing w:after="0" w:line="200" w:lineRule="exact"/>
        <w:rPr>
          <w:rFonts w:ascii="Calibri" w:cs="Calibri" w:eastAsia="Calibri" w:hAnsi="Calibri"/>
          <w:sz w:val="20"/>
          <w:szCs w:val="20"/>
          <w:color w:val="auto"/>
        </w:rPr>
      </w:pPr>
    </w:p>
    <w:p>
      <w:pPr>
        <w:spacing w:after="0" w:line="302" w:lineRule="exact"/>
        <w:rPr>
          <w:rFonts w:ascii="Calibri" w:cs="Calibri" w:eastAsia="Calibri" w:hAnsi="Calibri"/>
          <w:sz w:val="20"/>
          <w:szCs w:val="20"/>
          <w:color w:val="auto"/>
        </w:rPr>
      </w:pPr>
    </w:p>
    <w:p>
      <w:pPr>
        <w:ind w:left="760" w:hanging="504"/>
        <w:spacing w:after="0"/>
        <w:tabs>
          <w:tab w:leader="none" w:pos="760" w:val="left"/>
        </w:tabs>
        <w:numPr>
          <w:ilvl w:val="0"/>
          <w:numId w:val="44"/>
        </w:numPr>
        <w:rPr>
          <w:rFonts w:ascii="Calibri" w:cs="Calibri" w:eastAsia="Calibri" w:hAnsi="Calibri"/>
          <w:sz w:val="20"/>
          <w:szCs w:val="20"/>
          <w:color w:val="auto"/>
        </w:rPr>
      </w:pPr>
      <w:r>
        <w:rPr>
          <w:rFonts w:ascii="Times New Roman" w:cs="Times New Roman" w:eastAsia="Times New Roman" w:hAnsi="Times New Roman"/>
          <w:sz w:val="18"/>
          <w:szCs w:val="18"/>
          <w:color w:val="auto"/>
        </w:rPr>
        <w:t>AMENDMENTS TO THE AGREEMENT</w:t>
      </w:r>
    </w:p>
    <w:p>
      <w:pPr>
        <w:spacing w:after="0" w:line="109" w:lineRule="exact"/>
        <w:rPr>
          <w:rFonts w:ascii="Calibri" w:cs="Calibri" w:eastAsia="Calibri" w:hAnsi="Calibri"/>
          <w:sz w:val="20"/>
          <w:szCs w:val="20"/>
          <w:color w:val="auto"/>
        </w:rPr>
      </w:pPr>
    </w:p>
    <w:p>
      <w:pPr>
        <w:ind w:left="1280" w:hanging="510"/>
        <w:spacing w:after="0" w:line="258" w:lineRule="auto"/>
        <w:rPr>
          <w:rFonts w:ascii="Calibri" w:cs="Calibri" w:eastAsia="Calibri" w:hAnsi="Calibri"/>
          <w:sz w:val="20"/>
          <w:szCs w:val="20"/>
          <w:color w:val="auto"/>
        </w:rPr>
      </w:pPr>
      <w:r>
        <w:rPr>
          <w:rFonts w:ascii="Calibri" w:cs="Calibri" w:eastAsia="Calibri" w:hAnsi="Calibri"/>
          <w:sz w:val="20"/>
          <w:szCs w:val="20"/>
          <w:color w:val="auto"/>
        </w:rPr>
        <w:t xml:space="preserve">2.1. </w:t>
      </w:r>
      <w:r>
        <w:rPr>
          <w:rFonts w:ascii="Times New Roman" w:cs="Times New Roman" w:eastAsia="Times New Roman" w:hAnsi="Times New Roman"/>
          <w:sz w:val="17"/>
          <w:szCs w:val="17"/>
          <w:color w:val="auto"/>
        </w:rPr>
        <w:t>The Parties wish to amend the Agreement with respect to the transfer of Orion’s levosimedan development database. The Parties</w:t>
      </w:r>
      <w:r>
        <w:rPr>
          <w:rFonts w:ascii="Calibri" w:cs="Calibri" w:eastAsia="Calibri" w:hAnsi="Calibri"/>
          <w:sz w:val="20"/>
          <w:szCs w:val="20"/>
          <w:color w:val="auto"/>
        </w:rPr>
        <w:t xml:space="preserve"> </w:t>
      </w:r>
      <w:r>
        <w:rPr>
          <w:rFonts w:ascii="Times New Roman" w:cs="Times New Roman" w:eastAsia="Times New Roman" w:hAnsi="Times New Roman"/>
          <w:sz w:val="17"/>
          <w:szCs w:val="17"/>
          <w:color w:val="auto"/>
        </w:rPr>
        <w:t>acknowledge that any proprietary or confidential information or data so transferred to Licensee by Orion with respect to levosimedan or the development thereof shall be Orion Proprietary Information under the Agreement.</w:t>
      </w:r>
    </w:p>
    <w:p>
      <w:pPr>
        <w:spacing w:after="0" w:line="278" w:lineRule="exact"/>
        <w:rPr>
          <w:rFonts w:ascii="Calibri" w:cs="Calibri" w:eastAsia="Calibri" w:hAnsi="Calibri"/>
          <w:sz w:val="20"/>
          <w:szCs w:val="20"/>
          <w:color w:val="auto"/>
        </w:rPr>
      </w:pPr>
    </w:p>
    <w:p>
      <w:pPr>
        <w:ind w:left="760"/>
        <w:spacing w:after="0"/>
        <w:rPr>
          <w:rFonts w:ascii="Calibri" w:cs="Calibri" w:eastAsia="Calibri" w:hAnsi="Calibri"/>
          <w:sz w:val="20"/>
          <w:szCs w:val="20"/>
          <w:color w:val="auto"/>
        </w:rPr>
      </w:pPr>
      <w:r>
        <w:rPr>
          <w:rFonts w:ascii="Calibri" w:cs="Calibri" w:eastAsia="Calibri" w:hAnsi="Calibri"/>
          <w:sz w:val="20"/>
          <w:szCs w:val="20"/>
          <w:color w:val="auto"/>
        </w:rPr>
        <w:t xml:space="preserve">2.2.   </w:t>
      </w:r>
      <w:r>
        <w:rPr>
          <w:rFonts w:ascii="Times New Roman" w:cs="Times New Roman" w:eastAsia="Times New Roman" w:hAnsi="Times New Roman"/>
          <w:sz w:val="17"/>
          <w:szCs w:val="17"/>
          <w:color w:val="auto"/>
        </w:rPr>
        <w:t>Section 7.7. (“Orion’s Development Data”) of the Agreement shall be supplemented with the following:</w:t>
      </w:r>
    </w:p>
    <w:p>
      <w:pPr>
        <w:spacing w:after="0" w:line="8" w:lineRule="exact"/>
        <w:rPr>
          <w:rFonts w:ascii="Calibri" w:cs="Calibri" w:eastAsia="Calibri" w:hAnsi="Calibri"/>
          <w:sz w:val="20"/>
          <w:szCs w:val="20"/>
          <w:color w:val="auto"/>
        </w:rPr>
      </w:pPr>
    </w:p>
    <w:p>
      <w:pPr>
        <w:jc w:val="both"/>
        <w:ind w:left="880" w:right="980"/>
        <w:spacing w:after="0" w:line="256" w:lineRule="auto"/>
        <w:rPr>
          <w:rFonts w:ascii="Calibri" w:cs="Calibri" w:eastAsia="Calibri" w:hAnsi="Calibri"/>
          <w:sz w:val="20"/>
          <w:szCs w:val="20"/>
          <w:color w:val="auto"/>
        </w:rPr>
      </w:pPr>
      <w:r>
        <w:rPr>
          <w:rFonts w:ascii="Times New Roman" w:cs="Times New Roman" w:eastAsia="Times New Roman" w:hAnsi="Times New Roman"/>
          <w:sz w:val="18"/>
          <w:szCs w:val="18"/>
          <w:color w:val="auto"/>
        </w:rPr>
        <w:t>For the purposes of this section, the definitions shall have following meanings: “Personal Data” are any information which are related to an identified or identifiable natural person disclosed by Orion to Licensee pursuant to this Section 7.7. “Data Controller” means an entity that directs the purposes and means of processing of personal data. “Data Protection Legislation” means the following legislation, only to the extent applicable to the relevant Party independent of the other Party,(a) national laws implementing Directive on Privacy</w:t>
      </w:r>
    </w:p>
    <w:p>
      <w:pPr>
        <w:spacing w:after="0" w:line="39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16510</wp:posOffset>
            </wp:positionV>
            <wp:extent cx="642556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96">
                      <a:extLst>
                        <a:ext uri="{28A0092B-C50C-407E-A947-70E740481C1C}"/>
                      </a:extLst>
                    </a:blip>
                    <a:srcRect/>
                    <a:stretch>
                      <a:fillRect/>
                    </a:stretch>
                  </pic:blipFill>
                  <pic:spPr bwMode="auto">
                    <a:xfrm>
                      <a:off x="0" y="0"/>
                      <a:ext cx="6425565" cy="8255"/>
                    </a:xfrm>
                    <a:prstGeom prst="rect">
                      <a:avLst/>
                    </a:prstGeom>
                    <a:noFill/>
                  </pic:spPr>
                </pic:pic>
              </a:graphicData>
            </a:graphic>
          </wp:anchor>
        </w:drawing>
        <w:drawing>
          <wp:anchor simplePos="0" relativeHeight="251657728" behindDoc="1" locked="0" layoutInCell="0" allowOverlap="1">
            <wp:simplePos x="0" y="0"/>
            <wp:positionH relativeFrom="column">
              <wp:posOffset>-172720</wp:posOffset>
            </wp:positionH>
            <wp:positionV relativeFrom="paragraph">
              <wp:posOffset>762635</wp:posOffset>
            </wp:positionV>
            <wp:extent cx="715835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9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80"/>
          </w:cols>
          <w:pgMar w:left="580" w:top="1406" w:right="339" w:bottom="1440" w:gutter="0" w:footer="0" w:header="0"/>
        </w:sectPr>
      </w:pPr>
    </w:p>
    <w:bookmarkStart w:id="75" w:name="page76"/>
    <w:bookmarkEnd w:id="75"/>
    <w:p>
      <w:pPr>
        <w:jc w:val="both"/>
        <w:ind w:left="624" w:right="560"/>
        <w:spacing w:after="0" w:line="279" w:lineRule="auto"/>
        <w:rPr>
          <w:sz w:val="20"/>
          <w:szCs w:val="20"/>
          <w:color w:val="auto"/>
        </w:rPr>
      </w:pPr>
      <w:r>
        <w:rPr>
          <w:rFonts w:ascii="Times New Roman" w:cs="Times New Roman" w:eastAsia="Times New Roman" w:hAnsi="Times New Roman"/>
          <w:sz w:val="18"/>
          <w:szCs w:val="18"/>
          <w:color w:val="auto"/>
        </w:rPr>
        <w:t>and Electronic Communications (2002/58/EC); (b) the General Data Protection Regulation (2016/679); and (c) any other similar national privacy law within the European Economic Area.</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624" w:right="560"/>
        <w:spacing w:after="0" w:line="259" w:lineRule="auto"/>
        <w:rPr>
          <w:sz w:val="20"/>
          <w:szCs w:val="20"/>
          <w:color w:val="auto"/>
        </w:rPr>
      </w:pPr>
      <w:r>
        <w:rPr>
          <w:rFonts w:ascii="Times New Roman" w:cs="Times New Roman" w:eastAsia="Times New Roman" w:hAnsi="Times New Roman"/>
          <w:sz w:val="18"/>
          <w:szCs w:val="18"/>
          <w:color w:val="auto"/>
        </w:rPr>
        <w:t>The Parties acknowledge and agree that each of them shall process Personal Data and act as an independent Data Controller in each of their own rights with respect to the processing of Personal Data. Each Party, as Data Controller, processes Personal Data it receives from the other Party for its own purposes as a Data Controller. Each Party shall process personal data in accordance with Data Protection Legislation.</w:t>
      </w:r>
    </w:p>
    <w:p>
      <w:pPr>
        <w:spacing w:after="0" w:line="73" w:lineRule="exact"/>
        <w:rPr>
          <w:sz w:val="20"/>
          <w:szCs w:val="20"/>
          <w:color w:val="auto"/>
        </w:rPr>
      </w:pPr>
    </w:p>
    <w:p>
      <w:pPr>
        <w:jc w:val="both"/>
        <w:ind w:left="624" w:right="560"/>
        <w:spacing w:after="0" w:line="259" w:lineRule="auto"/>
        <w:rPr>
          <w:sz w:val="20"/>
          <w:szCs w:val="20"/>
          <w:color w:val="auto"/>
        </w:rPr>
      </w:pPr>
      <w:r>
        <w:rPr>
          <w:rFonts w:ascii="Times New Roman" w:cs="Times New Roman" w:eastAsia="Times New Roman" w:hAnsi="Times New Roman"/>
          <w:sz w:val="18"/>
          <w:szCs w:val="18"/>
          <w:color w:val="auto"/>
        </w:rPr>
        <w:t>Each Party is responsible (i) for providing all notices that Data Protection Legislation requires that Party to provide to individuals, including its employees, officers and representatives where relevant, who are the subject of Personal Data; and (ii) for ensuring that in respect of such personal data, it has a valid legal basis for Personal Data processing to the extent required to do so by Data Protection Legislation.</w:t>
      </w:r>
    </w:p>
    <w:p>
      <w:pPr>
        <w:spacing w:after="0" w:line="73"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The Parties are not joint controllers pursuant to Article 26 GDPR.</w:t>
      </w:r>
    </w:p>
    <w:p>
      <w:pPr>
        <w:spacing w:after="0" w:line="115" w:lineRule="exact"/>
        <w:rPr>
          <w:sz w:val="20"/>
          <w:szCs w:val="20"/>
          <w:color w:val="auto"/>
        </w:rPr>
      </w:pPr>
    </w:p>
    <w:p>
      <w:pPr>
        <w:jc w:val="both"/>
        <w:ind w:left="624" w:right="540"/>
        <w:spacing w:after="0" w:line="256" w:lineRule="auto"/>
        <w:rPr>
          <w:sz w:val="20"/>
          <w:szCs w:val="20"/>
          <w:color w:val="auto"/>
        </w:rPr>
      </w:pPr>
      <w:r>
        <w:rPr>
          <w:rFonts w:ascii="Times New Roman" w:cs="Times New Roman" w:eastAsia="Times New Roman" w:hAnsi="Times New Roman"/>
          <w:sz w:val="18"/>
          <w:szCs w:val="18"/>
          <w:color w:val="auto"/>
        </w:rPr>
        <w:t>To the extent that Orion transfers any Personal Data to Licensee outside of the EU/EEA, excluding, however, such countries, which are deemed by the European Commission to provide adequate protection to data subjects (pursuant to Article 45 of the EU GDPR), the Parties agree that the current approved EU standard contractual clauses for transfers to controllers shall be signed between the parties (“Standard Contractual Clauses (Controller)”) and shall apply in respect of such personal data transfer. The EU Standard Contractual Clauses (Controller) are attached to this Fourth Amendment as Appendix 1.</w:t>
      </w:r>
    </w:p>
    <w:p>
      <w:pPr>
        <w:spacing w:after="0" w:line="77" w:lineRule="exact"/>
        <w:rPr>
          <w:sz w:val="20"/>
          <w:szCs w:val="20"/>
          <w:color w:val="auto"/>
        </w:rPr>
      </w:pPr>
    </w:p>
    <w:p>
      <w:pPr>
        <w:jc w:val="both"/>
        <w:ind w:left="624" w:right="560"/>
        <w:spacing w:after="0" w:line="264" w:lineRule="auto"/>
        <w:rPr>
          <w:sz w:val="20"/>
          <w:szCs w:val="20"/>
          <w:color w:val="auto"/>
        </w:rPr>
      </w:pPr>
      <w:r>
        <w:rPr>
          <w:rFonts w:ascii="Times New Roman" w:cs="Times New Roman" w:eastAsia="Times New Roman" w:hAnsi="Times New Roman"/>
          <w:sz w:val="18"/>
          <w:szCs w:val="18"/>
          <w:color w:val="auto"/>
        </w:rPr>
        <w:t>Each Party shall notify the other Party promptly after discovery of any accidental, unauthorized, or unlawful destruction, loss, alteration, or disclosure of, or access to, the personal data (“Personal Data Breach”), and shall take immediate steps to rectify any Personal Data Breach.</w:t>
      </w:r>
    </w:p>
    <w:p>
      <w:pPr>
        <w:spacing w:after="0" w:line="69" w:lineRule="exact"/>
        <w:rPr>
          <w:sz w:val="20"/>
          <w:szCs w:val="20"/>
          <w:color w:val="auto"/>
        </w:rPr>
      </w:pPr>
    </w:p>
    <w:p>
      <w:pPr>
        <w:jc w:val="both"/>
        <w:ind w:left="624" w:right="560"/>
        <w:spacing w:after="0" w:line="259" w:lineRule="auto"/>
        <w:rPr>
          <w:sz w:val="20"/>
          <w:szCs w:val="20"/>
          <w:color w:val="auto"/>
        </w:rPr>
      </w:pPr>
      <w:r>
        <w:rPr>
          <w:rFonts w:ascii="Times New Roman" w:cs="Times New Roman" w:eastAsia="Times New Roman" w:hAnsi="Times New Roman"/>
          <w:sz w:val="18"/>
          <w:szCs w:val="18"/>
          <w:color w:val="auto"/>
        </w:rPr>
        <w:t>Furthermore both Parties agree to comply with all laws, regulations and official policies which are in effect and which apply to the subject matter of this Agreement. Without limiting the generality of the foregoing, Licensee hereby agrees to materially comply with the premise of the obligations provided in Orion’s general information security requirements, which are attached to this Fourth amendment as Appendix 2.</w:t>
      </w:r>
    </w:p>
    <w:p>
      <w:pPr>
        <w:spacing w:after="0" w:line="200" w:lineRule="exact"/>
        <w:rPr>
          <w:sz w:val="20"/>
          <w:szCs w:val="20"/>
          <w:color w:val="auto"/>
        </w:rPr>
      </w:pPr>
    </w:p>
    <w:p>
      <w:pPr>
        <w:spacing w:after="0" w:line="305" w:lineRule="exact"/>
        <w:rPr>
          <w:sz w:val="20"/>
          <w:szCs w:val="20"/>
          <w:color w:val="auto"/>
        </w:rPr>
      </w:pPr>
    </w:p>
    <w:p>
      <w:pPr>
        <w:ind w:left="504" w:hanging="504"/>
        <w:spacing w:after="0"/>
        <w:tabs>
          <w:tab w:leader="none" w:pos="504" w:val="left"/>
        </w:tabs>
        <w:numPr>
          <w:ilvl w:val="0"/>
          <w:numId w:val="45"/>
        </w:numPr>
        <w:rPr>
          <w:rFonts w:ascii="Calibri" w:cs="Calibri" w:eastAsia="Calibri" w:hAnsi="Calibri"/>
          <w:sz w:val="20"/>
          <w:szCs w:val="20"/>
          <w:color w:val="auto"/>
        </w:rPr>
      </w:pPr>
      <w:r>
        <w:rPr>
          <w:rFonts w:ascii="Times New Roman" w:cs="Times New Roman" w:eastAsia="Times New Roman" w:hAnsi="Times New Roman"/>
          <w:sz w:val="18"/>
          <w:szCs w:val="18"/>
          <w:color w:val="auto"/>
        </w:rPr>
        <w:t>EFFECTIVE DATE</w:t>
      </w:r>
    </w:p>
    <w:p>
      <w:pPr>
        <w:spacing w:after="0" w:line="319" w:lineRule="exact"/>
        <w:rPr>
          <w:rFonts w:ascii="Calibri" w:cs="Calibri" w:eastAsia="Calibri" w:hAnsi="Calibri"/>
          <w:sz w:val="20"/>
          <w:szCs w:val="20"/>
          <w:color w:val="auto"/>
        </w:rPr>
      </w:pPr>
    </w:p>
    <w:p>
      <w:pPr>
        <w:ind w:left="504"/>
        <w:spacing w:after="0"/>
        <w:rPr>
          <w:rFonts w:ascii="Calibri" w:cs="Calibri" w:eastAsia="Calibri" w:hAnsi="Calibri"/>
          <w:sz w:val="20"/>
          <w:szCs w:val="20"/>
          <w:color w:val="auto"/>
        </w:rPr>
      </w:pPr>
      <w:r>
        <w:rPr>
          <w:rFonts w:ascii="Calibri" w:cs="Calibri" w:eastAsia="Calibri" w:hAnsi="Calibri"/>
          <w:sz w:val="20"/>
          <w:szCs w:val="20"/>
          <w:color w:val="auto"/>
        </w:rPr>
        <w:t xml:space="preserve">3.1.   </w:t>
      </w:r>
      <w:r>
        <w:rPr>
          <w:rFonts w:ascii="Times New Roman" w:cs="Times New Roman" w:eastAsia="Times New Roman" w:hAnsi="Times New Roman"/>
          <w:sz w:val="17"/>
          <w:szCs w:val="17"/>
          <w:color w:val="auto"/>
        </w:rPr>
        <w:t>The amendments to the Agreement agreed upon herein shall become effective as of the Effective Date of Amendment.</w:t>
      </w:r>
    </w:p>
    <w:p>
      <w:pPr>
        <w:spacing w:after="0" w:line="104" w:lineRule="exact"/>
        <w:rPr>
          <w:rFonts w:ascii="Calibri" w:cs="Calibri" w:eastAsia="Calibri" w:hAnsi="Calibri"/>
          <w:sz w:val="20"/>
          <w:szCs w:val="20"/>
          <w:color w:val="auto"/>
        </w:rPr>
      </w:pPr>
    </w:p>
    <w:p>
      <w:pPr>
        <w:ind w:left="504" w:hanging="504"/>
        <w:spacing w:after="0"/>
        <w:tabs>
          <w:tab w:leader="none" w:pos="504" w:val="left"/>
        </w:tabs>
        <w:numPr>
          <w:ilvl w:val="0"/>
          <w:numId w:val="45"/>
        </w:numPr>
        <w:rPr>
          <w:rFonts w:ascii="Calibri" w:cs="Calibri" w:eastAsia="Calibri" w:hAnsi="Calibri"/>
          <w:sz w:val="20"/>
          <w:szCs w:val="20"/>
          <w:color w:val="auto"/>
        </w:rPr>
      </w:pPr>
      <w:r>
        <w:rPr>
          <w:rFonts w:ascii="Times New Roman" w:cs="Times New Roman" w:eastAsia="Times New Roman" w:hAnsi="Times New Roman"/>
          <w:sz w:val="18"/>
          <w:szCs w:val="18"/>
          <w:color w:val="auto"/>
        </w:rPr>
        <w:t>OTHER PROVISIONS</w:t>
      </w:r>
    </w:p>
    <w:p>
      <w:pPr>
        <w:spacing w:after="0" w:line="324" w:lineRule="exact"/>
        <w:rPr>
          <w:rFonts w:ascii="Calibri" w:cs="Calibri" w:eastAsia="Calibri" w:hAnsi="Calibri"/>
          <w:sz w:val="20"/>
          <w:szCs w:val="20"/>
          <w:color w:val="auto"/>
        </w:rPr>
      </w:pPr>
    </w:p>
    <w:p>
      <w:pPr>
        <w:ind w:left="1024" w:right="80" w:hanging="510"/>
        <w:spacing w:after="0" w:line="223" w:lineRule="auto"/>
        <w:rPr>
          <w:rFonts w:ascii="Calibri" w:cs="Calibri" w:eastAsia="Calibri" w:hAnsi="Calibri"/>
          <w:sz w:val="20"/>
          <w:szCs w:val="20"/>
          <w:color w:val="auto"/>
        </w:rPr>
      </w:pPr>
      <w:r>
        <w:rPr>
          <w:rFonts w:ascii="Calibri" w:cs="Calibri" w:eastAsia="Calibri" w:hAnsi="Calibri"/>
          <w:sz w:val="20"/>
          <w:szCs w:val="20"/>
          <w:color w:val="auto"/>
        </w:rPr>
        <w:t xml:space="preserve">4.1. </w:t>
      </w:r>
      <w:r>
        <w:rPr>
          <w:rFonts w:ascii="Times New Roman" w:cs="Times New Roman" w:eastAsia="Times New Roman" w:hAnsi="Times New Roman"/>
          <w:sz w:val="17"/>
          <w:szCs w:val="17"/>
          <w:color w:val="auto"/>
        </w:rPr>
        <w:t>For the avoidance of doubt it is stated that except for what has been stipulated herein above, all other terms and conditions of the</w:t>
      </w:r>
      <w:r>
        <w:rPr>
          <w:rFonts w:ascii="Calibri" w:cs="Calibri" w:eastAsia="Calibri" w:hAnsi="Calibri"/>
          <w:sz w:val="20"/>
          <w:szCs w:val="20"/>
          <w:color w:val="auto"/>
        </w:rPr>
        <w:t xml:space="preserve"> </w:t>
      </w:r>
      <w:r>
        <w:rPr>
          <w:rFonts w:ascii="Times New Roman" w:cs="Times New Roman" w:eastAsia="Times New Roman" w:hAnsi="Times New Roman"/>
          <w:sz w:val="17"/>
          <w:szCs w:val="17"/>
          <w:color w:val="auto"/>
        </w:rPr>
        <w:t>Agreement will remain unchanged.</w:t>
      </w:r>
    </w:p>
    <w:p>
      <w:pPr>
        <w:spacing w:after="0" w:line="293" w:lineRule="exact"/>
        <w:rPr>
          <w:rFonts w:ascii="Calibri" w:cs="Calibri" w:eastAsia="Calibri" w:hAnsi="Calibri"/>
          <w:sz w:val="20"/>
          <w:szCs w:val="20"/>
          <w:color w:val="auto"/>
        </w:rPr>
      </w:pPr>
    </w:p>
    <w:p>
      <w:pPr>
        <w:ind w:left="504"/>
        <w:spacing w:after="0"/>
        <w:rPr>
          <w:rFonts w:ascii="Calibri" w:cs="Calibri" w:eastAsia="Calibri" w:hAnsi="Calibri"/>
          <w:sz w:val="20"/>
          <w:szCs w:val="20"/>
          <w:color w:val="auto"/>
        </w:rPr>
      </w:pPr>
      <w:r>
        <w:rPr>
          <w:rFonts w:ascii="Calibri" w:cs="Calibri" w:eastAsia="Calibri" w:hAnsi="Calibri"/>
          <w:sz w:val="20"/>
          <w:szCs w:val="20"/>
          <w:color w:val="auto"/>
        </w:rPr>
        <w:t xml:space="preserve">4.2.   </w:t>
      </w:r>
      <w:r>
        <w:rPr>
          <w:rFonts w:ascii="Times New Roman" w:cs="Times New Roman" w:eastAsia="Times New Roman" w:hAnsi="Times New Roman"/>
          <w:sz w:val="17"/>
          <w:szCs w:val="17"/>
          <w:color w:val="auto"/>
        </w:rPr>
        <w:t>The terms and conditions of the Agreement with regard to the choice of law and dispute resolution will apply to this Amendment.</w:t>
      </w:r>
    </w:p>
    <w:p>
      <w:pPr>
        <w:spacing w:after="0" w:line="220" w:lineRule="exact"/>
        <w:rPr>
          <w:rFonts w:ascii="Calibri" w:cs="Calibri" w:eastAsia="Calibri" w:hAnsi="Calibri"/>
          <w:sz w:val="20"/>
          <w:szCs w:val="20"/>
          <w:color w:val="auto"/>
        </w:rPr>
      </w:pPr>
    </w:p>
    <w:p>
      <w:pPr>
        <w:ind w:left="1944"/>
        <w:spacing w:after="0"/>
        <w:rPr>
          <w:rFonts w:ascii="Calibri" w:cs="Calibri" w:eastAsia="Calibri" w:hAnsi="Calibri"/>
          <w:sz w:val="20"/>
          <w:szCs w:val="20"/>
          <w:color w:val="auto"/>
        </w:rPr>
      </w:pPr>
      <w:r>
        <w:rPr>
          <w:rFonts w:ascii="Times New Roman" w:cs="Times New Roman" w:eastAsia="Times New Roman" w:hAnsi="Times New Roman"/>
          <w:sz w:val="18"/>
          <w:szCs w:val="18"/>
          <w:i w:val="1"/>
          <w:iCs w:val="1"/>
          <w:color w:val="auto"/>
        </w:rPr>
        <w:t>***Balance of page left blank. Signature page follows.***</w:t>
      </w:r>
    </w:p>
    <w:p>
      <w:pPr>
        <w:spacing w:after="0" w:line="200" w:lineRule="exact"/>
        <w:rPr>
          <w:sz w:val="20"/>
          <w:szCs w:val="20"/>
          <w:color w:val="auto"/>
        </w:rPr>
      </w:pPr>
    </w:p>
    <w:p>
      <w:pPr>
        <w:spacing w:after="0" w:line="239" w:lineRule="exact"/>
        <w:rPr>
          <w:sz w:val="20"/>
          <w:szCs w:val="20"/>
          <w:color w:val="auto"/>
        </w:rPr>
      </w:pPr>
    </w:p>
    <w:p>
      <w:pPr>
        <w:jc w:val="center"/>
        <w:ind w:right="76"/>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16510</wp:posOffset>
            </wp:positionV>
            <wp:extent cx="642556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98">
                      <a:extLst>
                        <a:ext uri="{28A0092B-C50C-407E-A947-70E740481C1C}"/>
                      </a:extLst>
                    </a:blip>
                    <a:srcRect/>
                    <a:stretch>
                      <a:fillRect/>
                    </a:stretch>
                  </pic:blipFill>
                  <pic:spPr bwMode="auto">
                    <a:xfrm>
                      <a:off x="0" y="0"/>
                      <a:ext cx="6425565" cy="8255"/>
                    </a:xfrm>
                    <a:prstGeom prst="rect">
                      <a:avLst/>
                    </a:prstGeom>
                    <a:noFill/>
                  </pic:spPr>
                </pic:pic>
              </a:graphicData>
            </a:graphic>
          </wp:anchor>
        </w:drawing>
        <w:drawing>
          <wp:anchor simplePos="0" relativeHeight="251657728" behindDoc="1" locked="0" layoutInCell="0" allowOverlap="1">
            <wp:simplePos x="0" y="0"/>
            <wp:positionH relativeFrom="column">
              <wp:posOffset>-334645</wp:posOffset>
            </wp:positionH>
            <wp:positionV relativeFrom="paragraph">
              <wp:posOffset>762635</wp:posOffset>
            </wp:positionV>
            <wp:extent cx="715835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9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304"/>
          </w:cols>
          <w:pgMar w:left="836" w:top="1410" w:right="759" w:bottom="1440" w:gutter="0" w:footer="0" w:header="0"/>
        </w:sectPr>
      </w:pPr>
    </w:p>
    <w:bookmarkStart w:id="76" w:name="page77"/>
    <w:bookmarkEnd w:id="76"/>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Parties, through their authorized representatives, have executed two (2) identical counterparts of this Amendment.</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Orion Corporation</w:t>
            </w:r>
          </w:p>
        </w:tc>
        <w:tc>
          <w:tcPr>
            <w:tcW w:w="39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36"/>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By: /s/ Olavi Kilkku</w:t>
            </w:r>
          </w:p>
        </w:tc>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By: /s/ Heikki Mansikka</w:t>
            </w:r>
          </w:p>
        </w:tc>
        <w:tc>
          <w:tcPr>
            <w:tcW w:w="1120" w:type="dxa"/>
            <w:vAlign w:val="bottom"/>
          </w:tcPr>
          <w:p>
            <w:pPr>
              <w:spacing w:after="0"/>
              <w:rPr>
                <w:sz w:val="24"/>
                <w:szCs w:val="24"/>
                <w:color w:val="auto"/>
              </w:rPr>
            </w:pPr>
          </w:p>
        </w:tc>
      </w:tr>
      <w:tr>
        <w:trPr>
          <w:trHeight w:val="196"/>
        </w:trPr>
        <w:tc>
          <w:tcPr>
            <w:tcW w:w="396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Name: Olavi Kilkku</w:t>
            </w:r>
          </w:p>
        </w:tc>
        <w:tc>
          <w:tcPr>
            <w:tcW w:w="1120" w:type="dxa"/>
            <w:vAlign w:val="bottom"/>
          </w:tcPr>
          <w:p>
            <w:pPr>
              <w:spacing w:after="0"/>
              <w:rPr>
                <w:sz w:val="17"/>
                <w:szCs w:val="17"/>
                <w:color w:val="auto"/>
              </w:rPr>
            </w:pPr>
          </w:p>
        </w:tc>
        <w:tc>
          <w:tcPr>
            <w:tcW w:w="394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Name: Heikki Mansikka</w:t>
            </w: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3"/>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Title: Director, R&amp;D</w:t>
            </w:r>
          </w:p>
        </w:tc>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Title: VP, R&amp;D</w:t>
            </w:r>
          </w:p>
        </w:tc>
        <w:tc>
          <w:tcPr>
            <w:tcW w:w="1120" w:type="dxa"/>
            <w:vAlign w:val="bottom"/>
          </w:tcPr>
          <w:p>
            <w:pPr>
              <w:spacing w:after="0"/>
              <w:rPr>
                <w:sz w:val="20"/>
                <w:szCs w:val="20"/>
                <w:color w:val="auto"/>
              </w:rPr>
            </w:pPr>
          </w:p>
        </w:tc>
      </w:tr>
      <w:tr>
        <w:trPr>
          <w:trHeight w:val="429"/>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Tenax Therapeutics, Inc.</w:t>
            </w:r>
          </w:p>
        </w:tc>
        <w:tc>
          <w:tcPr>
            <w:tcW w:w="3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36"/>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By: /s/ Chris Giordano</w:t>
            </w:r>
          </w:p>
        </w:tc>
        <w:tc>
          <w:tcPr>
            <w:tcW w:w="3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96"/>
        </w:trPr>
        <w:tc>
          <w:tcPr>
            <w:tcW w:w="396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Name: Chris Giordano</w:t>
            </w:r>
          </w:p>
        </w:tc>
        <w:tc>
          <w:tcPr>
            <w:tcW w:w="11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3"/>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Title: President &amp; CEO</w:t>
            </w:r>
          </w:p>
        </w:tc>
        <w:tc>
          <w:tcPr>
            <w:tcW w:w="39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840"/>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Appendix 1 STANDARD CONTRACTUAL CLAUSES</w:t>
            </w:r>
          </w:p>
        </w:tc>
        <w:tc>
          <w:tcPr>
            <w:tcW w:w="3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3"/>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Appendix 2 Orion’s general information security requirements</w:t>
            </w:r>
          </w:p>
        </w:tc>
        <w:tc>
          <w:tcPr>
            <w:tcW w:w="39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966"/>
        </w:trPr>
        <w:tc>
          <w:tcPr>
            <w:tcW w:w="39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jc w:val="right"/>
              <w:ind w:right="3251"/>
              <w:spacing w:after="0"/>
              <w:rPr>
                <w:sz w:val="20"/>
                <w:szCs w:val="20"/>
                <w:color w:val="auto"/>
              </w:rPr>
            </w:pPr>
            <w:r>
              <w:rPr>
                <w:rFonts w:ascii="Times New Roman" w:cs="Times New Roman" w:eastAsia="Times New Roman" w:hAnsi="Times New Roman"/>
                <w:sz w:val="18"/>
                <w:szCs w:val="18"/>
                <w:color w:val="auto"/>
              </w:rPr>
              <w:t>3</w:t>
            </w:r>
          </w:p>
        </w:tc>
        <w:tc>
          <w:tcPr>
            <w:tcW w:w="1100" w:type="dxa"/>
            <w:vAlign w:val="bottom"/>
            <w:tcBorders>
              <w:bottom w:val="single" w:sz="8" w:color="auto"/>
            </w:tcBorders>
          </w:tcPr>
          <w:p>
            <w:pPr>
              <w:spacing w:after="0"/>
              <w:rPr>
                <w:sz w:val="24"/>
                <w:szCs w:val="24"/>
                <w:color w:val="auto"/>
              </w:rPr>
            </w:pPr>
          </w:p>
        </w:tc>
        <w:tc>
          <w:tcPr>
            <w:tcW w:w="1120" w:type="dxa"/>
            <w:vAlign w:val="bottom"/>
          </w:tcPr>
          <w:p>
            <w:pPr>
              <w:spacing w:after="0"/>
              <w:rPr>
                <w:sz w:val="24"/>
                <w:szCs w:val="24"/>
                <w:color w:val="auto"/>
              </w:rPr>
            </w:pPr>
          </w:p>
        </w:tc>
      </w:tr>
      <w:tr>
        <w:trPr>
          <w:trHeight w:val="1181"/>
        </w:trPr>
        <w:tc>
          <w:tcPr>
            <w:tcW w:w="39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0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10.26</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TENAX THERAPEUTICS, INC.</w:t>
      </w:r>
    </w:p>
    <w:p>
      <w:pPr>
        <w:spacing w:after="0" w:line="2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NOTICE OF INDUCEMENT STOCK OPTION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267335</wp:posOffset>
            </wp:positionV>
            <wp:extent cx="90868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02">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403225</wp:posOffset>
            </wp:positionV>
            <wp:extent cx="90868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03">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539750</wp:posOffset>
            </wp:positionV>
            <wp:extent cx="90868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04">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(Grantee name and address)</w:t>
      </w:r>
    </w:p>
    <w:p>
      <w:pPr>
        <w:spacing w:after="0" w:line="242" w:lineRule="exact"/>
        <w:rPr>
          <w:sz w:val="20"/>
          <w:szCs w:val="20"/>
          <w:color w:val="auto"/>
        </w:rPr>
      </w:pPr>
    </w:p>
    <w:p>
      <w:pPr>
        <w:ind w:right="340" w:firstLine="358"/>
        <w:spacing w:after="0" w:line="277" w:lineRule="auto"/>
        <w:rPr>
          <w:sz w:val="20"/>
          <w:szCs w:val="20"/>
          <w:color w:val="auto"/>
        </w:rPr>
      </w:pPr>
      <w:r>
        <w:rPr>
          <w:rFonts w:ascii="Times New Roman" w:cs="Times New Roman" w:eastAsia="Times New Roman" w:hAnsi="Times New Roman"/>
          <w:sz w:val="21"/>
          <w:szCs w:val="21"/>
          <w:color w:val="auto"/>
        </w:rPr>
        <w:t>You have been granted an option (the “</w:t>
      </w:r>
      <w:r>
        <w:rPr>
          <w:rFonts w:ascii="Times New Roman" w:cs="Times New Roman" w:eastAsia="Times New Roman" w:hAnsi="Times New Roman"/>
          <w:sz w:val="21"/>
          <w:szCs w:val="21"/>
          <w:u w:val="single" w:color="auto"/>
          <w:color w:val="auto"/>
        </w:rPr>
        <w:t>Option</w:t>
      </w:r>
      <w:r>
        <w:rPr>
          <w:rFonts w:ascii="Times New Roman" w:cs="Times New Roman" w:eastAsia="Times New Roman" w:hAnsi="Times New Roman"/>
          <w:sz w:val="21"/>
          <w:szCs w:val="21"/>
          <w:color w:val="auto"/>
        </w:rPr>
        <w:t>”) to purchase shares of the Common Stock of Tenax Therapeutics, Inc.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as described below, subject to the terms of the attached Inducement Stock Option Award Agreement.</w:t>
      </w:r>
    </w:p>
    <w:p>
      <w:pPr>
        <w:spacing w:after="0" w:line="167" w:lineRule="exact"/>
        <w:rPr>
          <w:sz w:val="20"/>
          <w:szCs w:val="20"/>
          <w:color w:val="auto"/>
        </w:rPr>
      </w:pPr>
    </w:p>
    <w:p>
      <w:pPr>
        <w:ind w:right="80" w:firstLine="358"/>
        <w:spacing w:after="0" w:line="247" w:lineRule="auto"/>
        <w:rPr>
          <w:sz w:val="20"/>
          <w:szCs w:val="20"/>
          <w:color w:val="auto"/>
        </w:rPr>
      </w:pPr>
      <w:r>
        <w:rPr>
          <w:rFonts w:ascii="Times New Roman" w:cs="Times New Roman" w:eastAsia="Times New Roman" w:hAnsi="Times New Roman"/>
          <w:sz w:val="21"/>
          <w:szCs w:val="21"/>
          <w:color w:val="auto"/>
        </w:rPr>
        <w:t>This Option is an employment inducement grant made pursuant to Nasdaq Listing Rule 5635(c)(4). Accordingly, this Option has been granted outside of the Company’s 2022 Stock Incentive Plan, as amended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and any other equity plan established by the Company. However, this Option will be administered and interpreted as if issued under the Plan, a copy of which has been provided to the Grantee and which is incorporated herein in its entirety. Capitalized terms not explicitly defined herein but defined in the Plan or the Inducement Stock Option Agreement will have the same definitions as in the Plan or the Inducement Stock Option Award Agreement.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1821815</wp:posOffset>
            </wp:positionH>
            <wp:positionV relativeFrom="paragraph">
              <wp:posOffset>-7620</wp:posOffset>
            </wp:positionV>
            <wp:extent cx="45402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05">
                      <a:extLst>
                        <a:ext uri="{28A0092B-C50C-407E-A947-70E740481C1C}"/>
                      </a:extLst>
                    </a:blip>
                    <a:srcRect/>
                    <a:stretch>
                      <a:fillRect/>
                    </a:stretch>
                  </pic:blipFill>
                  <pic:spPr bwMode="auto">
                    <a:xfrm>
                      <a:off x="0" y="0"/>
                      <a:ext cx="454025" cy="825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2049145</wp:posOffset>
            </wp:positionH>
            <wp:positionV relativeFrom="paragraph">
              <wp:posOffset>-7620</wp:posOffset>
            </wp:positionV>
            <wp:extent cx="4540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06">
                      <a:extLst>
                        <a:ext uri="{28A0092B-C50C-407E-A947-70E740481C1C}"/>
                      </a:extLst>
                    </a:blip>
                    <a:srcRect/>
                    <a:stretch>
                      <a:fillRect/>
                    </a:stretch>
                  </pic:blipFill>
                  <pic:spPr bwMode="auto">
                    <a:xfrm>
                      <a:off x="0" y="0"/>
                      <a:ext cx="454025" cy="825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2049145</wp:posOffset>
            </wp:positionH>
            <wp:positionV relativeFrom="paragraph">
              <wp:posOffset>-7620</wp:posOffset>
            </wp:positionV>
            <wp:extent cx="4540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07">
                      <a:extLst>
                        <a:ext uri="{28A0092B-C50C-407E-A947-70E740481C1C}"/>
                      </a:extLst>
                    </a:blip>
                    <a:srcRect/>
                    <a:stretch>
                      <a:fillRect/>
                    </a:stretch>
                  </pic:blipFill>
                  <pic:spPr bwMode="auto">
                    <a:xfrm>
                      <a:off x="0" y="0"/>
                      <a:ext cx="454025" cy="825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Total Number of Shares Subject to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2503170</wp:posOffset>
            </wp:positionH>
            <wp:positionV relativeFrom="paragraph">
              <wp:posOffset>-7620</wp:posOffset>
            </wp:positionV>
            <wp:extent cx="4540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08">
                      <a:extLst>
                        <a:ext uri="{28A0092B-C50C-407E-A947-70E740481C1C}"/>
                      </a:extLst>
                    </a:blip>
                    <a:srcRect/>
                    <a:stretch>
                      <a:fillRect/>
                    </a:stretch>
                  </pic:blipFill>
                  <pic:spPr bwMode="auto">
                    <a:xfrm>
                      <a:off x="0" y="0"/>
                      <a:ext cx="454025" cy="8255"/>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40" w:type="dxa"/>
            <w:vAlign w:val="bottom"/>
          </w:tcPr>
          <w:p>
            <w:pPr>
              <w:spacing w:after="0"/>
              <w:rPr>
                <w:sz w:val="20"/>
                <w:szCs w:val="20"/>
                <w:color w:val="auto"/>
              </w:rPr>
            </w:pPr>
            <w:r>
              <w:rPr>
                <w:rFonts w:ascii="Times New Roman" w:cs="Times New Roman" w:eastAsia="Times New Roman" w:hAnsi="Times New Roman"/>
                <w:sz w:val="21"/>
                <w:szCs w:val="21"/>
                <w:color w:val="auto"/>
              </w:rPr>
              <w:t>Total Exercise Price:</w:t>
            </w: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7300" w:type="dxa"/>
            <w:vAlign w:val="bottom"/>
          </w:tcPr>
          <w:p>
            <w:pPr>
              <w:spacing w:after="0"/>
              <w:rPr>
                <w:sz w:val="20"/>
                <w:szCs w:val="20"/>
                <w:color w:val="auto"/>
              </w:rPr>
            </w:pPr>
          </w:p>
        </w:tc>
      </w:tr>
      <w:tr>
        <w:trPr>
          <w:trHeight w:val="463"/>
        </w:trPr>
        <w:tc>
          <w:tcPr>
            <w:tcW w:w="2240" w:type="dxa"/>
            <w:vAlign w:val="bottom"/>
          </w:tcPr>
          <w:p>
            <w:pPr>
              <w:spacing w:after="0"/>
              <w:rPr>
                <w:sz w:val="20"/>
                <w:szCs w:val="20"/>
                <w:color w:val="auto"/>
              </w:rPr>
            </w:pPr>
            <w:r>
              <w:rPr>
                <w:rFonts w:ascii="Times New Roman" w:cs="Times New Roman" w:eastAsia="Times New Roman" w:hAnsi="Times New Roman"/>
                <w:sz w:val="21"/>
                <w:szCs w:val="21"/>
                <w:color w:val="auto"/>
              </w:rPr>
              <w:t>Type of Option:</w:t>
            </w:r>
          </w:p>
        </w:tc>
        <w:tc>
          <w:tcPr>
            <w:tcW w:w="28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300" w:type="dxa"/>
            <w:vAlign w:val="bottom"/>
          </w:tcPr>
          <w:p>
            <w:pPr>
              <w:spacing w:after="0"/>
              <w:rPr>
                <w:sz w:val="24"/>
                <w:szCs w:val="24"/>
                <w:color w:val="auto"/>
              </w:rPr>
            </w:pPr>
          </w:p>
        </w:tc>
      </w:tr>
      <w:tr>
        <w:trPr>
          <w:trHeight w:val="463"/>
        </w:trPr>
        <w:tc>
          <w:tcPr>
            <w:tcW w:w="2240" w:type="dxa"/>
            <w:vAlign w:val="bottom"/>
          </w:tcPr>
          <w:p>
            <w:pPr>
              <w:spacing w:after="0"/>
              <w:rPr>
                <w:sz w:val="20"/>
                <w:szCs w:val="20"/>
                <w:color w:val="auto"/>
              </w:rPr>
            </w:pPr>
            <w:r>
              <w:rPr>
                <w:rFonts w:ascii="Times New Roman" w:cs="Times New Roman" w:eastAsia="Times New Roman" w:hAnsi="Times New Roman"/>
                <w:sz w:val="21"/>
                <w:szCs w:val="21"/>
                <w:color w:val="auto"/>
              </w:rPr>
              <w:t>Term/Expiration Date:</w:t>
            </w:r>
          </w:p>
        </w:tc>
        <w:tc>
          <w:tcPr>
            <w:tcW w:w="9000" w:type="dxa"/>
            <w:vAlign w:val="bottom"/>
            <w:gridSpan w:val="6"/>
          </w:tcPr>
          <w:p>
            <w:pPr>
              <w:ind w:left="280"/>
              <w:spacing w:after="0"/>
              <w:rPr>
                <w:sz w:val="20"/>
                <w:szCs w:val="20"/>
                <w:color w:val="auto"/>
              </w:rPr>
            </w:pPr>
            <w:r>
              <w:rPr>
                <w:rFonts w:ascii="Times New Roman" w:cs="Times New Roman" w:eastAsia="Times New Roman" w:hAnsi="Times New Roman"/>
                <w:sz w:val="21"/>
                <w:szCs w:val="21"/>
                <w:color w:val="auto"/>
              </w:rPr>
              <w:t>10 Years/</w:t>
            </w:r>
          </w:p>
        </w:tc>
      </w:tr>
      <w:tr>
        <w:trPr>
          <w:trHeight w:val="20"/>
        </w:trPr>
        <w:tc>
          <w:tcPr>
            <w:tcW w:w="2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r>
      <w:tr>
        <w:trPr>
          <w:trHeight w:val="476"/>
        </w:trPr>
        <w:tc>
          <w:tcPr>
            <w:tcW w:w="224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Vesting Schedule:</w:t>
            </w: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900" w:type="dxa"/>
            <w:vAlign w:val="bottom"/>
            <w:gridSpan w:val="2"/>
          </w:tcPr>
          <w:p>
            <w:pPr>
              <w:ind w:left="140"/>
              <w:spacing w:after="0"/>
              <w:rPr>
                <w:sz w:val="20"/>
                <w:szCs w:val="20"/>
                <w:color w:val="auto"/>
              </w:rPr>
            </w:pPr>
            <w:r>
              <w:rPr>
                <w:rFonts w:ascii="Times New Roman" w:cs="Times New Roman" w:eastAsia="Times New Roman" w:hAnsi="Times New Roman"/>
                <w:sz w:val="21"/>
                <w:szCs w:val="21"/>
                <w:color w:val="auto"/>
              </w:rPr>
              <w:t>Subject to the Inducement Stock Option Award Agreement, this Option may be</w:t>
            </w:r>
          </w:p>
        </w:tc>
      </w:tr>
      <w:tr>
        <w:trPr>
          <w:trHeight w:val="279"/>
        </w:trPr>
        <w:tc>
          <w:tcPr>
            <w:tcW w:w="2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900" w:type="dxa"/>
            <w:vAlign w:val="bottom"/>
            <w:gridSpan w:val="2"/>
          </w:tcPr>
          <w:p>
            <w:pPr>
              <w:ind w:left="140"/>
              <w:spacing w:after="0"/>
              <w:rPr>
                <w:sz w:val="20"/>
                <w:szCs w:val="20"/>
                <w:color w:val="auto"/>
              </w:rPr>
            </w:pPr>
            <w:r>
              <w:rPr>
                <w:rFonts w:ascii="Times New Roman" w:cs="Times New Roman" w:eastAsia="Times New Roman" w:hAnsi="Times New Roman"/>
                <w:sz w:val="21"/>
                <w:szCs w:val="21"/>
                <w:color w:val="auto"/>
              </w:rPr>
              <w:t>exercised, in whole or in part, in accordance with the following schedule:</w:t>
            </w:r>
          </w:p>
        </w:tc>
      </w:tr>
      <w:tr>
        <w:trPr>
          <w:trHeight w:val="1875"/>
        </w:trPr>
        <w:tc>
          <w:tcPr>
            <w:tcW w:w="2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1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05" w:right="339" w:bottom="1440" w:gutter="0" w:footer="0" w:header="0"/>
        </w:sectPr>
      </w:pPr>
    </w:p>
    <w:bookmarkStart w:id="78" w:name="page79"/>
    <w:bookmarkEnd w:id="78"/>
    <w:p>
      <w:pPr>
        <w:ind w:left="120"/>
        <w:spacing w:after="0"/>
        <w:rPr>
          <w:sz w:val="20"/>
          <w:szCs w:val="20"/>
          <w:color w:val="auto"/>
        </w:rPr>
      </w:pPr>
      <w:r>
        <w:rPr>
          <w:rFonts w:ascii="Times New Roman" w:cs="Times New Roman" w:eastAsia="Times New Roman" w:hAnsi="Times New Roman"/>
          <w:sz w:val="21"/>
          <w:szCs w:val="21"/>
          <w:color w:val="auto"/>
        </w:rPr>
        <w:t>Exercise Period:</w:t>
      </w:r>
    </w:p>
    <w:p>
      <w:pPr>
        <w:spacing w:after="0" w:line="20" w:lineRule="exact"/>
        <w:rPr>
          <w:sz w:val="20"/>
          <w:szCs w:val="20"/>
          <w:color w:val="auto"/>
        </w:rPr>
      </w:pPr>
      <w:r>
        <w:rPr>
          <w:sz w:val="20"/>
          <w:szCs w:val="20"/>
          <w:color w:val="auto"/>
        </w:rPr>
        <w:br w:type="column"/>
      </w:r>
    </w:p>
    <w:p>
      <w:pPr>
        <w:jc w:val="both"/>
        <w:spacing w:after="0" w:line="249" w:lineRule="auto"/>
        <w:rPr>
          <w:sz w:val="20"/>
          <w:szCs w:val="20"/>
          <w:color w:val="auto"/>
        </w:rPr>
      </w:pPr>
      <w:r>
        <w:rPr>
          <w:rFonts w:ascii="Times New Roman" w:cs="Times New Roman" w:eastAsia="Times New Roman" w:hAnsi="Times New Roman"/>
          <w:sz w:val="21"/>
          <w:szCs w:val="21"/>
          <w:color w:val="auto"/>
        </w:rPr>
        <w:t>The Option may be exercised for up to three months after the termination of Continuous Service to the Company or a Related Entity, except as set out in Section 4 of the Inducement Stock Option Award Agreement (but in no event later than the Expiration Date); provided that upon a termination for Cause the Option will be immediately terminated.</w:t>
      </w:r>
    </w:p>
    <w:p>
      <w:pPr>
        <w:spacing w:after="0" w:line="200" w:lineRule="exact"/>
        <w:rPr>
          <w:sz w:val="20"/>
          <w:szCs w:val="20"/>
          <w:color w:val="auto"/>
        </w:rPr>
      </w:pPr>
    </w:p>
    <w:p>
      <w:pPr>
        <w:sectPr>
          <w:pgSz w:w="11900" w:h="16838" w:orient="portrait"/>
          <w:cols w:equalWidth="0" w:num="2">
            <w:col w:w="2760" w:space="720"/>
            <w:col w:w="7660"/>
          </w:cols>
          <w:pgMar w:left="320" w:top="1400"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firstLine="358"/>
        <w:spacing w:after="0" w:line="253" w:lineRule="auto"/>
        <w:rPr>
          <w:sz w:val="20"/>
          <w:szCs w:val="20"/>
          <w:color w:val="auto"/>
        </w:rPr>
      </w:pPr>
      <w:r>
        <w:rPr>
          <w:rFonts w:ascii="Times New Roman" w:cs="Times New Roman" w:eastAsia="Times New Roman" w:hAnsi="Times New Roman"/>
          <w:sz w:val="21"/>
          <w:szCs w:val="21"/>
          <w:b w:val="1"/>
          <w:bCs w:val="1"/>
          <w:color w:val="auto"/>
        </w:rPr>
        <w:t>BY YOUR SIGNATURE AND THE SIGNATURE OF THE COMPANY’S REPRESENTATIVE BELOW, YOU AND THE COMPANY AGREE THAT THIS OPTION IS GOVERNED BY THE TERMS AND CONDITIONS OF THE PLAN AND THE ATTACHED INDUCEMENT STOCK OPTION AGREEMENT, ALL OF WHICH ARE MADE A PART OF THIS DOCUMENT.</w:t>
      </w:r>
    </w:p>
    <w:p>
      <w:pPr>
        <w:spacing w:after="0" w:line="38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w:t>
      </w:r>
    </w:p>
    <w:p>
      <w:pPr>
        <w:spacing w:after="0" w:line="24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1"/>
          <w:szCs w:val="21"/>
          <w:color w:val="auto"/>
        </w:rPr>
        <w:t>Tenax Therapeutics, Inc.</w:t>
      </w:r>
    </w:p>
    <w:p>
      <w:pPr>
        <w:spacing w:after="0" w:line="200" w:lineRule="exact"/>
        <w:rPr>
          <w:sz w:val="20"/>
          <w:szCs w:val="20"/>
          <w:color w:val="auto"/>
        </w:rPr>
      </w:pPr>
    </w:p>
    <w:p>
      <w:pPr>
        <w:spacing w:after="0" w:line="283"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1564640</wp:posOffset>
            </wp:positionH>
            <wp:positionV relativeFrom="paragraph">
              <wp:posOffset>-7620</wp:posOffset>
            </wp:positionV>
            <wp:extent cx="116586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11">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4"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1821815</wp:posOffset>
            </wp:positionH>
            <wp:positionV relativeFrom="paragraph">
              <wp:posOffset>-22860</wp:posOffset>
            </wp:positionV>
            <wp:extent cx="113601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12">
                      <a:extLst>
                        <a:ext uri="{28A0092B-C50C-407E-A947-70E740481C1C}"/>
                      </a:extLst>
                    </a:blip>
                    <a:srcRect/>
                    <a:stretch>
                      <a:fillRect/>
                    </a:stretch>
                  </pic:blipFill>
                  <pic:spPr bwMode="auto">
                    <a:xfrm>
                      <a:off x="0" y="0"/>
                      <a:ext cx="1136015" cy="8255"/>
                    </a:xfrm>
                    <a:prstGeom prst="rect">
                      <a:avLst/>
                    </a:prstGeom>
                    <a:noFill/>
                  </pic:spPr>
                </pic:pic>
              </a:graphicData>
            </a:graphic>
          </wp:anchor>
        </w:drawing>
      </w:r>
    </w:p>
    <w:p>
      <w:pPr>
        <w:ind w:left="2160"/>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1821815</wp:posOffset>
            </wp:positionH>
            <wp:positionV relativeFrom="paragraph">
              <wp:posOffset>-22860</wp:posOffset>
            </wp:positionV>
            <wp:extent cx="113601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13">
                      <a:extLst>
                        <a:ext uri="{28A0092B-C50C-407E-A947-70E740481C1C}"/>
                      </a:extLst>
                    </a:blip>
                    <a:srcRect/>
                    <a:stretch>
                      <a:fillRect/>
                    </a:stretch>
                  </pic:blipFill>
                  <pic:spPr bwMode="auto">
                    <a:xfrm>
                      <a:off x="0" y="0"/>
                      <a:ext cx="1136015" cy="8255"/>
                    </a:xfrm>
                    <a:prstGeom prst="rect">
                      <a:avLst/>
                    </a:prstGeom>
                    <a:noFill/>
                  </pic:spPr>
                </pic:pic>
              </a:graphicData>
            </a:graphic>
          </wp:anchor>
        </w:drawing>
      </w:r>
    </w:p>
    <w:p>
      <w:pPr>
        <w:spacing w:after="0" w:line="198"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1"/>
          <w:szCs w:val="21"/>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1852295</wp:posOffset>
            </wp:positionH>
            <wp:positionV relativeFrom="paragraph">
              <wp:posOffset>-7620</wp:posOffset>
            </wp:positionV>
            <wp:extent cx="110553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14">
                      <a:extLst>
                        <a:ext uri="{28A0092B-C50C-407E-A947-70E740481C1C}"/>
                      </a:extLst>
                    </a:blip>
                    <a:srcRect/>
                    <a:stretch>
                      <a:fillRect/>
                    </a:stretch>
                  </pic:blipFill>
                  <pic:spPr bwMode="auto">
                    <a:xfrm>
                      <a:off x="0" y="0"/>
                      <a:ext cx="1105535" cy="8255"/>
                    </a:xfrm>
                    <a:prstGeom prst="rect">
                      <a:avLst/>
                    </a:prstGeom>
                    <a:noFill/>
                  </pic:spPr>
                </pic:pic>
              </a:graphicData>
            </a:graphic>
          </wp:anchor>
        </w:drawing>
        <w:drawing>
          <wp:anchor simplePos="0" relativeHeight="251657728" behindDoc="1" locked="0" layoutInCell="0" allowOverlap="1">
            <wp:simplePos x="0" y="0"/>
            <wp:positionH relativeFrom="column">
              <wp:posOffset>1595120</wp:posOffset>
            </wp:positionH>
            <wp:positionV relativeFrom="paragraph">
              <wp:posOffset>128270</wp:posOffset>
            </wp:positionV>
            <wp:extent cx="113601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15">
                      <a:extLst>
                        <a:ext uri="{28A0092B-C50C-407E-A947-70E740481C1C}"/>
                      </a:extLst>
                    </a:blip>
                    <a:srcRect/>
                    <a:stretch>
                      <a:fillRect/>
                    </a:stretch>
                  </pic:blipFill>
                  <pic:spPr bwMode="auto">
                    <a:xfrm>
                      <a:off x="0" y="0"/>
                      <a:ext cx="1136015" cy="8255"/>
                    </a:xfrm>
                    <a:prstGeom prst="rect">
                      <a:avLst/>
                    </a:prstGeom>
                    <a:noFill/>
                  </pic:spPr>
                </pic:pic>
              </a:graphicData>
            </a:graphic>
          </wp:anchor>
        </w:drawing>
        <w:drawing>
          <wp:anchor simplePos="0" relativeHeight="251657728" behindDoc="1" locked="0" layoutInCell="0" allowOverlap="1">
            <wp:simplePos x="0" y="0"/>
            <wp:positionH relativeFrom="column">
              <wp:posOffset>1595120</wp:posOffset>
            </wp:positionH>
            <wp:positionV relativeFrom="paragraph">
              <wp:posOffset>264795</wp:posOffset>
            </wp:positionV>
            <wp:extent cx="113601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16">
                      <a:extLst>
                        <a:ext uri="{28A0092B-C50C-407E-A947-70E740481C1C}"/>
                      </a:extLst>
                    </a:blip>
                    <a:srcRect/>
                    <a:stretch>
                      <a:fillRect/>
                    </a:stretch>
                  </pic:blipFill>
                  <pic:spPr bwMode="auto">
                    <a:xfrm>
                      <a:off x="0" y="0"/>
                      <a:ext cx="1136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1"/>
          <w:szCs w:val="21"/>
          <w:u w:val="single" w:color="auto"/>
          <w:color w:val="auto"/>
        </w:rPr>
        <w:t>GRANTEE</w:t>
      </w:r>
      <w:r>
        <w:rPr>
          <w:rFonts w:ascii="Times New Roman" w:cs="Times New Roman" w:eastAsia="Times New Roman" w:hAnsi="Times New Roman"/>
          <w:sz w:val="21"/>
          <w:szCs w:val="21"/>
          <w:color w:val="auto"/>
        </w:rPr>
        <w:t>:</w:t>
      </w:r>
    </w:p>
    <w:p>
      <w:pPr>
        <w:spacing w:after="0" w:line="24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434975</wp:posOffset>
            </wp:positionV>
            <wp:extent cx="136271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17">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160"/>
        <w:spacing w:after="0"/>
        <w:tabs>
          <w:tab w:leader="none" w:pos="3200" w:val="left"/>
        </w:tabs>
        <w:rPr>
          <w:sz w:val="20"/>
          <w:szCs w:val="20"/>
          <w:color w:val="auto"/>
        </w:rPr>
      </w:pPr>
      <w:r>
        <w:rPr>
          <w:rFonts w:ascii="Times New Roman" w:cs="Times New Roman" w:eastAsia="Times New Roman" w:hAnsi="Times New Roman"/>
          <w:sz w:val="21"/>
          <w:szCs w:val="21"/>
          <w:color w:val="auto"/>
        </w:rPr>
        <w:t>Address:</w:t>
        <w:tab/>
        <w:t>______________________________</w:t>
      </w:r>
    </w:p>
    <w:p>
      <w:pPr>
        <w:spacing w:after="0" w:line="24"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21"/>
          <w:szCs w:val="21"/>
          <w:color w:val="auto"/>
        </w:rPr>
        <w:t>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1608455</wp:posOffset>
            </wp:positionV>
            <wp:extent cx="715835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40"/>
          </w:cols>
          <w:pgMar w:left="320" w:top="1400" w:right="439" w:bottom="1440" w:gutter="0" w:footer="0" w:header="0"/>
          <w:type w:val="continuous"/>
        </w:sectPr>
      </w:pPr>
    </w:p>
    <w:bookmarkStart w:id="79" w:name="page80"/>
    <w:bookmarkEnd w:id="79"/>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TENAX THERAPEUTICS, INC.</w:t>
      </w: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INDUCEMENT STOCK OPTION AWARD AGREEMENT</w:t>
      </w:r>
    </w:p>
    <w:p>
      <w:pPr>
        <w:spacing w:after="0" w:line="200" w:lineRule="exact"/>
        <w:rPr>
          <w:sz w:val="20"/>
          <w:szCs w:val="20"/>
          <w:color w:val="auto"/>
        </w:rPr>
      </w:pPr>
    </w:p>
    <w:p>
      <w:pPr>
        <w:spacing w:after="0" w:line="234" w:lineRule="exact"/>
        <w:rPr>
          <w:sz w:val="20"/>
          <w:szCs w:val="20"/>
          <w:color w:val="auto"/>
        </w:rPr>
      </w:pPr>
    </w:p>
    <w:p>
      <w:pPr>
        <w:ind w:right="60" w:firstLine="749"/>
        <w:spacing w:after="0" w:line="252" w:lineRule="auto"/>
        <w:rPr>
          <w:sz w:val="20"/>
          <w:szCs w:val="20"/>
          <w:color w:val="auto"/>
        </w:rPr>
      </w:pPr>
      <w:r>
        <w:rPr>
          <w:rFonts w:ascii="Times New Roman" w:cs="Times New Roman" w:eastAsia="Times New Roman" w:hAnsi="Times New Roman"/>
          <w:sz w:val="21"/>
          <w:szCs w:val="21"/>
          <w:color w:val="auto"/>
        </w:rPr>
        <w:t>This Inducement Stock Option Award Agreement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is made by and between Tenax Therapeutics, Inc.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and _____________________ (“</w:t>
      </w:r>
      <w:r>
        <w:rPr>
          <w:rFonts w:ascii="Times New Roman" w:cs="Times New Roman" w:eastAsia="Times New Roman" w:hAnsi="Times New Roman"/>
          <w:sz w:val="21"/>
          <w:szCs w:val="21"/>
          <w:u w:val="single" w:color="auto"/>
          <w:color w:val="auto"/>
        </w:rPr>
        <w:t>Grantee</w:t>
      </w:r>
      <w:r>
        <w:rPr>
          <w:rFonts w:ascii="Times New Roman" w:cs="Times New Roman" w:eastAsia="Times New Roman" w:hAnsi="Times New Roman"/>
          <w:sz w:val="21"/>
          <w:szCs w:val="21"/>
          <w:color w:val="auto"/>
        </w:rPr>
        <w:t>”) effective as of the Date of Grant shown on the accompanying Notice</w:t>
      </w:r>
    </w:p>
    <w:p>
      <w:pPr>
        <w:ind w:right="40"/>
        <w:spacing w:after="0" w:line="253" w:lineRule="auto"/>
        <w:rPr>
          <w:sz w:val="20"/>
          <w:szCs w:val="20"/>
          <w:color w:val="auto"/>
        </w:rPr>
      </w:pPr>
      <w:r>
        <w:rPr>
          <w:rFonts w:ascii="Times New Roman" w:cs="Times New Roman" w:eastAsia="Times New Roman" w:hAnsi="Times New Roman"/>
          <w:sz w:val="21"/>
          <w:szCs w:val="21"/>
          <w:color w:val="auto"/>
        </w:rPr>
        <w:t>of Inducement Stock Option Grant (the “</w:t>
      </w:r>
      <w:r>
        <w:rPr>
          <w:rFonts w:ascii="Times New Roman" w:cs="Times New Roman" w:eastAsia="Times New Roman" w:hAnsi="Times New Roman"/>
          <w:sz w:val="21"/>
          <w:szCs w:val="21"/>
          <w:u w:val="single" w:color="auto"/>
          <w:color w:val="auto"/>
        </w:rPr>
        <w:t>Grant Notice</w:t>
      </w:r>
      <w:r>
        <w:rPr>
          <w:rFonts w:ascii="Times New Roman" w:cs="Times New Roman" w:eastAsia="Times New Roman" w:hAnsi="Times New Roman"/>
          <w:sz w:val="21"/>
          <w:szCs w:val="21"/>
          <w:color w:val="auto"/>
        </w:rPr>
        <w:t>”). Capitalized terms not explicitly defined in this Agreement but defined in the Company’s 2022 Stock Incentive Plan, as amended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will have the same definition and meaning as in the Plan.</w:t>
      </w:r>
    </w:p>
    <w:p>
      <w:pPr>
        <w:spacing w:after="0" w:line="161" w:lineRule="exact"/>
        <w:rPr>
          <w:sz w:val="20"/>
          <w:szCs w:val="20"/>
          <w:color w:val="auto"/>
        </w:rPr>
      </w:pPr>
    </w:p>
    <w:p>
      <w:pPr>
        <w:ind w:left="1020" w:right="40" w:hanging="504"/>
        <w:spacing w:after="0" w:line="260" w:lineRule="auto"/>
        <w:tabs>
          <w:tab w:leader="none" w:pos="1020" w:val="left"/>
        </w:tabs>
        <w:numPr>
          <w:ilvl w:val="0"/>
          <w:numId w:val="4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Grant of Option. </w:t>
      </w:r>
      <w:r>
        <w:rPr>
          <w:rFonts w:ascii="Times New Roman" w:cs="Times New Roman" w:eastAsia="Times New Roman" w:hAnsi="Times New Roman"/>
          <w:sz w:val="21"/>
          <w:szCs w:val="21"/>
          <w:color w:val="auto"/>
        </w:rPr>
        <w:t>The Company has granted to Grantee an option to purchase, on the terms and conditions set forth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 this Agreement, all or any part of the number of Shares described in the Grant Notice, at the Exercise Price set forth in the Grant Notice (the “</w:t>
      </w:r>
      <w:r>
        <w:rPr>
          <w:rFonts w:ascii="Times New Roman" w:cs="Times New Roman" w:eastAsia="Times New Roman" w:hAnsi="Times New Roman"/>
          <w:sz w:val="21"/>
          <w:szCs w:val="21"/>
          <w:b w:val="1"/>
          <w:bCs w:val="1"/>
          <w:color w:val="auto"/>
        </w:rPr>
        <w:t>Option</w:t>
      </w:r>
      <w:r>
        <w:rPr>
          <w:rFonts w:ascii="Times New Roman" w:cs="Times New Roman" w:eastAsia="Times New Roman" w:hAnsi="Times New Roman"/>
          <w:sz w:val="21"/>
          <w:szCs w:val="21"/>
          <w:color w:val="auto"/>
        </w:rPr>
        <w:t>”), subject to adjustment as set forth in Section 13 of the Plan.</w:t>
      </w:r>
    </w:p>
    <w:p>
      <w:pPr>
        <w:spacing w:after="0" w:line="47" w:lineRule="exact"/>
        <w:rPr>
          <w:rFonts w:ascii="Times New Roman" w:cs="Times New Roman" w:eastAsia="Times New Roman" w:hAnsi="Times New Roman"/>
          <w:sz w:val="21"/>
          <w:szCs w:val="21"/>
          <w:b w:val="1"/>
          <w:bCs w:val="1"/>
          <w:color w:val="auto"/>
        </w:rPr>
      </w:pPr>
    </w:p>
    <w:p>
      <w:pPr>
        <w:ind w:left="1020" w:hanging="504"/>
        <w:spacing w:after="0" w:line="281" w:lineRule="auto"/>
        <w:tabs>
          <w:tab w:leader="none" w:pos="1020" w:val="left"/>
        </w:tabs>
        <w:numPr>
          <w:ilvl w:val="0"/>
          <w:numId w:val="4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Vesting. </w:t>
      </w:r>
      <w:r>
        <w:rPr>
          <w:rFonts w:ascii="Times New Roman" w:cs="Times New Roman" w:eastAsia="Times New Roman" w:hAnsi="Times New Roman"/>
          <w:sz w:val="21"/>
          <w:szCs w:val="21"/>
          <w:color w:val="auto"/>
        </w:rPr>
        <w:t>Subject to the terms and conditions set forth in the Plan and this Agreement, the Option will vest as provided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 the Grant Notice, provided that vesting will cease upon the termination of Grantee’s Continuous Service.</w:t>
      </w:r>
    </w:p>
    <w:p>
      <w:pPr>
        <w:spacing w:after="0" w:line="25" w:lineRule="exact"/>
        <w:rPr>
          <w:rFonts w:ascii="Times New Roman" w:cs="Times New Roman" w:eastAsia="Times New Roman" w:hAnsi="Times New Roman"/>
          <w:sz w:val="21"/>
          <w:szCs w:val="21"/>
          <w:b w:val="1"/>
          <w:bCs w:val="1"/>
          <w:color w:val="auto"/>
        </w:rPr>
      </w:pPr>
    </w:p>
    <w:p>
      <w:pPr>
        <w:ind w:left="1020" w:right="460" w:hanging="504"/>
        <w:spacing w:after="0" w:line="250" w:lineRule="auto"/>
        <w:tabs>
          <w:tab w:leader="none" w:pos="1020" w:val="left"/>
        </w:tabs>
        <w:numPr>
          <w:ilvl w:val="0"/>
          <w:numId w:val="4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Forfeiture; Expiration. </w:t>
      </w:r>
      <w:r>
        <w:rPr>
          <w:rFonts w:ascii="Times New Roman" w:cs="Times New Roman" w:eastAsia="Times New Roman" w:hAnsi="Times New Roman"/>
          <w:sz w:val="21"/>
          <w:szCs w:val="21"/>
          <w:color w:val="auto"/>
        </w:rPr>
        <w:t>Any unvested portion of the Option will be forfeited immediately, automatically,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without consideration upon a termination of Grantee’s Continuous Service for any reason. In the event Grantee’s Continuous Service is terminated for Cause, the vested portion of the Option will also be forfeited immediately, automatically, and without consideration upon that termination for Cause. Any unexercised vested portion of the Option will expire on the Expiration Date set forth in the Grant Notice.</w:t>
      </w:r>
    </w:p>
    <w:p>
      <w:pPr>
        <w:spacing w:after="0" w:line="57" w:lineRule="exact"/>
        <w:rPr>
          <w:rFonts w:ascii="Times New Roman" w:cs="Times New Roman" w:eastAsia="Times New Roman" w:hAnsi="Times New Roman"/>
          <w:sz w:val="21"/>
          <w:szCs w:val="21"/>
          <w:b w:val="1"/>
          <w:bCs w:val="1"/>
          <w:color w:val="auto"/>
        </w:rPr>
      </w:pPr>
    </w:p>
    <w:p>
      <w:pPr>
        <w:ind w:left="1020" w:right="680" w:hanging="504"/>
        <w:spacing w:after="0" w:line="281" w:lineRule="auto"/>
        <w:tabs>
          <w:tab w:leader="none" w:pos="1020" w:val="left"/>
        </w:tabs>
        <w:numPr>
          <w:ilvl w:val="0"/>
          <w:numId w:val="4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Period of Exercise. </w:t>
      </w:r>
      <w:r>
        <w:rPr>
          <w:rFonts w:ascii="Times New Roman" w:cs="Times New Roman" w:eastAsia="Times New Roman" w:hAnsi="Times New Roman"/>
          <w:sz w:val="21"/>
          <w:szCs w:val="21"/>
          <w:color w:val="auto"/>
        </w:rPr>
        <w:t>Subject to the terms and conditions set forth in the Plan and this Agreement, Grantee may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exercise all or any part of the vested portion of the Option at any time prior to the earliest to occur of:</w:t>
      </w:r>
    </w:p>
    <w:p>
      <w:pPr>
        <w:spacing w:after="0" w:line="29" w:lineRule="exact"/>
        <w:rPr>
          <w:rFonts w:ascii="Times New Roman" w:cs="Times New Roman" w:eastAsia="Times New Roman" w:hAnsi="Times New Roman"/>
          <w:sz w:val="21"/>
          <w:szCs w:val="21"/>
          <w:b w:val="1"/>
          <w:bCs w:val="1"/>
          <w:color w:val="auto"/>
        </w:rPr>
      </w:pPr>
    </w:p>
    <w:p>
      <w:pPr>
        <w:ind w:left="1540" w:hanging="515"/>
        <w:spacing w:after="0"/>
        <w:tabs>
          <w:tab w:leader="none" w:pos="1540" w:val="left"/>
        </w:tabs>
        <w:numPr>
          <w:ilvl w:val="1"/>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Expiration Date indicated in the Grant Notice;</w:t>
      </w:r>
    </w:p>
    <w:p>
      <w:pPr>
        <w:spacing w:after="0" w:line="107" w:lineRule="exact"/>
        <w:rPr>
          <w:rFonts w:ascii="Times New Roman" w:cs="Times New Roman" w:eastAsia="Times New Roman" w:hAnsi="Times New Roman"/>
          <w:sz w:val="21"/>
          <w:szCs w:val="21"/>
          <w:color w:val="auto"/>
        </w:rPr>
      </w:pPr>
    </w:p>
    <w:p>
      <w:pPr>
        <w:ind w:left="1540" w:hanging="515"/>
        <w:spacing w:after="0"/>
        <w:tabs>
          <w:tab w:leader="none" w:pos="1540" w:val="left"/>
        </w:tabs>
        <w:numPr>
          <w:ilvl w:val="1"/>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effective date of the termination of Grantee’s Continuous Service for Cause;</w:t>
      </w:r>
    </w:p>
    <w:p>
      <w:pPr>
        <w:spacing w:after="0" w:line="107" w:lineRule="exact"/>
        <w:rPr>
          <w:rFonts w:ascii="Times New Roman" w:cs="Times New Roman" w:eastAsia="Times New Roman" w:hAnsi="Times New Roman"/>
          <w:sz w:val="21"/>
          <w:szCs w:val="21"/>
          <w:color w:val="auto"/>
        </w:rPr>
      </w:pPr>
    </w:p>
    <w:p>
      <w:pPr>
        <w:ind w:left="1540" w:right="200" w:hanging="515"/>
        <w:spacing w:after="0" w:line="252" w:lineRule="auto"/>
        <w:tabs>
          <w:tab w:leader="none" w:pos="1540" w:val="left"/>
        </w:tabs>
        <w:numPr>
          <w:ilvl w:val="1"/>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date that is 12 months after the termination of Grantee’s Continuous Service due to his or her death or Disability, provided, however, that in the event Grantee dies within such 12 month period after the termination of Grantee’s Continuous Service due to his or her Disability, the period for exercise will be extended until the date 12 months after his or her death (but in no event later than the Expiration Date); or</w:t>
      </w:r>
    </w:p>
    <w:p>
      <w:pPr>
        <w:spacing w:after="0" w:line="59" w:lineRule="exact"/>
        <w:rPr>
          <w:rFonts w:ascii="Times New Roman" w:cs="Times New Roman" w:eastAsia="Times New Roman" w:hAnsi="Times New Roman"/>
          <w:sz w:val="21"/>
          <w:szCs w:val="21"/>
          <w:color w:val="auto"/>
        </w:rPr>
      </w:pPr>
    </w:p>
    <w:p>
      <w:pPr>
        <w:ind w:left="1540" w:right="20" w:hanging="515"/>
        <w:spacing w:after="0" w:line="252" w:lineRule="auto"/>
        <w:tabs>
          <w:tab w:leader="none" w:pos="1540" w:val="left"/>
        </w:tabs>
        <w:numPr>
          <w:ilvl w:val="1"/>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date that is three months after the termination of Grantee’s Continuous Service for any reason other than Cause, Disability or death; provided however, that in the event that Grantee dies within such three month period, the period for exercise will be extended until the date 12 months after his or her death (but in no event later than the 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860425</wp:posOffset>
            </wp:positionV>
            <wp:extent cx="715835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96" w:right="339" w:bottom="1440" w:gutter="0" w:footer="0" w:header="0"/>
        </w:sectPr>
      </w:pPr>
    </w:p>
    <w:bookmarkStart w:id="80" w:name="page81"/>
    <w:bookmarkEnd w:id="80"/>
    <w:p>
      <w:pPr>
        <w:spacing w:after="0" w:line="64" w:lineRule="exact"/>
        <w:rPr>
          <w:sz w:val="20"/>
          <w:szCs w:val="20"/>
          <w:color w:val="auto"/>
        </w:rPr>
      </w:pPr>
    </w:p>
    <w:p>
      <w:pPr>
        <w:ind w:left="504" w:right="140" w:hanging="504"/>
        <w:spacing w:after="0" w:line="247" w:lineRule="auto"/>
        <w:tabs>
          <w:tab w:leader="none" w:pos="504" w:val="left"/>
        </w:tabs>
        <w:numPr>
          <w:ilvl w:val="0"/>
          <w:numId w:val="4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Exercise of Option. </w:t>
      </w:r>
      <w:r>
        <w:rPr>
          <w:rFonts w:ascii="Times New Roman" w:cs="Times New Roman" w:eastAsia="Times New Roman" w:hAnsi="Times New Roman"/>
          <w:sz w:val="21"/>
          <w:szCs w:val="21"/>
          <w:color w:val="auto"/>
        </w:rPr>
        <w:t>Grantee or, in the case of Grantee’s death or Disability, Grantee’s representative, may exercise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all or any part of the vested portion of the Option by delivering to the Company at its principal office a written notice of exercise in the form attached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or any other form that the Administrator may permit (such notice, a “</w:t>
      </w:r>
      <w:r>
        <w:rPr>
          <w:rFonts w:ascii="Times New Roman" w:cs="Times New Roman" w:eastAsia="Times New Roman" w:hAnsi="Times New Roman"/>
          <w:sz w:val="21"/>
          <w:szCs w:val="21"/>
          <w:u w:val="single" w:color="auto"/>
          <w:color w:val="auto"/>
        </w:rPr>
        <w:t>Notice of Exercise</w:t>
      </w:r>
      <w:r>
        <w:rPr>
          <w:rFonts w:ascii="Times New Roman" w:cs="Times New Roman" w:eastAsia="Times New Roman" w:hAnsi="Times New Roman"/>
          <w:sz w:val="21"/>
          <w:szCs w:val="21"/>
          <w:color w:val="auto"/>
        </w:rPr>
        <w:t>”), signed by the person exercising the Option. In the event that the Option is being exercised by Grantee’s representative, the Notice of Exercise must be accompanied by proof (satisfactory to the Administrator) of the representative’s right to exercise the Option. In addition, any exercise of the Option, whether in whole or in part, is subject to the following conditions:</w:t>
      </w:r>
    </w:p>
    <w:p>
      <w:pPr>
        <w:spacing w:after="0" w:line="62" w:lineRule="exact"/>
        <w:rPr>
          <w:rFonts w:ascii="Times New Roman" w:cs="Times New Roman" w:eastAsia="Times New Roman" w:hAnsi="Times New Roman"/>
          <w:sz w:val="21"/>
          <w:szCs w:val="21"/>
          <w:b w:val="1"/>
          <w:bCs w:val="1"/>
          <w:color w:val="auto"/>
        </w:rPr>
      </w:pPr>
    </w:p>
    <w:p>
      <w:pPr>
        <w:ind w:left="1024" w:right="80" w:hanging="515"/>
        <w:spacing w:after="0" w:line="277" w:lineRule="auto"/>
        <w:tabs>
          <w:tab w:leader="none" w:pos="1024"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Grantee (or Grantee’s representative, if applicable) will deliver to the Company, at the time of giving the Notice of Exercise, payment in a form permissible under Section 6 below for the full amount of the Purchase Price.</w:t>
      </w:r>
    </w:p>
    <w:p>
      <w:pPr>
        <w:spacing w:after="0" w:line="33" w:lineRule="exact"/>
        <w:rPr>
          <w:rFonts w:ascii="Times New Roman" w:cs="Times New Roman" w:eastAsia="Times New Roman" w:hAnsi="Times New Roman"/>
          <w:sz w:val="21"/>
          <w:szCs w:val="21"/>
          <w:color w:val="auto"/>
        </w:rPr>
      </w:pPr>
    </w:p>
    <w:p>
      <w:pPr>
        <w:ind w:left="1024" w:hanging="515"/>
        <w:spacing w:after="0"/>
        <w:tabs>
          <w:tab w:leader="none" w:pos="1024"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Grantee (or Grantee’s representative, if applicable) may exercise the Option only for whole Shares.</w:t>
      </w:r>
    </w:p>
    <w:p>
      <w:pPr>
        <w:spacing w:after="0" w:line="107" w:lineRule="exact"/>
        <w:rPr>
          <w:rFonts w:ascii="Times New Roman" w:cs="Times New Roman" w:eastAsia="Times New Roman" w:hAnsi="Times New Roman"/>
          <w:sz w:val="21"/>
          <w:szCs w:val="21"/>
          <w:color w:val="auto"/>
        </w:rPr>
      </w:pPr>
    </w:p>
    <w:p>
      <w:pPr>
        <w:ind w:left="1024" w:right="540" w:hanging="515"/>
        <w:spacing w:after="0" w:line="277" w:lineRule="auto"/>
        <w:tabs>
          <w:tab w:leader="none" w:pos="1024"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Grantee (or Grantee’s representative, if applicable) may not exercise the Option unless the tax withholding obligations of the Company and/or any Related Entity, as described in Section 9 below, are satisfied.</w:t>
      </w:r>
    </w:p>
    <w:p>
      <w:pPr>
        <w:spacing w:after="0" w:line="33" w:lineRule="exact"/>
        <w:rPr>
          <w:rFonts w:ascii="Times New Roman" w:cs="Times New Roman" w:eastAsia="Times New Roman" w:hAnsi="Times New Roman"/>
          <w:sz w:val="21"/>
          <w:szCs w:val="21"/>
          <w:color w:val="auto"/>
        </w:rPr>
      </w:pPr>
    </w:p>
    <w:p>
      <w:pPr>
        <w:ind w:left="1024" w:right="20" w:hanging="515"/>
        <w:spacing w:after="0" w:line="252" w:lineRule="auto"/>
        <w:tabs>
          <w:tab w:leader="none" w:pos="1024"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Grantee is an employee eligible for overtime compensation under the Fair Labor Standards Act of 1938, as amended (sometimes referred to as a “non-exempt employee”), then he or she may not exercise the Option until he or she has completed at least six months of Continuous Service measured from the Date of Grant specified in the Grant Notice, notwithstanding any other provision of the Option.</w:t>
      </w:r>
    </w:p>
    <w:p>
      <w:pPr>
        <w:spacing w:after="0" w:line="55" w:lineRule="exact"/>
        <w:rPr>
          <w:rFonts w:ascii="Times New Roman" w:cs="Times New Roman" w:eastAsia="Times New Roman" w:hAnsi="Times New Roman"/>
          <w:sz w:val="21"/>
          <w:szCs w:val="21"/>
          <w:color w:val="auto"/>
        </w:rPr>
      </w:pPr>
    </w:p>
    <w:p>
      <w:pPr>
        <w:ind w:left="504" w:right="620" w:hanging="504"/>
        <w:spacing w:after="0" w:line="281" w:lineRule="auto"/>
        <w:tabs>
          <w:tab w:leader="none" w:pos="504" w:val="left"/>
        </w:tabs>
        <w:numPr>
          <w:ilvl w:val="0"/>
          <w:numId w:val="4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Payment for Shares. </w:t>
      </w:r>
      <w:r>
        <w:rPr>
          <w:rFonts w:ascii="Times New Roman" w:cs="Times New Roman" w:eastAsia="Times New Roman" w:hAnsi="Times New Roman"/>
          <w:sz w:val="21"/>
          <w:szCs w:val="21"/>
          <w:color w:val="auto"/>
        </w:rPr>
        <w:t>The “</w:t>
      </w:r>
      <w:r>
        <w:rPr>
          <w:rFonts w:ascii="Times New Roman" w:cs="Times New Roman" w:eastAsia="Times New Roman" w:hAnsi="Times New Roman"/>
          <w:sz w:val="21"/>
          <w:szCs w:val="21"/>
          <w:u w:val="single" w:color="auto"/>
          <w:color w:val="auto"/>
        </w:rPr>
        <w:t>Purchase Price</w:t>
      </w:r>
      <w:r>
        <w:rPr>
          <w:rFonts w:ascii="Times New Roman" w:cs="Times New Roman" w:eastAsia="Times New Roman" w:hAnsi="Times New Roman"/>
          <w:sz w:val="21"/>
          <w:szCs w:val="21"/>
          <w:color w:val="auto"/>
        </w:rPr>
        <w:t>” will be the Exercise Price multiplied by the number of Shares with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respect to which the Option is being exercised. The Purchase Price may be paid as follows:</w:t>
      </w:r>
    </w:p>
    <w:p>
      <w:pPr>
        <w:spacing w:after="0" w:line="29" w:lineRule="exact"/>
        <w:rPr>
          <w:rFonts w:ascii="Times New Roman" w:cs="Times New Roman" w:eastAsia="Times New Roman" w:hAnsi="Times New Roman"/>
          <w:sz w:val="21"/>
          <w:szCs w:val="21"/>
          <w:b w:val="1"/>
          <w:bCs w:val="1"/>
          <w:color w:val="auto"/>
        </w:rPr>
      </w:pPr>
    </w:p>
    <w:p>
      <w:pPr>
        <w:ind w:left="1024" w:hanging="515"/>
        <w:spacing w:after="0"/>
        <w:tabs>
          <w:tab w:leader="none" w:pos="1024"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cash;</w:t>
      </w:r>
    </w:p>
    <w:p>
      <w:pPr>
        <w:spacing w:after="0" w:line="107" w:lineRule="exact"/>
        <w:rPr>
          <w:rFonts w:ascii="Times New Roman" w:cs="Times New Roman" w:eastAsia="Times New Roman" w:hAnsi="Times New Roman"/>
          <w:sz w:val="21"/>
          <w:szCs w:val="21"/>
          <w:color w:val="auto"/>
        </w:rPr>
      </w:pPr>
    </w:p>
    <w:p>
      <w:pPr>
        <w:ind w:left="1024" w:hanging="515"/>
        <w:spacing w:after="0"/>
        <w:tabs>
          <w:tab w:leader="none" w:pos="1024"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check or money order;</w:t>
      </w:r>
    </w:p>
    <w:p>
      <w:pPr>
        <w:spacing w:after="0" w:line="107" w:lineRule="exact"/>
        <w:rPr>
          <w:rFonts w:ascii="Times New Roman" w:cs="Times New Roman" w:eastAsia="Times New Roman" w:hAnsi="Times New Roman"/>
          <w:sz w:val="21"/>
          <w:szCs w:val="21"/>
          <w:color w:val="auto"/>
        </w:rPr>
      </w:pPr>
    </w:p>
    <w:p>
      <w:pPr>
        <w:ind w:left="1024" w:right="60" w:hanging="515"/>
        <w:spacing w:after="0" w:line="249" w:lineRule="auto"/>
        <w:tabs>
          <w:tab w:leader="none" w:pos="1024"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surrender to the Company (either by actual delivery or attestation) of already-owned shares of Common Stock that are owned by Grantee free and clear of any liens, claims, encumbrances or security interests, with a Fair Market Value on the date of surrender or attestation equal to the Purchase Price (provided that Grantee may not exercise the Option by tender to the Company of Common Stock to the extent such tender would violate the provisions of any law, regulation or agreement restricting the redemption of the Company’s stock);</w:t>
      </w:r>
    </w:p>
    <w:p>
      <w:pPr>
        <w:spacing w:after="0" w:line="62" w:lineRule="exact"/>
        <w:rPr>
          <w:rFonts w:ascii="Times New Roman" w:cs="Times New Roman" w:eastAsia="Times New Roman" w:hAnsi="Times New Roman"/>
          <w:sz w:val="21"/>
          <w:szCs w:val="21"/>
          <w:color w:val="auto"/>
        </w:rPr>
      </w:pPr>
    </w:p>
    <w:p>
      <w:pPr>
        <w:ind w:left="1024" w:hanging="515"/>
        <w:spacing w:after="0" w:line="249" w:lineRule="auto"/>
        <w:tabs>
          <w:tab w:leader="none" w:pos="1024"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through a formal “net exercise” arrangement adopted by the Company pursuant to which Grantee may exercise the Option and receive the net number of Shares equal to (i) the number of Shares as to which the Option is being exercised, multiplied by (ii) a fraction, the numerator of which is the Fair Market Value per Share (on such date as is determined by the Administrator) less the Exercise Price per Share, and the denominator of which is such Fair Market Value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862330</wp:posOffset>
            </wp:positionV>
            <wp:extent cx="715835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724"/>
          </w:cols>
          <w:pgMar w:left="836" w:top="1440" w:right="339" w:bottom="1440" w:gutter="0" w:footer="0" w:header="0"/>
        </w:sectPr>
      </w:pPr>
    </w:p>
    <w:bookmarkStart w:id="81" w:name="page82"/>
    <w:bookmarkEnd w:id="81"/>
    <w:p>
      <w:pPr>
        <w:spacing w:after="0" w:line="68" w:lineRule="exact"/>
        <w:rPr>
          <w:sz w:val="20"/>
          <w:szCs w:val="20"/>
          <w:color w:val="auto"/>
        </w:rPr>
      </w:pPr>
    </w:p>
    <w:p>
      <w:pPr>
        <w:ind w:left="1024" w:right="240" w:hanging="515"/>
        <w:spacing w:after="0" w:line="247" w:lineRule="auto"/>
        <w:tabs>
          <w:tab w:leader="none" w:pos="1024"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through a broker-dealer sale and remittance procedure pursuant to which Grantee (i) provides written instructions to a Company designated brokerage firm to effect the immediate sale of some or all of the purchased Shares and remit to the Company sufficient funds to cover the aggregate Exercise Price payable for the purchased Shares and (ii) provides written directives to the Company to deliver the certificates (or other evidence satisfactory to the Company to the extent that the Shares are uncertificated) for the purchased Shares directly to such brokerage firm in order to complete the sale transaction; or</w:t>
      </w:r>
    </w:p>
    <w:p>
      <w:pPr>
        <w:spacing w:after="0" w:line="65" w:lineRule="exact"/>
        <w:rPr>
          <w:rFonts w:ascii="Times New Roman" w:cs="Times New Roman" w:eastAsia="Times New Roman" w:hAnsi="Times New Roman"/>
          <w:sz w:val="21"/>
          <w:szCs w:val="21"/>
          <w:color w:val="auto"/>
        </w:rPr>
      </w:pPr>
    </w:p>
    <w:p>
      <w:pPr>
        <w:ind w:left="1024" w:hanging="515"/>
        <w:spacing w:after="0"/>
        <w:tabs>
          <w:tab w:leader="none" w:pos="1024"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combination of the foregoing methods of payment.</w:t>
      </w:r>
    </w:p>
    <w:p>
      <w:pPr>
        <w:spacing w:after="0" w:line="103" w:lineRule="exact"/>
        <w:rPr>
          <w:rFonts w:ascii="Times New Roman" w:cs="Times New Roman" w:eastAsia="Times New Roman" w:hAnsi="Times New Roman"/>
          <w:sz w:val="21"/>
          <w:szCs w:val="21"/>
          <w:color w:val="auto"/>
        </w:rPr>
      </w:pPr>
    </w:p>
    <w:p>
      <w:pPr>
        <w:ind w:left="504" w:hanging="504"/>
        <w:spacing w:after="0" w:line="247" w:lineRule="auto"/>
        <w:tabs>
          <w:tab w:leader="none" w:pos="504" w:val="left"/>
        </w:tabs>
        <w:numPr>
          <w:ilvl w:val="0"/>
          <w:numId w:val="4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Securities Law Compliance. </w:t>
      </w:r>
      <w:r>
        <w:rPr>
          <w:rFonts w:ascii="Times New Roman" w:cs="Times New Roman" w:eastAsia="Times New Roman" w:hAnsi="Times New Roman"/>
          <w:sz w:val="21"/>
          <w:szCs w:val="21"/>
          <w:color w:val="auto"/>
        </w:rPr>
        <w:t>No Shares will be issued pursuant to this Agreement unless and until all then applicable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requirements imposed by federal and state securities and other laws, rules and regulations and by any regulatory agencies having jurisdiction, and by any exchanges upon which the Shares may be listed, have been fully met. The Company may impose such conditions on any Shares issuable pursuant to this Agreement as it may deem advisable, including, without limitation, restrictions under the Securities Act of 1933, as amended (the “</w:t>
      </w:r>
      <w:r>
        <w:rPr>
          <w:rFonts w:ascii="Times New Roman" w:cs="Times New Roman" w:eastAsia="Times New Roman" w:hAnsi="Times New Roman"/>
          <w:sz w:val="21"/>
          <w:szCs w:val="21"/>
          <w:u w:val="single" w:color="auto"/>
          <w:color w:val="auto"/>
        </w:rPr>
        <w:t>Securities Act</w:t>
      </w:r>
      <w:r>
        <w:rPr>
          <w:rFonts w:ascii="Times New Roman" w:cs="Times New Roman" w:eastAsia="Times New Roman" w:hAnsi="Times New Roman"/>
          <w:sz w:val="21"/>
          <w:szCs w:val="21"/>
          <w:color w:val="auto"/>
        </w:rPr>
        <w:t>”), under the requirements of any exchange upon which shares of the same class are then listed and under any blue sky or other securities laws applicable to those Shares.</w:t>
      </w:r>
    </w:p>
    <w:p>
      <w:pPr>
        <w:spacing w:after="0" w:line="58" w:lineRule="exact"/>
        <w:rPr>
          <w:rFonts w:ascii="Times New Roman" w:cs="Times New Roman" w:eastAsia="Times New Roman" w:hAnsi="Times New Roman"/>
          <w:sz w:val="21"/>
          <w:szCs w:val="21"/>
          <w:b w:val="1"/>
          <w:bCs w:val="1"/>
          <w:color w:val="auto"/>
        </w:rPr>
      </w:pPr>
    </w:p>
    <w:p>
      <w:pPr>
        <w:ind w:left="504" w:right="220" w:hanging="504"/>
        <w:spacing w:after="0" w:line="245" w:lineRule="auto"/>
        <w:tabs>
          <w:tab w:leader="none" w:pos="504" w:val="left"/>
        </w:tabs>
        <w:numPr>
          <w:ilvl w:val="0"/>
          <w:numId w:val="4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Tax Consequences</w:t>
      </w:r>
      <w:r>
        <w:rPr>
          <w:rFonts w:ascii="Times New Roman" w:cs="Times New Roman" w:eastAsia="Times New Roman" w:hAnsi="Times New Roman"/>
          <w:sz w:val="21"/>
          <w:szCs w:val="21"/>
          <w:color w:val="auto"/>
        </w:rPr>
        <w:t>. Set forth below is a brief summary as of the date of this Option of some of the U.S. federal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income tax consequences of exercise of this Option and disposition of the Shares issued as a result of the exercise thereof. THIS SUMMARY IS NECESSARILY INCOMPLETE, AND THE TAX LAWS AND REGULATIONS ARE SUBJECT TO CHANGE. THIS SUMMARY DOES NOT INCLUDE ANY DISCUSSION OF STATE, LOCAL, OR FOREIGN TAX CONSEQUENCES OR ANY FEDERAL TAX CONSEQUENCES OTHER THAN INCOME TAX. BESIDES THE INCOME TAX ITEMS SUMMARIZED BELOW, EMPLOYMENT OR SELF-EMPLOYMENT TAXES MAY ALSO APPLY WITH RESPECT TO THE OPTION. THE GRANTEE SHOULD CONSULT HIS OR HER PERSONAL TAX ADVISOR BEFORE EXERCISING THIS OPTION OR DISPOSING OF THE SHARES.</w:t>
      </w:r>
    </w:p>
    <w:p>
      <w:pPr>
        <w:spacing w:after="0" w:line="66" w:lineRule="exact"/>
        <w:rPr>
          <w:rFonts w:ascii="Times New Roman" w:cs="Times New Roman" w:eastAsia="Times New Roman" w:hAnsi="Times New Roman"/>
          <w:sz w:val="21"/>
          <w:szCs w:val="21"/>
          <w:b w:val="1"/>
          <w:bCs w:val="1"/>
          <w:color w:val="auto"/>
        </w:rPr>
      </w:pPr>
    </w:p>
    <w:p>
      <w:pPr>
        <w:ind w:left="1024" w:right="220" w:hanging="515"/>
        <w:spacing w:after="0" w:line="247" w:lineRule="auto"/>
        <w:tabs>
          <w:tab w:leader="none" w:pos="1024"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Exercise of Non-statutory Stock Option</w:t>
      </w:r>
      <w:r>
        <w:rPr>
          <w:rFonts w:ascii="Times New Roman" w:cs="Times New Roman" w:eastAsia="Times New Roman" w:hAnsi="Times New Roman"/>
          <w:sz w:val="21"/>
          <w:szCs w:val="21"/>
          <w:color w:val="auto"/>
        </w:rPr>
        <w:t>. There may be a regular federal income tax liability upon the exercise of the Option. Grantee will be treated in such event as having received compensation income (taxable at ordinary income tax rates) equal to the excess, if any, of the fair market value of the Shares on the date of exercise over the Purchase Price. If Grantee is an employee, the Company will generally be required to withhold from Grantee’s compensation or collect from Grantee and pay to the applicable taxing authorities an amount equal to a percentage of this compensation income at the time of exercise.</w:t>
      </w:r>
    </w:p>
    <w:p>
      <w:pPr>
        <w:spacing w:after="0" w:line="65" w:lineRule="exact"/>
        <w:rPr>
          <w:rFonts w:ascii="Times New Roman" w:cs="Times New Roman" w:eastAsia="Times New Roman" w:hAnsi="Times New Roman"/>
          <w:sz w:val="21"/>
          <w:szCs w:val="21"/>
          <w:color w:val="auto"/>
        </w:rPr>
      </w:pPr>
    </w:p>
    <w:p>
      <w:pPr>
        <w:ind w:left="1024" w:right="380" w:hanging="515"/>
        <w:spacing w:after="0" w:line="258" w:lineRule="auto"/>
        <w:tabs>
          <w:tab w:leader="none" w:pos="1024"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Disposition of Shares</w:t>
      </w:r>
      <w:r>
        <w:rPr>
          <w:rFonts w:ascii="Times New Roman" w:cs="Times New Roman" w:eastAsia="Times New Roman" w:hAnsi="Times New Roman"/>
          <w:sz w:val="21"/>
          <w:szCs w:val="21"/>
          <w:color w:val="auto"/>
        </w:rPr>
        <w:t>. If Shares are held for more than one year after the date of the taxable compensation event, under current law any gain realized on disposition of the Shares will generally be treated as long-term capital gain for federal income tax purposes.</w:t>
      </w:r>
    </w:p>
    <w:p>
      <w:pPr>
        <w:spacing w:after="0" w:line="49" w:lineRule="exact"/>
        <w:rPr>
          <w:rFonts w:ascii="Times New Roman" w:cs="Times New Roman" w:eastAsia="Times New Roman" w:hAnsi="Times New Roman"/>
          <w:sz w:val="21"/>
          <w:szCs w:val="21"/>
          <w:color w:val="auto"/>
        </w:rPr>
      </w:pPr>
    </w:p>
    <w:p>
      <w:pPr>
        <w:ind w:left="504" w:right="560" w:hanging="504"/>
        <w:spacing w:after="0" w:line="281" w:lineRule="auto"/>
        <w:tabs>
          <w:tab w:leader="none" w:pos="504" w:val="left"/>
        </w:tabs>
        <w:numPr>
          <w:ilvl w:val="0"/>
          <w:numId w:val="4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Withholding Obligations. </w:t>
      </w:r>
      <w:r>
        <w:rPr>
          <w:rFonts w:ascii="Times New Roman" w:cs="Times New Roman" w:eastAsia="Times New Roman" w:hAnsi="Times New Roman"/>
          <w:sz w:val="21"/>
          <w:szCs w:val="21"/>
          <w:color w:val="auto"/>
        </w:rPr>
        <w:t>Grantee may incur Tax Obligations under federal, state, local, and/or foreign law,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connection with the grant, vesting, or exercise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841375</wp:posOffset>
            </wp:positionV>
            <wp:extent cx="715835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724"/>
          </w:cols>
          <w:pgMar w:left="836" w:top="1440" w:right="339" w:bottom="1440" w:gutter="0" w:footer="0" w:header="0"/>
        </w:sectPr>
      </w:pPr>
    </w:p>
    <w:bookmarkStart w:id="82" w:name="page83"/>
    <w:bookmarkEnd w:id="82"/>
    <w:p>
      <w:pPr>
        <w:spacing w:after="0" w:line="68" w:lineRule="exact"/>
        <w:rPr>
          <w:sz w:val="20"/>
          <w:szCs w:val="20"/>
          <w:color w:val="auto"/>
        </w:rPr>
      </w:pPr>
    </w:p>
    <w:p>
      <w:pPr>
        <w:ind w:left="504"/>
        <w:spacing w:after="0" w:line="242" w:lineRule="auto"/>
        <w:rPr>
          <w:sz w:val="20"/>
          <w:szCs w:val="20"/>
          <w:color w:val="auto"/>
        </w:rPr>
      </w:pPr>
      <w:r>
        <w:rPr>
          <w:rFonts w:ascii="Times New Roman" w:cs="Times New Roman" w:eastAsia="Times New Roman" w:hAnsi="Times New Roman"/>
          <w:sz w:val="21"/>
          <w:szCs w:val="21"/>
          <w:color w:val="auto"/>
        </w:rPr>
        <w:t>Option, the ownership of the Shares, and other actions taken pursuant to this Agreement, and the Company may be required to satisfy by withholding from Grantee’s compensation or otherwise collect from Grantee. Grantee agrees that the exercise of the Option is conditioned upon the satisfaction of such withholding tax obligations, and the Company may satisfy such withholding obligations by any of the following means or by a combination of such means, in the Administrator’s discretion: (i) withholding from any compensation otherwise payable to Grantee by the Company; (ii) causing Grantee to tender a cash payment; or (iii) withholding from the Shares otherwise issuable to Grantee upon exercise of the Option the number of Shares with a Fair Market Value (measured as of the date the tax withholding obligations are to be determined) sufficient to satisfy such tax withholding obligations; provided, however, that the number of such Shares so withheld will not exceed the amount necessary to satisfy the Company’s required tax withholding obligations using the statutory withholding rates for federal, state, local and foreign tax purposes, including payroll taxes as determined by the Administrator. Grantee understands that all matters with respect to the total amount of taxes to be withheld in respect of such compensation income will be determined by the Administrator in its reasonable discretion. Grantee further understands that, although the Company will pay withheld amounts to the applicable taxing authorities, Grantee remains responsible for payment of all taxes due as a result of income arising under the Agreement.</w:t>
      </w:r>
    </w:p>
    <w:p>
      <w:pPr>
        <w:spacing w:after="0" w:line="318" w:lineRule="exact"/>
        <w:rPr>
          <w:sz w:val="20"/>
          <w:szCs w:val="20"/>
          <w:color w:val="auto"/>
        </w:rPr>
      </w:pPr>
    </w:p>
    <w:p>
      <w:pPr>
        <w:ind w:left="504" w:right="60" w:hanging="504"/>
        <w:spacing w:after="0" w:line="253" w:lineRule="auto"/>
        <w:tabs>
          <w:tab w:leader="none" w:pos="504" w:val="left"/>
        </w:tabs>
        <w:numPr>
          <w:ilvl w:val="0"/>
          <w:numId w:val="5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Rights as a Stockholder. </w:t>
      </w:r>
      <w:r>
        <w:rPr>
          <w:rFonts w:ascii="Times New Roman" w:cs="Times New Roman" w:eastAsia="Times New Roman" w:hAnsi="Times New Roman"/>
          <w:sz w:val="21"/>
          <w:szCs w:val="21"/>
          <w:color w:val="auto"/>
        </w:rPr>
        <w:t>Neither Grantee nor anyone claiming through him/her will have any rights as a stockholder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the Company with respect to any Shares subject to the Option until the Grantee has exercised the Option as described herein and the Shares are delivered (as evidenced by delivery of a certificate for such Shares or the appropriate entry on the books of the Company or of a duly authorized transfer agent of the Company).</w:t>
      </w:r>
    </w:p>
    <w:p>
      <w:pPr>
        <w:spacing w:after="0" w:line="55" w:lineRule="exact"/>
        <w:rPr>
          <w:rFonts w:ascii="Times New Roman" w:cs="Times New Roman" w:eastAsia="Times New Roman" w:hAnsi="Times New Roman"/>
          <w:sz w:val="21"/>
          <w:szCs w:val="21"/>
          <w:b w:val="1"/>
          <w:bCs w:val="1"/>
          <w:color w:val="auto"/>
        </w:rPr>
      </w:pPr>
    </w:p>
    <w:p>
      <w:pPr>
        <w:ind w:left="504" w:right="140" w:hanging="504"/>
        <w:spacing w:after="0" w:line="250" w:lineRule="auto"/>
        <w:tabs>
          <w:tab w:leader="none" w:pos="504" w:val="left"/>
        </w:tabs>
        <w:numPr>
          <w:ilvl w:val="0"/>
          <w:numId w:val="5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Transferability. </w:t>
      </w:r>
      <w:r>
        <w:rPr>
          <w:rFonts w:ascii="Times New Roman" w:cs="Times New Roman" w:eastAsia="Times New Roman" w:hAnsi="Times New Roman"/>
          <w:sz w:val="21"/>
          <w:szCs w:val="21"/>
          <w:color w:val="auto"/>
        </w:rPr>
        <w:t>The Option may not be sold, pledged, assigned, hypothecated, transferred, except by will or by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laws of descent and distribution and in accordance with the Applicable Laws, and is exercisable during Grantee’s life only by Grantee. Notwithstanding the foregoing, by delivering written notice to the Company, in a form satisfactory to the Administrator, Grantee may designate a third party who, in the event of Grantee’s death, will thereafter be entitled to exercise the Option.</w:t>
      </w:r>
    </w:p>
    <w:p>
      <w:pPr>
        <w:spacing w:after="0" w:line="57" w:lineRule="exact"/>
        <w:rPr>
          <w:rFonts w:ascii="Times New Roman" w:cs="Times New Roman" w:eastAsia="Times New Roman" w:hAnsi="Times New Roman"/>
          <w:sz w:val="21"/>
          <w:szCs w:val="21"/>
          <w:b w:val="1"/>
          <w:bCs w:val="1"/>
          <w:color w:val="auto"/>
        </w:rPr>
      </w:pPr>
    </w:p>
    <w:p>
      <w:pPr>
        <w:ind w:left="504" w:right="300" w:hanging="504"/>
        <w:spacing w:after="0" w:line="253" w:lineRule="auto"/>
        <w:tabs>
          <w:tab w:leader="none" w:pos="504" w:val="left"/>
        </w:tabs>
        <w:numPr>
          <w:ilvl w:val="0"/>
          <w:numId w:val="5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Option Not a Service Contract. </w:t>
      </w:r>
      <w:r>
        <w:rPr>
          <w:rFonts w:ascii="Times New Roman" w:cs="Times New Roman" w:eastAsia="Times New Roman" w:hAnsi="Times New Roman"/>
          <w:sz w:val="21"/>
          <w:szCs w:val="21"/>
          <w:color w:val="auto"/>
        </w:rPr>
        <w:t>Neither the Option nor this Agreement is an employment or service contract,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nothing in this Agreement or the Grant Notice creates or will be deemed to create in any way whatsoever any obligation on Grantee’s part to continue in the service of the Company or a Related Entity, or of the Company or a Related Entity to continue Grantee’s service.</w:t>
      </w:r>
    </w:p>
    <w:p>
      <w:pPr>
        <w:spacing w:after="0" w:line="55" w:lineRule="exact"/>
        <w:rPr>
          <w:rFonts w:ascii="Times New Roman" w:cs="Times New Roman" w:eastAsia="Times New Roman" w:hAnsi="Times New Roman"/>
          <w:sz w:val="21"/>
          <w:szCs w:val="21"/>
          <w:b w:val="1"/>
          <w:bCs w:val="1"/>
          <w:color w:val="auto"/>
        </w:rPr>
      </w:pPr>
    </w:p>
    <w:p>
      <w:pPr>
        <w:ind w:left="504" w:hanging="504"/>
        <w:spacing w:after="0"/>
        <w:tabs>
          <w:tab w:leader="none" w:pos="504" w:val="left"/>
        </w:tabs>
        <w:numPr>
          <w:ilvl w:val="0"/>
          <w:numId w:val="5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Inducement Award. </w:t>
      </w:r>
      <w:r>
        <w:rPr>
          <w:rFonts w:ascii="Times New Roman" w:cs="Times New Roman" w:eastAsia="Times New Roman" w:hAnsi="Times New Roman"/>
          <w:sz w:val="21"/>
          <w:szCs w:val="21"/>
          <w:color w:val="auto"/>
        </w:rPr>
        <w:t>This Option is an employment inducement grant made pursuant to Nasdaq Listing Rule 5635(c)</w:t>
      </w:r>
    </w:p>
    <w:p>
      <w:pPr>
        <w:spacing w:after="0" w:line="28" w:lineRule="exact"/>
        <w:rPr>
          <w:rFonts w:ascii="Times New Roman" w:cs="Times New Roman" w:eastAsia="Times New Roman" w:hAnsi="Times New Roman"/>
          <w:sz w:val="21"/>
          <w:szCs w:val="21"/>
          <w:b w:val="1"/>
          <w:bCs w:val="1"/>
          <w:color w:val="auto"/>
        </w:rPr>
      </w:pPr>
    </w:p>
    <w:p>
      <w:pPr>
        <w:ind w:left="504" w:right="80"/>
        <w:spacing w:after="0" w:line="244"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(4). Accordingly, this Option has been granted outside of the Plan or any other equity plan established by the Company. However, this Option will be administered and interpreted as if issued under the Plan, a copy of which has been provided to the Grantee and which is incorporated herein in its entirety. In the event of any conflict between the provisions of this Agreement and those of the Plan, the provisions of the Plan will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865505</wp:posOffset>
            </wp:positionV>
            <wp:extent cx="715835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724"/>
          </w:cols>
          <w:pgMar w:left="836" w:top="1440" w:right="339" w:bottom="1440" w:gutter="0" w:footer="0" w:header="0"/>
        </w:sectPr>
      </w:pPr>
    </w:p>
    <w:bookmarkStart w:id="83" w:name="page84"/>
    <w:bookmarkEnd w:id="83"/>
    <w:p>
      <w:pPr>
        <w:spacing w:after="0" w:line="64" w:lineRule="exact"/>
        <w:rPr>
          <w:sz w:val="20"/>
          <w:szCs w:val="20"/>
          <w:color w:val="auto"/>
        </w:rPr>
      </w:pPr>
    </w:p>
    <w:p>
      <w:pPr>
        <w:ind w:left="1020" w:hanging="504"/>
        <w:spacing w:after="0"/>
        <w:tabs>
          <w:tab w:leader="none" w:pos="1020" w:val="left"/>
        </w:tabs>
        <w:numPr>
          <w:ilvl w:val="0"/>
          <w:numId w:val="5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Miscellaneous.</w:t>
      </w:r>
    </w:p>
    <w:p>
      <w:pPr>
        <w:spacing w:after="0" w:line="111" w:lineRule="exact"/>
        <w:rPr>
          <w:rFonts w:ascii="Times New Roman" w:cs="Times New Roman" w:eastAsia="Times New Roman" w:hAnsi="Times New Roman"/>
          <w:sz w:val="21"/>
          <w:szCs w:val="21"/>
          <w:b w:val="1"/>
          <w:bCs w:val="1"/>
          <w:color w:val="auto"/>
        </w:rPr>
      </w:pPr>
    </w:p>
    <w:p>
      <w:pPr>
        <w:ind w:left="1540" w:right="20" w:hanging="515"/>
        <w:spacing w:after="0" w:line="247" w:lineRule="auto"/>
        <w:tabs>
          <w:tab w:leader="none" w:pos="1540"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Any notice, demand or request required or permitted to be given pursuant to the terms of this Agreement will be in writing and will be deemed given when delivered personally, one day after deposit with a recognized international delivery service (such as FedEx), or three days after deposit in the U.S. mail, first class, certified or registered, return receipt requested, with postage prepaid, in each case addressed to the parties at the addresses of the parties set forth in the Grant Notice or such other address as a party may designate by notifying the other in writing.</w:t>
      </w:r>
    </w:p>
    <w:p>
      <w:pPr>
        <w:spacing w:after="0" w:line="65" w:lineRule="exact"/>
        <w:rPr>
          <w:rFonts w:ascii="Times New Roman" w:cs="Times New Roman" w:eastAsia="Times New Roman" w:hAnsi="Times New Roman"/>
          <w:sz w:val="21"/>
          <w:szCs w:val="21"/>
          <w:color w:val="auto"/>
        </w:rPr>
      </w:pPr>
    </w:p>
    <w:p>
      <w:pPr>
        <w:ind w:left="1540" w:right="60" w:hanging="515"/>
        <w:spacing w:after="0" w:line="249" w:lineRule="auto"/>
        <w:tabs>
          <w:tab w:leader="none" w:pos="1540"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 The provisions of this Agreement will inure to the benefit of, and be binding upon, the Company and its successors and assigns and upon the Grantee, Grantee’s executor, personal representative(s), distributees, administrators, permitted transferees, permitted assignees, beneficiaries, and legatee(s), as applicable, whether or not any such person will have become a party to this Agreement and have agreed in writing to be joined herein and be bound by the terms hereof.</w:t>
      </w:r>
    </w:p>
    <w:p>
      <w:pPr>
        <w:spacing w:after="0" w:line="62" w:lineRule="exact"/>
        <w:rPr>
          <w:rFonts w:ascii="Times New Roman" w:cs="Times New Roman" w:eastAsia="Times New Roman" w:hAnsi="Times New Roman"/>
          <w:sz w:val="21"/>
          <w:szCs w:val="21"/>
          <w:color w:val="auto"/>
        </w:rPr>
      </w:pPr>
    </w:p>
    <w:p>
      <w:pPr>
        <w:ind w:left="1540" w:right="80" w:hanging="515"/>
        <w:spacing w:after="0" w:line="258" w:lineRule="auto"/>
        <w:tabs>
          <w:tab w:leader="none" w:pos="1540"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The provisions of this Agreement are severable, and if any one or more provisions are determined to be illegal or otherwise unenforceable, in whole or in part, then the remaining provisions will nevertheless be binding and enforceable.</w:t>
      </w:r>
    </w:p>
    <w:p>
      <w:pPr>
        <w:spacing w:after="0" w:line="53" w:lineRule="exact"/>
        <w:rPr>
          <w:rFonts w:ascii="Times New Roman" w:cs="Times New Roman" w:eastAsia="Times New Roman" w:hAnsi="Times New Roman"/>
          <w:sz w:val="21"/>
          <w:szCs w:val="21"/>
          <w:color w:val="auto"/>
        </w:rPr>
      </w:pPr>
    </w:p>
    <w:p>
      <w:pPr>
        <w:ind w:left="1540" w:right="820" w:hanging="515"/>
        <w:spacing w:after="0" w:line="277" w:lineRule="auto"/>
        <w:tabs>
          <w:tab w:leader="none" w:pos="1540"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w:t>
      </w:r>
      <w:r>
        <w:rPr>
          <w:rFonts w:ascii="Times New Roman" w:cs="Times New Roman" w:eastAsia="Times New Roman" w:hAnsi="Times New Roman"/>
          <w:sz w:val="21"/>
          <w:szCs w:val="21"/>
          <w:color w:val="auto"/>
        </w:rPr>
        <w:t>. Except as otherwise provided in the Plan, this Agreement will not be amended unless the amendment is agreed to in writing by both Grantee and the Company.</w:t>
      </w:r>
    </w:p>
    <w:p>
      <w:pPr>
        <w:spacing w:after="0" w:line="33" w:lineRule="exact"/>
        <w:rPr>
          <w:rFonts w:ascii="Times New Roman" w:cs="Times New Roman" w:eastAsia="Times New Roman" w:hAnsi="Times New Roman"/>
          <w:sz w:val="21"/>
          <w:szCs w:val="21"/>
          <w:color w:val="auto"/>
        </w:rPr>
      </w:pPr>
    </w:p>
    <w:p>
      <w:pPr>
        <w:ind w:left="1540" w:hanging="515"/>
        <w:spacing w:after="0" w:line="277" w:lineRule="auto"/>
        <w:tabs>
          <w:tab w:leader="none" w:pos="1540"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Choice of Law</w:t>
      </w:r>
      <w:r>
        <w:rPr>
          <w:rFonts w:ascii="Times New Roman" w:cs="Times New Roman" w:eastAsia="Times New Roman" w:hAnsi="Times New Roman"/>
          <w:sz w:val="21"/>
          <w:szCs w:val="21"/>
          <w:color w:val="auto"/>
        </w:rPr>
        <w:t>. This Agreement will be construed and enforced in accordance with and governed by the laws of the State of Delaware, without giving effect to the choice of law rules of any jurisdiction.</w:t>
      </w:r>
    </w:p>
    <w:p>
      <w:pPr>
        <w:spacing w:after="0" w:line="33" w:lineRule="exact"/>
        <w:rPr>
          <w:rFonts w:ascii="Times New Roman" w:cs="Times New Roman" w:eastAsia="Times New Roman" w:hAnsi="Times New Roman"/>
          <w:sz w:val="21"/>
          <w:szCs w:val="21"/>
          <w:color w:val="auto"/>
        </w:rPr>
      </w:pPr>
    </w:p>
    <w:p>
      <w:pPr>
        <w:ind w:left="1540" w:right="140" w:hanging="515"/>
        <w:spacing w:after="0" w:line="252" w:lineRule="auto"/>
        <w:tabs>
          <w:tab w:leader="none" w:pos="1540"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This Agreement, along with the Grant Notice and the Plan, constitutes the entire agreement between the parties hereto with regard to the subject matter hereof, and supersedes any other agreements, representations or understandings (whether oral or written and whether express or implied) that relate to such subject matter.</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u w:val="single" w:color="auto"/>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TENAX THERAPEUTICS, INC.</w:t>
      </w:r>
    </w:p>
    <w:p>
      <w:pPr>
        <w:spacing w:after="0" w:line="24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1"/>
          <w:szCs w:val="21"/>
          <w:b w:val="1"/>
          <w:bCs w:val="1"/>
          <w:color w:val="auto"/>
        </w:rPr>
        <w:t>NOTICE OF EXERCISE</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Tenax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1163955</wp:posOffset>
            </wp:positionV>
            <wp:extent cx="715835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128270</wp:posOffset>
            </wp:positionV>
            <wp:extent cx="90868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24">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264795</wp:posOffset>
            </wp:positionV>
            <wp:extent cx="90868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25">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21"/>
          <w:szCs w:val="21"/>
          <w:color w:val="auto"/>
        </w:rPr>
        <w:t>Attention: President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of Exercise: _________________</w:t>
      </w:r>
    </w:p>
    <w:p>
      <w:pPr>
        <w:spacing w:after="0" w:line="200" w:lineRule="exact"/>
        <w:rPr>
          <w:sz w:val="20"/>
          <w:szCs w:val="20"/>
          <w:color w:val="auto"/>
        </w:rPr>
      </w:pPr>
    </w:p>
    <w:p>
      <w:pPr>
        <w:spacing w:after="0" w:line="256" w:lineRule="exact"/>
        <w:rPr>
          <w:sz w:val="20"/>
          <w:szCs w:val="20"/>
          <w:color w:val="auto"/>
        </w:rPr>
      </w:pPr>
    </w:p>
    <w:p>
      <w:pPr>
        <w:ind w:right="240" w:firstLine="7"/>
        <w:spacing w:after="0" w:line="258" w:lineRule="auto"/>
        <w:tabs>
          <w:tab w:leader="none" w:pos="358"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Exercise of Option</w:t>
      </w:r>
      <w:r>
        <w:rPr>
          <w:rFonts w:ascii="Times New Roman" w:cs="Times New Roman" w:eastAsia="Times New Roman" w:hAnsi="Times New Roman"/>
          <w:sz w:val="21"/>
          <w:szCs w:val="21"/>
          <w:color w:val="auto"/>
        </w:rPr>
        <w:t>. This constitutes notice to Tenax Therapeutics, Inc.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that, pursuant to the Inducement Stock Option Award Agreement, dated ___________, 20__ (the “</w:t>
      </w:r>
      <w:r>
        <w:rPr>
          <w:rFonts w:ascii="Times New Roman" w:cs="Times New Roman" w:eastAsia="Times New Roman" w:hAnsi="Times New Roman"/>
          <w:sz w:val="21"/>
          <w:szCs w:val="21"/>
          <w:u w:val="single" w:color="auto"/>
          <w:color w:val="auto"/>
        </w:rPr>
        <w:t>Award Agreement</w:t>
      </w:r>
      <w:r>
        <w:rPr>
          <w:rFonts w:ascii="Times New Roman" w:cs="Times New Roman" w:eastAsia="Times New Roman" w:hAnsi="Times New Roman"/>
          <w:sz w:val="21"/>
          <w:szCs w:val="21"/>
          <w:color w:val="auto"/>
        </w:rPr>
        <w:t>”), I elect to purchase the number of Shares set forth below for the price set forth below.</w:t>
      </w:r>
    </w:p>
    <w:p>
      <w:pPr>
        <w:spacing w:after="0" w:line="188"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1"/>
          <w:szCs w:val="21"/>
          <w:color w:val="auto"/>
        </w:rPr>
        <w:t>Number  of  Shares  as  to  which  Option  is</w:t>
      </w:r>
    </w:p>
    <w:p>
      <w:pPr>
        <w:spacing w:after="0" w:line="24"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1"/>
          <w:szCs w:val="21"/>
          <w:color w:val="auto"/>
        </w:rPr>
        <w:t>exercised (the “</w:t>
      </w:r>
      <w:r>
        <w:rPr>
          <w:rFonts w:ascii="Times New Roman" w:cs="Times New Roman" w:eastAsia="Times New Roman" w:hAnsi="Times New Roman"/>
          <w:sz w:val="21"/>
          <w:szCs w:val="21"/>
          <w:u w:val="single" w:color="auto"/>
          <w:color w:val="auto"/>
        </w:rPr>
        <w:t>Optioned Shares</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3942080</wp:posOffset>
            </wp:positionH>
            <wp:positionV relativeFrom="paragraph">
              <wp:posOffset>-5715</wp:posOffset>
            </wp:positionV>
            <wp:extent cx="325882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26">
                      <a:extLst>
                        <a:ext uri="{28A0092B-C50C-407E-A947-70E740481C1C}"/>
                      </a:extLst>
                    </a:blip>
                    <a:srcRect/>
                    <a:stretch>
                      <a:fillRect/>
                    </a:stretch>
                  </pic:blipFill>
                  <pic:spPr bwMode="auto">
                    <a:xfrm>
                      <a:off x="0" y="0"/>
                      <a:ext cx="3258820" cy="8255"/>
                    </a:xfrm>
                    <a:prstGeom prst="rect">
                      <a:avLst/>
                    </a:prstGeom>
                    <a:noFill/>
                  </pic:spPr>
                </pic:pic>
              </a:graphicData>
            </a:graphic>
          </wp:anchor>
        </w:drawing>
      </w:r>
    </w:p>
    <w:p>
      <w:pPr>
        <w:spacing w:after="0" w:line="184"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1"/>
          <w:szCs w:val="21"/>
          <w:color w:val="auto"/>
        </w:rPr>
        <w:t>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3942080</wp:posOffset>
            </wp:positionH>
            <wp:positionV relativeFrom="paragraph">
              <wp:posOffset>8890</wp:posOffset>
            </wp:positionV>
            <wp:extent cx="325882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27">
                      <a:extLst>
                        <a:ext uri="{28A0092B-C50C-407E-A947-70E740481C1C}"/>
                      </a:extLst>
                    </a:blip>
                    <a:srcRect/>
                    <a:stretch>
                      <a:fillRect/>
                    </a:stretch>
                  </pic:blipFill>
                  <pic:spPr bwMode="auto">
                    <a:xfrm>
                      <a:off x="0" y="0"/>
                      <a:ext cx="3258820" cy="8255"/>
                    </a:xfrm>
                    <a:prstGeom prst="rect">
                      <a:avLst/>
                    </a:prstGeom>
                    <a:noFill/>
                  </pic:spPr>
                </pic:pic>
              </a:graphicData>
            </a:graphic>
          </wp:anchor>
        </w:drawing>
      </w:r>
    </w:p>
    <w:p>
      <w:pPr>
        <w:spacing w:after="0" w:line="208"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1"/>
          <w:szCs w:val="21"/>
          <w:color w:val="auto"/>
        </w:rPr>
        <w:t>Total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3942080</wp:posOffset>
            </wp:positionH>
            <wp:positionV relativeFrom="paragraph">
              <wp:posOffset>8890</wp:posOffset>
            </wp:positionV>
            <wp:extent cx="325882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28">
                      <a:extLst>
                        <a:ext uri="{28A0092B-C50C-407E-A947-70E740481C1C}"/>
                      </a:extLst>
                    </a:blip>
                    <a:srcRect/>
                    <a:stretch>
                      <a:fillRect/>
                    </a:stretch>
                  </pic:blipFill>
                  <pic:spPr bwMode="auto">
                    <a:xfrm>
                      <a:off x="0" y="0"/>
                      <a:ext cx="3258820" cy="825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right="160" w:firstLine="365"/>
        <w:spacing w:after="0" w:line="277" w:lineRule="auto"/>
        <w:tabs>
          <w:tab w:leader="none" w:pos="715"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Delivery of Payment</w:t>
      </w:r>
      <w:r>
        <w:rPr>
          <w:rFonts w:ascii="Times New Roman" w:cs="Times New Roman" w:eastAsia="Times New Roman" w:hAnsi="Times New Roman"/>
          <w:sz w:val="21"/>
          <w:szCs w:val="21"/>
          <w:color w:val="auto"/>
        </w:rPr>
        <w:t>. With this notice, I hereby deliver to the Company the full Purchase Price for the Optioned Shares, in a form permitted by the Award Agreement.</w:t>
      </w:r>
    </w:p>
    <w:p>
      <w:pPr>
        <w:spacing w:after="0" w:line="140" w:lineRule="exact"/>
        <w:rPr>
          <w:rFonts w:ascii="Times New Roman" w:cs="Times New Roman" w:eastAsia="Times New Roman" w:hAnsi="Times New Roman"/>
          <w:sz w:val="21"/>
          <w:szCs w:val="21"/>
          <w:color w:val="auto"/>
        </w:rPr>
      </w:pPr>
    </w:p>
    <w:p>
      <w:pPr>
        <w:ind w:firstLine="365"/>
        <w:spacing w:after="0" w:line="249" w:lineRule="auto"/>
        <w:tabs>
          <w:tab w:leader="none" w:pos="715"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Representations</w:t>
      </w:r>
      <w:r>
        <w:rPr>
          <w:rFonts w:ascii="Times New Roman" w:cs="Times New Roman" w:eastAsia="Times New Roman" w:hAnsi="Times New Roman"/>
          <w:sz w:val="21"/>
          <w:szCs w:val="21"/>
          <w:color w:val="auto"/>
        </w:rPr>
        <w:t>. By signing and delivering this notice to the Company, I acknowledge that I am the holder of the Option exercised by this notice and have full power and authority to exercise the Option. I further represent that I have received, read, and understood the Company’s 2022 Stock Incentive Plan, as amended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and the Award Agreement, and I confirm my agreement to abide by and be bound by their terms and conditions. Capitalized terms used and not otherwise defined in this notice will have the meanings ascribed to those terms in the Award Agreement.</w:t>
      </w:r>
    </w:p>
    <w:p>
      <w:pPr>
        <w:spacing w:after="0" w:line="169" w:lineRule="exact"/>
        <w:rPr>
          <w:rFonts w:ascii="Times New Roman" w:cs="Times New Roman" w:eastAsia="Times New Roman" w:hAnsi="Times New Roman"/>
          <w:sz w:val="21"/>
          <w:szCs w:val="21"/>
          <w:color w:val="auto"/>
        </w:rPr>
      </w:pPr>
    </w:p>
    <w:p>
      <w:pPr>
        <w:ind w:right="80" w:firstLine="365"/>
        <w:spacing w:after="0" w:line="244" w:lineRule="auto"/>
        <w:tabs>
          <w:tab w:leader="none" w:pos="715"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Compliance with Securities Laws</w:t>
      </w:r>
      <w:r>
        <w:rPr>
          <w:rFonts w:ascii="Times New Roman" w:cs="Times New Roman" w:eastAsia="Times New Roman" w:hAnsi="Times New Roman"/>
          <w:sz w:val="21"/>
          <w:szCs w:val="21"/>
          <w:color w:val="auto"/>
        </w:rPr>
        <w:t>. Notwithstanding any other provision of the Award Agreement to the contrary, the exercise of any rights to purchase any Optioned Shares is expressly conditioned upon compliance with the Securities Act, all applicable state securities laws and all applicable requirements of any stock exchange or over the counter market on which the Company’s Common Stock may be listed or traded at the time of exercise and transfer. I agree to cooperate with the Company to ensure compliance with such laws. I further understand that the Optioned Shares cannot be resold and must be held indefinitely unless they are registered under the Securities Act or unless an exemption from such registration is available and that the certificate(s) representing the Optioned Shares may bear a legend to that effect. I understand that the Company is under no obligation to register the Optioned Shares and that an exemption may not be available or may not permit me to transfer Optioned Shares in the amounts or at the times I may desire.</w:t>
      </w:r>
    </w:p>
    <w:p>
      <w:pPr>
        <w:spacing w:after="0" w:line="179" w:lineRule="exact"/>
        <w:rPr>
          <w:rFonts w:ascii="Times New Roman" w:cs="Times New Roman" w:eastAsia="Times New Roman" w:hAnsi="Times New Roman"/>
          <w:sz w:val="21"/>
          <w:szCs w:val="21"/>
          <w:color w:val="auto"/>
        </w:rPr>
      </w:pPr>
    </w:p>
    <w:p>
      <w:pPr>
        <w:ind w:right="160" w:firstLine="365"/>
        <w:spacing w:after="0" w:line="258" w:lineRule="auto"/>
        <w:tabs>
          <w:tab w:leader="none" w:pos="715"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Withholding</w:t>
      </w:r>
      <w:r>
        <w:rPr>
          <w:rFonts w:ascii="Times New Roman" w:cs="Times New Roman" w:eastAsia="Times New Roman" w:hAnsi="Times New Roman"/>
          <w:sz w:val="21"/>
          <w:szCs w:val="21"/>
          <w:color w:val="auto"/>
        </w:rPr>
        <w:t>. I acknowledge that my exercise of the Option may result in Tax Obligations which require the Company to withhold certain amounts to satisfy federal, state, local, and/or foreign taxes. I agree to satisfy such tax withholding obligations as described in Section 9 of the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993140</wp:posOffset>
            </wp:positionV>
            <wp:extent cx="715835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85" w:name="page86"/>
    <w:bookmarkEnd w:id="85"/>
    <w:p>
      <w:pPr>
        <w:ind w:left="-756" w:firstLine="756"/>
        <w:spacing w:after="0" w:line="247" w:lineRule="auto"/>
        <w:tabs>
          <w:tab w:leader="none" w:pos="350"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Rights as a Stockholder</w:t>
      </w:r>
      <w:r>
        <w:rPr>
          <w:rFonts w:ascii="Times New Roman" w:cs="Times New Roman" w:eastAsia="Times New Roman" w:hAnsi="Times New Roman"/>
          <w:sz w:val="21"/>
          <w:szCs w:val="21"/>
          <w:color w:val="auto"/>
        </w:rPr>
        <w:t>. While the Company will endeavor to process this notice in a timely manner, I acknowledge that, until the issuance of the Optioned Shares (or, in the Company’s discretion, in un-certificated form, upon the books of the Company’s transfer agent) and my satisfaction of any other conditions imposed by the Company pursuant to the Plan or as set forth in the Award Agreement, no right to vote or receive dividends or any other rights as a stockholder will exist with respect to the Optioned Shares, notwithstanding the exercise of my Option. No adjustment will be made for a dividend or other right for which the record date is prior to the date of issuance of the Optioned Shares.</w:t>
      </w:r>
    </w:p>
    <w:p>
      <w:pPr>
        <w:spacing w:after="0" w:line="173" w:lineRule="exact"/>
        <w:rPr>
          <w:rFonts w:ascii="Times New Roman" w:cs="Times New Roman" w:eastAsia="Times New Roman" w:hAnsi="Times New Roman"/>
          <w:sz w:val="21"/>
          <w:szCs w:val="21"/>
          <w:color w:val="auto"/>
        </w:rPr>
      </w:pPr>
    </w:p>
    <w:p>
      <w:pPr>
        <w:ind w:left="-756" w:right="200" w:firstLine="756"/>
        <w:spacing w:after="0" w:line="252" w:lineRule="auto"/>
        <w:tabs>
          <w:tab w:leader="none" w:pos="350"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Consultation</w:t>
      </w:r>
      <w:r>
        <w:rPr>
          <w:rFonts w:ascii="Times New Roman" w:cs="Times New Roman" w:eastAsia="Times New Roman" w:hAnsi="Times New Roman"/>
          <w:sz w:val="21"/>
          <w:szCs w:val="21"/>
          <w:color w:val="auto"/>
        </w:rPr>
        <w:t>. I understand that I may experience adverse tax consequences as a result of my exercise of the Option or my disposition of the Optioned Shares. I represent that I have consulted with any tax consultants I deem advisable in connection with the exercise of the Option and/or the disposition of the Optioned Shares and that I am not relying on the Company or its agents for any tax advice.</w:t>
      </w:r>
    </w:p>
    <w:p>
      <w:pPr>
        <w:spacing w:after="0" w:line="166" w:lineRule="exact"/>
        <w:rPr>
          <w:rFonts w:ascii="Times New Roman" w:cs="Times New Roman" w:eastAsia="Times New Roman" w:hAnsi="Times New Roman"/>
          <w:sz w:val="21"/>
          <w:szCs w:val="21"/>
          <w:color w:val="auto"/>
        </w:rPr>
      </w:pPr>
    </w:p>
    <w:p>
      <w:pPr>
        <w:ind w:left="-756" w:right="400" w:firstLine="756"/>
        <w:spacing w:after="0" w:line="277" w:lineRule="auto"/>
        <w:tabs>
          <w:tab w:leader="none" w:pos="350"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Interpretation</w:t>
      </w:r>
      <w:r>
        <w:rPr>
          <w:rFonts w:ascii="Times New Roman" w:cs="Times New Roman" w:eastAsia="Times New Roman" w:hAnsi="Times New Roman"/>
          <w:sz w:val="21"/>
          <w:szCs w:val="21"/>
          <w:color w:val="auto"/>
        </w:rPr>
        <w:t>. Any dispute regarding the interpretation of this notice will be resolved by the Administrator in its discretion, and the Administrator’s determination will be final and binding on all parties.</w:t>
      </w:r>
    </w:p>
    <w:p>
      <w:pPr>
        <w:spacing w:after="0" w:line="140" w:lineRule="exact"/>
        <w:rPr>
          <w:rFonts w:ascii="Times New Roman" w:cs="Times New Roman" w:eastAsia="Times New Roman" w:hAnsi="Times New Roman"/>
          <w:sz w:val="21"/>
          <w:szCs w:val="21"/>
          <w:color w:val="auto"/>
        </w:rPr>
      </w:pPr>
    </w:p>
    <w:p>
      <w:pPr>
        <w:ind w:left="-756" w:right="240" w:firstLine="756"/>
        <w:spacing w:after="0" w:line="258" w:lineRule="auto"/>
        <w:tabs>
          <w:tab w:leader="none" w:pos="350"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The Plan and the Award Agreement under which the Option was originally granted are incorporated herein by reference and, together with this notice, constitute the entire agreement of the parties with respect to the subject matter of this notice.</w:t>
      </w:r>
    </w:p>
    <w:p>
      <w:pPr>
        <w:spacing w:after="0" w:line="398" w:lineRule="exact"/>
        <w:rPr>
          <w:sz w:val="20"/>
          <w:szCs w:val="20"/>
          <w:color w:val="auto"/>
        </w:rPr>
      </w:pPr>
    </w:p>
    <w:p>
      <w:pPr>
        <w:ind w:left="3744"/>
        <w:spacing w:after="0"/>
        <w:rPr>
          <w:sz w:val="20"/>
          <w:szCs w:val="20"/>
          <w:color w:val="auto"/>
        </w:rPr>
      </w:pPr>
      <w:r>
        <w:rPr>
          <w:rFonts w:ascii="Times New Roman" w:cs="Times New Roman" w:eastAsia="Times New Roman" w:hAnsi="Times New Roman"/>
          <w:sz w:val="21"/>
          <w:szCs w:val="21"/>
          <w:b w:val="1"/>
          <w:bCs w:val="1"/>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2377440</wp:posOffset>
            </wp:positionH>
            <wp:positionV relativeFrom="paragraph">
              <wp:posOffset>437515</wp:posOffset>
            </wp:positionV>
            <wp:extent cx="113601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30">
                      <a:extLst>
                        <a:ext uri="{28A0092B-C50C-407E-A947-70E740481C1C}"/>
                      </a:extLst>
                    </a:blip>
                    <a:srcRect/>
                    <a:stretch>
                      <a:fillRect/>
                    </a:stretch>
                  </pic:blipFill>
                  <pic:spPr bwMode="auto">
                    <a:xfrm>
                      <a:off x="0" y="0"/>
                      <a:ext cx="1136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744"/>
        <w:spacing w:after="0"/>
        <w:rPr>
          <w:sz w:val="20"/>
          <w:szCs w:val="20"/>
          <w:color w:val="auto"/>
        </w:rPr>
      </w:pPr>
      <w:r>
        <w:rPr>
          <w:rFonts w:ascii="Times New Roman" w:cs="Times New Roman" w:eastAsia="Times New Roman" w:hAnsi="Times New Roman"/>
          <w:sz w:val="21"/>
          <w:szCs w:val="21"/>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3059430</wp:posOffset>
            </wp:positionH>
            <wp:positionV relativeFrom="paragraph">
              <wp:posOffset>-7620</wp:posOffset>
            </wp:positionV>
            <wp:extent cx="113601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31">
                      <a:extLst>
                        <a:ext uri="{28A0092B-C50C-407E-A947-70E740481C1C}"/>
                      </a:extLst>
                    </a:blip>
                    <a:srcRect/>
                    <a:stretch>
                      <a:fillRect/>
                    </a:stretch>
                  </pic:blipFill>
                  <pic:spPr bwMode="auto">
                    <a:xfrm>
                      <a:off x="0" y="0"/>
                      <a:ext cx="1136015" cy="8255"/>
                    </a:xfrm>
                    <a:prstGeom prst="rect">
                      <a:avLst/>
                    </a:prstGeom>
                    <a:noFill/>
                  </pic:spPr>
                </pic:pic>
              </a:graphicData>
            </a:graphic>
          </wp:anchor>
        </w:drawing>
      </w:r>
    </w:p>
    <w:p>
      <w:pPr>
        <w:spacing w:after="0" w:line="222" w:lineRule="exact"/>
        <w:rPr>
          <w:sz w:val="20"/>
          <w:szCs w:val="20"/>
          <w:color w:val="auto"/>
        </w:rPr>
      </w:pPr>
    </w:p>
    <w:p>
      <w:pPr>
        <w:ind w:left="3744"/>
        <w:spacing w:after="0"/>
        <w:rPr>
          <w:sz w:val="20"/>
          <w:szCs w:val="20"/>
          <w:color w:val="auto"/>
        </w:rPr>
      </w:pPr>
      <w:r>
        <w:rPr>
          <w:rFonts w:ascii="Times New Roman" w:cs="Times New Roman" w:eastAsia="Times New Roman" w:hAnsi="Times New Roman"/>
          <w:sz w:val="21"/>
          <w:szCs w:val="21"/>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1300480</wp:posOffset>
            </wp:positionV>
            <wp:extent cx="715835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3058795</wp:posOffset>
            </wp:positionH>
            <wp:positionV relativeFrom="paragraph">
              <wp:posOffset>-7620</wp:posOffset>
            </wp:positionV>
            <wp:extent cx="113601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33">
                      <a:extLst>
                        <a:ext uri="{28A0092B-C50C-407E-A947-70E740481C1C}"/>
                      </a:extLst>
                    </a:blip>
                    <a:srcRect/>
                    <a:stretch>
                      <a:fillRect/>
                    </a:stretch>
                  </pic:blipFill>
                  <pic:spPr bwMode="auto">
                    <a:xfrm>
                      <a:off x="0" y="0"/>
                      <a:ext cx="1136015" cy="8255"/>
                    </a:xfrm>
                    <a:prstGeom prst="rect">
                      <a:avLst/>
                    </a:prstGeom>
                    <a:noFill/>
                  </pic:spPr>
                </pic:pic>
              </a:graphicData>
            </a:graphic>
          </wp:anchor>
        </w:drawing>
        <w:drawing>
          <wp:anchor simplePos="0" relativeHeight="251657728" behindDoc="1" locked="0" layoutInCell="0" allowOverlap="1">
            <wp:simplePos x="0" y="0"/>
            <wp:positionH relativeFrom="column">
              <wp:posOffset>2832100</wp:posOffset>
            </wp:positionH>
            <wp:positionV relativeFrom="paragraph">
              <wp:posOffset>128270</wp:posOffset>
            </wp:positionV>
            <wp:extent cx="113601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34">
                      <a:extLst>
                        <a:ext uri="{28A0092B-C50C-407E-A947-70E740481C1C}"/>
                      </a:extLst>
                    </a:blip>
                    <a:srcRect/>
                    <a:stretch>
                      <a:fillRect/>
                    </a:stretch>
                  </pic:blipFill>
                  <pic:spPr bwMode="auto">
                    <a:xfrm>
                      <a:off x="0" y="0"/>
                      <a:ext cx="1136015" cy="8255"/>
                    </a:xfrm>
                    <a:prstGeom prst="rect">
                      <a:avLst/>
                    </a:prstGeom>
                    <a:noFill/>
                  </pic:spPr>
                </pic:pic>
              </a:graphicData>
            </a:graphic>
          </wp:anchor>
        </w:drawing>
        <w:drawing>
          <wp:anchor simplePos="0" relativeHeight="251657728" behindDoc="1" locked="0" layoutInCell="0" allowOverlap="1">
            <wp:simplePos x="0" y="0"/>
            <wp:positionH relativeFrom="column">
              <wp:posOffset>2832100</wp:posOffset>
            </wp:positionH>
            <wp:positionV relativeFrom="paragraph">
              <wp:posOffset>264795</wp:posOffset>
            </wp:positionV>
            <wp:extent cx="113601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35">
                      <a:extLst>
                        <a:ext uri="{28A0092B-C50C-407E-A947-70E740481C1C}"/>
                      </a:extLst>
                    </a:blip>
                    <a:srcRect/>
                    <a:stretch>
                      <a:fillRect/>
                    </a:stretch>
                  </pic:blipFill>
                  <pic:spPr bwMode="auto">
                    <a:xfrm>
                      <a:off x="0" y="0"/>
                      <a:ext cx="1136015" cy="8255"/>
                    </a:xfrm>
                    <a:prstGeom prst="rect">
                      <a:avLst/>
                    </a:prstGeom>
                    <a:noFill/>
                  </pic:spPr>
                </pic:pic>
              </a:graphicData>
            </a:graphic>
          </wp:anchor>
        </w:drawing>
      </w:r>
    </w:p>
    <w:p>
      <w:pPr>
        <w:sectPr>
          <w:pgSz w:w="11900" w:h="16838" w:orient="portrait"/>
          <w:cols w:equalWidth="0" w:num="1">
            <w:col w:w="10404"/>
          </w:cols>
          <w:pgMar w:left="1076" w:top="1400" w:right="419" w:bottom="1440" w:gutter="0" w:footer="0" w:header="0"/>
        </w:sectPr>
      </w:pPr>
    </w:p>
    <w:bookmarkStart w:id="86" w:name="page87"/>
    <w:bookmarkEnd w:id="86"/>
    <w:p>
      <w:pPr>
        <w:jc w:val="right"/>
        <w:spacing w:after="0"/>
        <w:rPr>
          <w:sz w:val="20"/>
          <w:szCs w:val="20"/>
          <w:color w:val="auto"/>
        </w:rPr>
      </w:pPr>
      <w:r>
        <w:rPr>
          <w:rFonts w:ascii="Arial" w:cs="Arial" w:eastAsia="Arial" w:hAnsi="Arial"/>
          <w:sz w:val="20"/>
          <w:szCs w:val="20"/>
          <w:b w:val="1"/>
          <w:bCs w:val="1"/>
          <w:color w:val="auto"/>
        </w:rPr>
        <w:t>EXHIBIT 19.1</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TENAX THERAPEUTICS, INC.</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(the “Company”)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INSIDER TRADING POLICY</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 Guidelines with Respect to</w:t>
      </w:r>
    </w:p>
    <w:p>
      <w:pPr>
        <w:jc w:val="center"/>
        <w:ind w:right="60"/>
        <w:spacing w:after="0" w:line="229" w:lineRule="auto"/>
        <w:rPr>
          <w:sz w:val="20"/>
          <w:szCs w:val="20"/>
          <w:color w:val="auto"/>
        </w:rPr>
      </w:pPr>
      <w:r>
        <w:rPr>
          <w:rFonts w:ascii="Arial" w:cs="Arial" w:eastAsia="Arial" w:hAnsi="Arial"/>
          <w:sz w:val="20"/>
          <w:szCs w:val="20"/>
          <w:b w:val="1"/>
          <w:bCs w:val="1"/>
          <w:color w:val="auto"/>
        </w:rPr>
        <w:t>Certain Transactions in Company Securities</w:t>
      </w:r>
    </w:p>
    <w:p>
      <w:pPr>
        <w:ind w:left="4580"/>
        <w:spacing w:after="0"/>
        <w:rPr>
          <w:sz w:val="20"/>
          <w:szCs w:val="20"/>
          <w:color w:val="auto"/>
        </w:rPr>
      </w:pPr>
      <w:r>
        <w:rPr>
          <w:rFonts w:ascii="Arial" w:cs="Arial" w:eastAsia="Arial" w:hAnsi="Arial"/>
          <w:sz w:val="20"/>
          <w:szCs w:val="20"/>
          <w:color w:val="auto"/>
        </w:rPr>
        <w:t>___________________</w:t>
      </w:r>
    </w:p>
    <w:p>
      <w:pPr>
        <w:spacing w:after="0" w:line="181" w:lineRule="exact"/>
        <w:rPr>
          <w:sz w:val="20"/>
          <w:szCs w:val="20"/>
          <w:color w:val="auto"/>
        </w:rPr>
      </w:pPr>
    </w:p>
    <w:p>
      <w:pPr>
        <w:jc w:val="both"/>
        <w:ind w:right="180" w:firstLine="749"/>
        <w:spacing w:after="0" w:line="235" w:lineRule="auto"/>
        <w:rPr>
          <w:sz w:val="20"/>
          <w:szCs w:val="20"/>
          <w:color w:val="auto"/>
        </w:rPr>
      </w:pPr>
      <w:r>
        <w:rPr>
          <w:rFonts w:ascii="Arial" w:cs="Arial" w:eastAsia="Arial" w:hAnsi="Arial"/>
          <w:sz w:val="20"/>
          <w:szCs w:val="20"/>
          <w:color w:val="auto"/>
        </w:rPr>
        <w:t>This Policy provides guidelines to members of the Company’s Board of Directors (“Board Member(s)”), the Company’s employees and officers (which term includes interim officers, executive officers, and interim executive officers), and consultants and advisors to the Company and its subsidiaries with respect to transactions in the Company’s securities and the disclosure of material nonpublic information regarding the Company.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Applicability of Policy</w:t>
      </w:r>
    </w:p>
    <w:p>
      <w:pPr>
        <w:spacing w:after="0" w:line="201" w:lineRule="exact"/>
        <w:rPr>
          <w:sz w:val="20"/>
          <w:szCs w:val="20"/>
          <w:color w:val="auto"/>
        </w:rPr>
      </w:pPr>
    </w:p>
    <w:p>
      <w:pPr>
        <w:ind w:right="60" w:firstLine="749"/>
        <w:spacing w:after="0" w:line="229" w:lineRule="auto"/>
        <w:rPr>
          <w:sz w:val="20"/>
          <w:szCs w:val="20"/>
          <w:color w:val="auto"/>
        </w:rPr>
      </w:pPr>
      <w:r>
        <w:rPr>
          <w:rFonts w:ascii="Arial" w:cs="Arial" w:eastAsia="Arial" w:hAnsi="Arial"/>
          <w:sz w:val="20"/>
          <w:szCs w:val="20"/>
          <w:color w:val="auto"/>
        </w:rPr>
        <w:t>This Policy applies to all transactions in the Company’s securities, including common stock, options to purchase common stock, and any other securities the Company may issue from time to time, such as preferred stock, warrants or convertible debentures, as well as to derivative securities relating to the Company’s stock, such as exchange-traded options, whether or not issued by the Company. It applies to all officers and employees of the Company and to their assistants, all Board Members, all information technology and finance and accounting consultants to the Company and their assistants, and all consultants and advisors to the Company and its subsidiaries who receive or have access to material, nonpublic information (“Inside Information”) regarding the Company. This group of people, members of their immediate families, and members of their households are sometimes referred to in this Policy as “Insiders.” This Policy also applies to any person who receives Inside Information from any Insider.</w:t>
      </w:r>
    </w:p>
    <w:p>
      <w:pPr>
        <w:spacing w:after="0" w:line="172" w:lineRule="exact"/>
        <w:rPr>
          <w:sz w:val="20"/>
          <w:szCs w:val="20"/>
          <w:color w:val="auto"/>
        </w:rPr>
      </w:pPr>
    </w:p>
    <w:p>
      <w:pPr>
        <w:jc w:val="both"/>
        <w:ind w:right="440" w:firstLine="749"/>
        <w:spacing w:after="0" w:line="239" w:lineRule="auto"/>
        <w:rPr>
          <w:sz w:val="20"/>
          <w:szCs w:val="20"/>
          <w:color w:val="auto"/>
        </w:rPr>
      </w:pPr>
      <w:r>
        <w:rPr>
          <w:rFonts w:ascii="Arial" w:cs="Arial" w:eastAsia="Arial" w:hAnsi="Arial"/>
          <w:sz w:val="20"/>
          <w:szCs w:val="20"/>
          <w:color w:val="auto"/>
        </w:rPr>
        <w:t>Any person who possesses Inside Information regarding the Company is an Insider for so long as the information is material and not publicly known. Any person can be an Insider from time to time, and would at those times be subject to this Policy.</w:t>
      </w:r>
    </w:p>
    <w:p>
      <w:pPr>
        <w:spacing w:after="0" w:line="162" w:lineRule="exact"/>
        <w:rPr>
          <w:sz w:val="20"/>
          <w:szCs w:val="20"/>
          <w:color w:val="auto"/>
        </w:rPr>
      </w:pPr>
    </w:p>
    <w:p>
      <w:pPr>
        <w:ind w:left="520"/>
        <w:spacing w:after="0"/>
        <w:tabs>
          <w:tab w:leader="none" w:pos="5200" w:val="left"/>
        </w:tabs>
        <w:rPr>
          <w:sz w:val="20"/>
          <w:szCs w:val="20"/>
          <w:color w:val="auto"/>
        </w:rPr>
      </w:pPr>
      <w:r>
        <w:rPr>
          <w:rFonts w:ascii="Times New Roman" w:cs="Times New Roman" w:eastAsia="Times New Roman" w:hAnsi="Times New Roman"/>
          <w:sz w:val="21"/>
          <w:szCs w:val="21"/>
          <w:b w:val="1"/>
          <w:bCs w:val="1"/>
          <w:u w:val="single" w:color="auto"/>
          <w:color w:val="auto"/>
        </w:rPr>
        <w:t>1.</w:t>
      </w:r>
      <w:r>
        <w:rPr>
          <w:sz w:val="20"/>
          <w:szCs w:val="20"/>
          <w:color w:val="auto"/>
        </w:rPr>
        <w:tab/>
      </w:r>
      <w:r>
        <w:rPr>
          <w:rFonts w:ascii="Arial" w:cs="Arial" w:eastAsia="Arial" w:hAnsi="Arial"/>
          <w:sz w:val="20"/>
          <w:szCs w:val="20"/>
          <w:b w:val="1"/>
          <w:bCs w:val="1"/>
          <w:u w:val="single" w:color="auto"/>
          <w:color w:val="auto"/>
        </w:rPr>
        <w:t>Statement of Policy</w:t>
      </w:r>
    </w:p>
    <w:p>
      <w:pPr>
        <w:spacing w:after="0" w:line="28" w:lineRule="exact"/>
        <w:rPr>
          <w:sz w:val="20"/>
          <w:szCs w:val="20"/>
          <w:color w:val="auto"/>
        </w:rPr>
      </w:pPr>
    </w:p>
    <w:p>
      <w:pPr>
        <w:jc w:val="both"/>
        <w:ind w:right="440" w:firstLine="749"/>
        <w:spacing w:after="0" w:line="237" w:lineRule="auto"/>
        <w:rPr>
          <w:sz w:val="20"/>
          <w:szCs w:val="20"/>
          <w:color w:val="auto"/>
        </w:rPr>
      </w:pPr>
      <w:r>
        <w:rPr>
          <w:rFonts w:ascii="Arial" w:cs="Arial" w:eastAsia="Arial" w:hAnsi="Arial"/>
          <w:sz w:val="20"/>
          <w:szCs w:val="20"/>
          <w:color w:val="auto"/>
        </w:rPr>
        <w:t>It is the policy of the Company to oppose the misuse of Inside Information in securities trading and the unauthorized disclosure of any nonpublic information acquired in the workplace.</w:t>
      </w:r>
    </w:p>
    <w:p>
      <w:pPr>
        <w:spacing w:after="0" w:line="167" w:lineRule="exact"/>
        <w:rPr>
          <w:sz w:val="20"/>
          <w:szCs w:val="20"/>
          <w:color w:val="auto"/>
        </w:rPr>
      </w:pPr>
    </w:p>
    <w:p>
      <w:pPr>
        <w:ind w:left="1540" w:right="20" w:hanging="509"/>
        <w:spacing w:after="0" w:line="231" w:lineRule="auto"/>
        <w:tabs>
          <w:tab w:leader="none" w:pos="1520" w:val="left"/>
        </w:tabs>
        <w:rPr>
          <w:sz w:val="20"/>
          <w:szCs w:val="20"/>
          <w:color w:val="auto"/>
        </w:rPr>
      </w:pPr>
      <w:r>
        <w:rPr>
          <w:rFonts w:ascii="Times New Roman" w:cs="Times New Roman" w:eastAsia="Times New Roman" w:hAnsi="Times New Roman"/>
          <w:sz w:val="20"/>
          <w:szCs w:val="20"/>
          <w:b w:val="1"/>
          <w:bCs w:val="1"/>
          <w:color w:val="auto"/>
        </w:rPr>
        <w:t>1.1.</w:t>
      </w:r>
      <w:r>
        <w:rPr>
          <w:sz w:val="20"/>
          <w:szCs w:val="20"/>
          <w:color w:val="auto"/>
        </w:rPr>
        <w:tab/>
      </w:r>
      <w:r>
        <w:rPr>
          <w:rFonts w:ascii="Arial" w:cs="Arial" w:eastAsia="Arial" w:hAnsi="Arial"/>
          <w:sz w:val="20"/>
          <w:szCs w:val="20"/>
          <w:b w:val="1"/>
          <w:bCs w:val="1"/>
          <w:u w:val="single" w:color="auto"/>
          <w:color w:val="auto"/>
        </w:rPr>
        <w:t>Trading on Inside Information</w:t>
      </w: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No Insider shall engage in any transaction involving a purchase or sale of the</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Company’s securities, including any offer to purchase or offer to sell, during any period commencing with the date that he or she possesses Inside Information concerning the Company, and ending at the close of business on the second Trading Day following the date of public disclosure of such information or at such time as such information is no longer material. As used herein, the term “Trading Day” shall mean a day on which the stock exchange or market on which the Company’s stock trades is open for trading.</w:t>
      </w:r>
    </w:p>
    <w:p>
      <w:pPr>
        <w:spacing w:after="0" w:line="68" w:lineRule="exact"/>
        <w:rPr>
          <w:sz w:val="20"/>
          <w:szCs w:val="20"/>
          <w:color w:val="auto"/>
        </w:rPr>
      </w:pPr>
    </w:p>
    <w:p>
      <w:pPr>
        <w:ind w:left="1540" w:right="180" w:hanging="509"/>
        <w:spacing w:after="0" w:line="251" w:lineRule="auto"/>
        <w:tabs>
          <w:tab w:leader="none" w:pos="1520" w:val="left"/>
        </w:tabs>
        <w:rPr>
          <w:sz w:val="20"/>
          <w:szCs w:val="20"/>
          <w:color w:val="auto"/>
        </w:rPr>
      </w:pPr>
      <w:r>
        <w:rPr>
          <w:rFonts w:ascii="Times New Roman" w:cs="Times New Roman" w:eastAsia="Times New Roman" w:hAnsi="Times New Roman"/>
          <w:sz w:val="20"/>
          <w:szCs w:val="20"/>
          <w:b w:val="1"/>
          <w:bCs w:val="1"/>
          <w:color w:val="auto"/>
        </w:rPr>
        <w:t>1.2.</w:t>
      </w:r>
      <w:r>
        <w:rPr>
          <w:sz w:val="20"/>
          <w:szCs w:val="20"/>
          <w:color w:val="auto"/>
        </w:rPr>
        <w:tab/>
      </w:r>
      <w:r>
        <w:rPr>
          <w:rFonts w:ascii="Arial" w:cs="Arial" w:eastAsia="Arial" w:hAnsi="Arial"/>
          <w:sz w:val="19"/>
          <w:szCs w:val="19"/>
          <w:b w:val="1"/>
          <w:bCs w:val="1"/>
          <w:u w:val="single" w:color="auto"/>
          <w:color w:val="auto"/>
        </w:rPr>
        <w:t>Tipping</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No Insider shall disclose (“tip”) Inside Information to any other person (including family members)</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where such information may be used by such person to his or her profit by trading in the securities of companies to which such information relates, nor shall such Insider or related person make recommendations or express opinions on the basis of Inside Information as to trading in the Company’s securities.</w:t>
      </w:r>
    </w:p>
    <w:p>
      <w:pPr>
        <w:spacing w:after="0" w:line="52" w:lineRule="exact"/>
        <w:rPr>
          <w:sz w:val="20"/>
          <w:szCs w:val="20"/>
          <w:color w:val="auto"/>
        </w:rPr>
      </w:pPr>
    </w:p>
    <w:p>
      <w:pPr>
        <w:ind w:left="1540" w:right="220" w:hanging="509"/>
        <w:spacing w:after="0" w:line="255" w:lineRule="auto"/>
        <w:tabs>
          <w:tab w:leader="none" w:pos="1520" w:val="left"/>
        </w:tabs>
        <w:rPr>
          <w:sz w:val="20"/>
          <w:szCs w:val="20"/>
          <w:color w:val="auto"/>
        </w:rPr>
      </w:pPr>
      <w:r>
        <w:rPr>
          <w:rFonts w:ascii="Times New Roman" w:cs="Times New Roman" w:eastAsia="Times New Roman" w:hAnsi="Times New Roman"/>
          <w:sz w:val="20"/>
          <w:szCs w:val="20"/>
          <w:b w:val="1"/>
          <w:bCs w:val="1"/>
          <w:color w:val="auto"/>
        </w:rPr>
        <w:t>1.3.</w:t>
      </w:r>
      <w:r>
        <w:rPr>
          <w:sz w:val="20"/>
          <w:szCs w:val="20"/>
          <w:color w:val="auto"/>
        </w:rPr>
        <w:tab/>
      </w:r>
      <w:r>
        <w:rPr>
          <w:rFonts w:ascii="Arial" w:cs="Arial" w:eastAsia="Arial" w:hAnsi="Arial"/>
          <w:sz w:val="20"/>
          <w:szCs w:val="20"/>
          <w:b w:val="1"/>
          <w:bCs w:val="1"/>
          <w:u w:val="single" w:color="auto"/>
          <w:color w:val="auto"/>
        </w:rPr>
        <w:t>Confidentiality of Nonpublic Information</w:t>
      </w: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Nonpublic information relating to the Company is the property of</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the Company and the unauthorized disclosure of such information is forbidden.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443865</wp:posOffset>
            </wp:positionV>
            <wp:extent cx="715835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87" w:name="page88"/>
    <w:bookmarkEnd w:id="87"/>
    <w:tbl>
      <w:tblPr>
        <w:tblLayout w:type="fixed"/>
        <w:tblInd w:w="520" w:type="dxa"/>
        <w:tblCellMar>
          <w:top w:w="0" w:type="dxa"/>
          <w:left w:w="0" w:type="dxa"/>
          <w:bottom w:w="0" w:type="dxa"/>
          <w:right w:w="0" w:type="dxa"/>
        </w:tblCellMar>
      </w:tblPr>
      <w:tr>
        <w:trPr>
          <w:trHeight w:val="241"/>
        </w:trPr>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88"/>
              </w:rPr>
              <w:t>2.</w:t>
            </w:r>
          </w:p>
        </w:tc>
        <w:tc>
          <w:tcPr>
            <w:tcW w:w="8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940" w:type="dxa"/>
            <w:vAlign w:val="bottom"/>
            <w:gridSpan w:val="3"/>
          </w:tcPr>
          <w:p>
            <w:pPr>
              <w:jc w:val="center"/>
              <w:ind w:right="3240"/>
              <w:spacing w:after="0"/>
              <w:rPr>
                <w:sz w:val="20"/>
                <w:szCs w:val="20"/>
                <w:color w:val="auto"/>
              </w:rPr>
            </w:pPr>
            <w:r>
              <w:rPr>
                <w:rFonts w:ascii="Arial" w:cs="Arial" w:eastAsia="Arial" w:hAnsi="Arial"/>
                <w:sz w:val="20"/>
                <w:szCs w:val="20"/>
                <w:color w:val="auto"/>
                <w:w w:val="98"/>
              </w:rPr>
              <w:t>Potential Criminal and Civil Liability</w:t>
            </w:r>
          </w:p>
        </w:tc>
      </w:tr>
      <w:tr>
        <w:trPr>
          <w:trHeight w:val="243"/>
        </w:trPr>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320" w:type="dxa"/>
            <w:vAlign w:val="bottom"/>
            <w:gridSpan w:val="2"/>
          </w:tcPr>
          <w:p>
            <w:pPr>
              <w:jc w:val="center"/>
              <w:ind w:right="3900"/>
              <w:spacing w:after="0"/>
              <w:rPr>
                <w:sz w:val="20"/>
                <w:szCs w:val="20"/>
                <w:color w:val="auto"/>
              </w:rPr>
            </w:pPr>
            <w:r>
              <w:rPr>
                <w:rFonts w:ascii="Arial" w:cs="Arial" w:eastAsia="Arial" w:hAnsi="Arial"/>
                <w:sz w:val="20"/>
                <w:szCs w:val="20"/>
                <w:color w:val="auto"/>
                <w:w w:val="98"/>
              </w:rPr>
              <w:t>and/or Disciplinary Action</w:t>
            </w:r>
          </w:p>
        </w:tc>
      </w:tr>
      <w:tr>
        <w:trPr>
          <w:trHeight w:val="279"/>
        </w:trPr>
        <w:tc>
          <w:tcPr>
            <w:tcW w:w="160" w:type="dxa"/>
            <w:vAlign w:val="bottom"/>
          </w:tcPr>
          <w:p>
            <w:pPr>
              <w:spacing w:after="0"/>
              <w:rPr>
                <w:sz w:val="24"/>
                <w:szCs w:val="24"/>
                <w:color w:val="auto"/>
              </w:rPr>
            </w:pPr>
          </w:p>
        </w:tc>
        <w:tc>
          <w:tcPr>
            <w:tcW w:w="10540" w:type="dxa"/>
            <w:vAlign w:val="bottom"/>
            <w:gridSpan w:val="6"/>
          </w:tcPr>
          <w:p>
            <w:pPr>
              <w:ind w:left="340"/>
              <w:spacing w:after="0"/>
              <w:rPr>
                <w:sz w:val="20"/>
                <w:szCs w:val="20"/>
                <w:color w:val="auto"/>
              </w:rPr>
            </w:pPr>
            <w:r>
              <w:rPr>
                <w:rFonts w:ascii="Times New Roman" w:cs="Times New Roman" w:eastAsia="Times New Roman" w:hAnsi="Times New Roman"/>
                <w:sz w:val="20"/>
                <w:szCs w:val="20"/>
                <w:color w:val="auto"/>
              </w:rPr>
              <w:t xml:space="preserve">2.1.  </w:t>
            </w:r>
            <w:r>
              <w:rPr>
                <w:rFonts w:ascii="Arial" w:cs="Arial" w:eastAsia="Arial" w:hAnsi="Arial"/>
                <w:sz w:val="20"/>
                <w:szCs w:val="20"/>
                <w:color w:val="auto"/>
              </w:rPr>
              <w:t>Liability for Insider Trading. Insiders may be subject, in addition to disgorgement of profits (or of losses</w:t>
            </w:r>
          </w:p>
        </w:tc>
      </w:tr>
      <w:tr>
        <w:trPr>
          <w:trHeight w:val="215"/>
        </w:trPr>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680" w:type="dxa"/>
            <w:vAlign w:val="bottom"/>
            <w:gridSpan w:val="5"/>
          </w:tcPr>
          <w:p>
            <w:pPr>
              <w:spacing w:after="0" w:line="215" w:lineRule="exact"/>
              <w:rPr>
                <w:sz w:val="20"/>
                <w:szCs w:val="20"/>
                <w:color w:val="auto"/>
              </w:rPr>
            </w:pPr>
            <w:r>
              <w:rPr>
                <w:rFonts w:ascii="Arial" w:cs="Arial" w:eastAsia="Arial" w:hAnsi="Arial"/>
                <w:sz w:val="20"/>
                <w:szCs w:val="20"/>
                <w:color w:val="auto"/>
                <w:w w:val="98"/>
              </w:rPr>
              <w:t>avoided), to monetary penalties, a substantial jail term, and potential civil penalties for engaging in transactions</w:t>
            </w:r>
          </w:p>
        </w:tc>
      </w:tr>
      <w:tr>
        <w:trPr>
          <w:trHeight w:val="258"/>
        </w:trPr>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680" w:type="dxa"/>
            <w:vAlign w:val="bottom"/>
            <w:gridSpan w:val="5"/>
          </w:tcPr>
          <w:p>
            <w:pPr>
              <w:spacing w:after="0"/>
              <w:rPr>
                <w:sz w:val="20"/>
                <w:szCs w:val="20"/>
                <w:color w:val="auto"/>
              </w:rPr>
            </w:pPr>
            <w:r>
              <w:rPr>
                <w:rFonts w:ascii="Arial" w:cs="Arial" w:eastAsia="Arial" w:hAnsi="Arial"/>
                <w:sz w:val="20"/>
                <w:szCs w:val="20"/>
                <w:color w:val="auto"/>
                <w:w w:val="98"/>
              </w:rPr>
              <w:t>in the Company’s securities at a time when they have knowledge of Inside Information regarding the Company.</w:t>
            </w:r>
          </w:p>
        </w:tc>
      </w:tr>
      <w:tr>
        <w:trPr>
          <w:trHeight w:val="274"/>
        </w:trPr>
        <w:tc>
          <w:tcPr>
            <w:tcW w:w="160" w:type="dxa"/>
            <w:vAlign w:val="bottom"/>
          </w:tcPr>
          <w:p>
            <w:pPr>
              <w:spacing w:after="0"/>
              <w:rPr>
                <w:sz w:val="23"/>
                <w:szCs w:val="23"/>
                <w:color w:val="auto"/>
              </w:rPr>
            </w:pPr>
          </w:p>
        </w:tc>
        <w:tc>
          <w:tcPr>
            <w:tcW w:w="10540" w:type="dxa"/>
            <w:vAlign w:val="bottom"/>
            <w:gridSpan w:val="6"/>
          </w:tcPr>
          <w:p>
            <w:pPr>
              <w:ind w:left="340"/>
              <w:spacing w:after="0"/>
              <w:rPr>
                <w:sz w:val="20"/>
                <w:szCs w:val="20"/>
                <w:color w:val="auto"/>
              </w:rPr>
            </w:pPr>
            <w:r>
              <w:rPr>
                <w:rFonts w:ascii="Times New Roman" w:cs="Times New Roman" w:eastAsia="Times New Roman" w:hAnsi="Times New Roman"/>
                <w:sz w:val="20"/>
                <w:szCs w:val="20"/>
                <w:b w:val="1"/>
                <w:bCs w:val="1"/>
                <w:color w:val="auto"/>
              </w:rPr>
              <w:t xml:space="preserve">2.2.  </w:t>
            </w:r>
            <w:r>
              <w:rPr>
                <w:rFonts w:ascii="Arial" w:cs="Arial" w:eastAsia="Arial" w:hAnsi="Arial"/>
                <w:sz w:val="20"/>
                <w:szCs w:val="20"/>
                <w:b w:val="1"/>
                <w:bCs w:val="1"/>
                <w:color w:val="auto"/>
              </w:rPr>
              <w:t>Liability for Tipping.</w:t>
            </w:r>
            <w:r>
              <w:rPr>
                <w:rFonts w:ascii="Times New Roman" w:cs="Times New Roman" w:eastAsia="Times New Roman" w:hAnsi="Times New Roman"/>
                <w:sz w:val="20"/>
                <w:szCs w:val="20"/>
                <w:b w:val="1"/>
                <w:bCs w:val="1"/>
                <w:color w:val="auto"/>
              </w:rPr>
              <w:t xml:space="preserve"> </w:t>
            </w:r>
            <w:r>
              <w:rPr>
                <w:rFonts w:ascii="Arial" w:cs="Arial" w:eastAsia="Arial" w:hAnsi="Arial"/>
                <w:sz w:val="20"/>
                <w:szCs w:val="20"/>
                <w:color w:val="auto"/>
              </w:rPr>
              <w:t>Insiders may also be liable for improper transactions by any person (commonly referred</w:t>
            </w:r>
          </w:p>
        </w:tc>
      </w:tr>
      <w:tr>
        <w:trPr>
          <w:trHeight w:val="20"/>
        </w:trPr>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r>
      <w:tr>
        <w:trPr>
          <w:trHeight w:val="200"/>
        </w:trPr>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80" w:type="dxa"/>
            <w:vAlign w:val="bottom"/>
            <w:gridSpan w:val="5"/>
          </w:tcPr>
          <w:p>
            <w:pPr>
              <w:spacing w:after="0" w:line="200" w:lineRule="exact"/>
              <w:rPr>
                <w:sz w:val="20"/>
                <w:szCs w:val="20"/>
                <w:color w:val="auto"/>
              </w:rPr>
            </w:pPr>
            <w:r>
              <w:rPr>
                <w:rFonts w:ascii="Arial" w:cs="Arial" w:eastAsia="Arial" w:hAnsi="Arial"/>
                <w:sz w:val="20"/>
                <w:szCs w:val="20"/>
                <w:color w:val="auto"/>
                <w:w w:val="98"/>
              </w:rPr>
              <w:t>to as a “tippee”) to whom they have disclosed Inside Information regarding the Company or to whom they have</w:t>
            </w:r>
          </w:p>
        </w:tc>
      </w:tr>
      <w:tr>
        <w:trPr>
          <w:trHeight w:val="215"/>
        </w:trPr>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680" w:type="dxa"/>
            <w:vAlign w:val="bottom"/>
            <w:gridSpan w:val="5"/>
          </w:tcPr>
          <w:p>
            <w:pPr>
              <w:spacing w:after="0" w:line="215" w:lineRule="exact"/>
              <w:rPr>
                <w:sz w:val="20"/>
                <w:szCs w:val="20"/>
                <w:color w:val="auto"/>
              </w:rPr>
            </w:pPr>
            <w:r>
              <w:rPr>
                <w:rFonts w:ascii="Arial" w:cs="Arial" w:eastAsia="Arial" w:hAnsi="Arial"/>
                <w:sz w:val="20"/>
                <w:szCs w:val="20"/>
                <w:color w:val="auto"/>
                <w:w w:val="98"/>
              </w:rPr>
              <w:t>made recommendations or expressed opinions on the basis of such information as to trading in the Company’s</w:t>
            </w:r>
          </w:p>
        </w:tc>
      </w:tr>
      <w:tr>
        <w:trPr>
          <w:trHeight w:val="215"/>
        </w:trPr>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680" w:type="dxa"/>
            <w:vAlign w:val="bottom"/>
            <w:gridSpan w:val="5"/>
          </w:tcPr>
          <w:p>
            <w:pPr>
              <w:spacing w:after="0" w:line="215" w:lineRule="exact"/>
              <w:rPr>
                <w:sz w:val="20"/>
                <w:szCs w:val="20"/>
                <w:color w:val="auto"/>
              </w:rPr>
            </w:pPr>
            <w:r>
              <w:rPr>
                <w:rFonts w:ascii="Arial" w:cs="Arial" w:eastAsia="Arial" w:hAnsi="Arial"/>
                <w:sz w:val="20"/>
                <w:szCs w:val="20"/>
                <w:color w:val="auto"/>
                <w:w w:val="99"/>
              </w:rPr>
              <w:t>securities. Regulatory authorities have imposed large penalties even when the disclosing person did not profit</w:t>
            </w:r>
          </w:p>
        </w:tc>
      </w:tr>
      <w:tr>
        <w:trPr>
          <w:trHeight w:val="215"/>
        </w:trPr>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680" w:type="dxa"/>
            <w:vAlign w:val="bottom"/>
            <w:gridSpan w:val="5"/>
          </w:tcPr>
          <w:p>
            <w:pPr>
              <w:spacing w:after="0" w:line="215" w:lineRule="exact"/>
              <w:rPr>
                <w:sz w:val="20"/>
                <w:szCs w:val="20"/>
                <w:color w:val="auto"/>
              </w:rPr>
            </w:pPr>
            <w:r>
              <w:rPr>
                <w:rFonts w:ascii="Arial" w:cs="Arial" w:eastAsia="Arial" w:hAnsi="Arial"/>
                <w:sz w:val="20"/>
                <w:szCs w:val="20"/>
                <w:color w:val="auto"/>
              </w:rPr>
              <w:t>from the trading. The U.S. Securities and Exchange Commission (the “SEC”), the stock exchanges and the</w:t>
            </w:r>
          </w:p>
        </w:tc>
      </w:tr>
      <w:tr>
        <w:trPr>
          <w:trHeight w:val="215"/>
        </w:trPr>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680" w:type="dxa"/>
            <w:vAlign w:val="bottom"/>
            <w:gridSpan w:val="5"/>
          </w:tcPr>
          <w:p>
            <w:pPr>
              <w:spacing w:after="0" w:line="215" w:lineRule="exact"/>
              <w:rPr>
                <w:sz w:val="20"/>
                <w:szCs w:val="20"/>
                <w:color w:val="auto"/>
              </w:rPr>
            </w:pPr>
            <w:r>
              <w:rPr>
                <w:rFonts w:ascii="Arial" w:cs="Arial" w:eastAsia="Arial" w:hAnsi="Arial"/>
                <w:sz w:val="20"/>
                <w:szCs w:val="20"/>
                <w:color w:val="auto"/>
                <w:w w:val="99"/>
              </w:rPr>
              <w:t>Financial Industry Regulatory Authority use sophisticated electronic surveillance techniques to uncover insider</w:t>
            </w:r>
          </w:p>
        </w:tc>
      </w:tr>
      <w:tr>
        <w:trPr>
          <w:trHeight w:val="258"/>
        </w:trPr>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680" w:type="dxa"/>
            <w:vAlign w:val="bottom"/>
            <w:gridSpan w:val="5"/>
          </w:tcPr>
          <w:p>
            <w:pPr>
              <w:spacing w:after="0"/>
              <w:rPr>
                <w:sz w:val="20"/>
                <w:szCs w:val="20"/>
                <w:color w:val="auto"/>
              </w:rPr>
            </w:pPr>
            <w:r>
              <w:rPr>
                <w:rFonts w:ascii="Arial" w:cs="Arial" w:eastAsia="Arial" w:hAnsi="Arial"/>
                <w:sz w:val="20"/>
                <w:szCs w:val="20"/>
                <w:color w:val="auto"/>
              </w:rPr>
              <w:t>trading.</w:t>
            </w:r>
          </w:p>
        </w:tc>
      </w:tr>
      <w:tr>
        <w:trPr>
          <w:trHeight w:val="274"/>
        </w:trPr>
        <w:tc>
          <w:tcPr>
            <w:tcW w:w="160" w:type="dxa"/>
            <w:vAlign w:val="bottom"/>
          </w:tcPr>
          <w:p>
            <w:pPr>
              <w:spacing w:after="0"/>
              <w:rPr>
                <w:sz w:val="23"/>
                <w:szCs w:val="23"/>
                <w:color w:val="auto"/>
              </w:rPr>
            </w:pPr>
          </w:p>
        </w:tc>
        <w:tc>
          <w:tcPr>
            <w:tcW w:w="10540" w:type="dxa"/>
            <w:vAlign w:val="bottom"/>
            <w:gridSpan w:val="6"/>
          </w:tcPr>
          <w:p>
            <w:pPr>
              <w:ind w:left="340"/>
              <w:spacing w:after="0"/>
              <w:rPr>
                <w:sz w:val="20"/>
                <w:szCs w:val="20"/>
                <w:color w:val="auto"/>
              </w:rPr>
            </w:pPr>
            <w:r>
              <w:rPr>
                <w:rFonts w:ascii="Times New Roman" w:cs="Times New Roman" w:eastAsia="Times New Roman" w:hAnsi="Times New Roman"/>
                <w:sz w:val="20"/>
                <w:szCs w:val="20"/>
                <w:b w:val="1"/>
                <w:bCs w:val="1"/>
                <w:color w:val="auto"/>
              </w:rPr>
              <w:t xml:space="preserve">2.3.  </w:t>
            </w:r>
            <w:r>
              <w:rPr>
                <w:rFonts w:ascii="Arial" w:cs="Arial" w:eastAsia="Arial" w:hAnsi="Arial"/>
                <w:sz w:val="20"/>
                <w:szCs w:val="20"/>
                <w:b w:val="1"/>
                <w:bCs w:val="1"/>
                <w:color w:val="auto"/>
              </w:rPr>
              <w:t>Possible Disciplinary Actions.</w:t>
            </w:r>
            <w:r>
              <w:rPr>
                <w:rFonts w:ascii="Times New Roman" w:cs="Times New Roman" w:eastAsia="Times New Roman" w:hAnsi="Times New Roman"/>
                <w:sz w:val="20"/>
                <w:szCs w:val="20"/>
                <w:b w:val="1"/>
                <w:bCs w:val="1"/>
                <w:color w:val="auto"/>
              </w:rPr>
              <w:t xml:space="preserve"> </w:t>
            </w:r>
            <w:r>
              <w:rPr>
                <w:rFonts w:ascii="Arial" w:cs="Arial" w:eastAsia="Arial" w:hAnsi="Arial"/>
                <w:sz w:val="20"/>
                <w:szCs w:val="20"/>
                <w:color w:val="auto"/>
              </w:rPr>
              <w:t>Officers and employees of, and advisors and consultants to, the Company</w:t>
            </w:r>
          </w:p>
        </w:tc>
      </w:tr>
      <w:tr>
        <w:trPr>
          <w:trHeight w:val="200"/>
        </w:trPr>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740" w:type="dxa"/>
            <w:vAlign w:val="bottom"/>
            <w:tcBorders>
              <w:top w:val="single" w:sz="8" w:color="auto"/>
            </w:tcBorders>
            <w:gridSpan w:val="2"/>
          </w:tcPr>
          <w:p>
            <w:pPr>
              <w:spacing w:after="0" w:line="200" w:lineRule="exact"/>
              <w:rPr>
                <w:sz w:val="20"/>
                <w:szCs w:val="20"/>
                <w:color w:val="auto"/>
              </w:rPr>
            </w:pPr>
            <w:r>
              <w:rPr>
                <w:rFonts w:ascii="Arial" w:cs="Arial" w:eastAsia="Arial" w:hAnsi="Arial"/>
                <w:sz w:val="20"/>
                <w:szCs w:val="20"/>
                <w:color w:val="auto"/>
                <w:w w:val="95"/>
              </w:rPr>
              <w:t>who violate this Policy shall also</w:t>
            </w:r>
          </w:p>
        </w:tc>
        <w:tc>
          <w:tcPr>
            <w:tcW w:w="6940" w:type="dxa"/>
            <w:vAlign w:val="bottom"/>
            <w:gridSpan w:val="3"/>
          </w:tcPr>
          <w:p>
            <w:pPr>
              <w:ind w:left="100"/>
              <w:spacing w:after="0" w:line="200" w:lineRule="exact"/>
              <w:rPr>
                <w:sz w:val="20"/>
                <w:szCs w:val="20"/>
                <w:color w:val="auto"/>
              </w:rPr>
            </w:pPr>
            <w:r>
              <w:rPr>
                <w:rFonts w:ascii="Arial" w:cs="Arial" w:eastAsia="Arial" w:hAnsi="Arial"/>
                <w:sz w:val="20"/>
                <w:szCs w:val="20"/>
                <w:color w:val="auto"/>
                <w:w w:val="98"/>
              </w:rPr>
              <w:t>be subject to disciplinary action by the Company, which may include, but is not</w:t>
            </w:r>
          </w:p>
        </w:tc>
      </w:tr>
      <w:tr>
        <w:trPr>
          <w:trHeight w:val="215"/>
        </w:trPr>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680" w:type="dxa"/>
            <w:vAlign w:val="bottom"/>
            <w:gridSpan w:val="5"/>
          </w:tcPr>
          <w:p>
            <w:pPr>
              <w:spacing w:after="0" w:line="215" w:lineRule="exact"/>
              <w:rPr>
                <w:sz w:val="20"/>
                <w:szCs w:val="20"/>
                <w:color w:val="auto"/>
              </w:rPr>
            </w:pPr>
            <w:r>
              <w:rPr>
                <w:rFonts w:ascii="Arial" w:cs="Arial" w:eastAsia="Arial" w:hAnsi="Arial"/>
                <w:sz w:val="20"/>
                <w:szCs w:val="20"/>
                <w:color w:val="auto"/>
                <w:w w:val="98"/>
              </w:rPr>
              <w:t>limited to, ineligibility for future participation in the Company’s equity incentive plans, termination and/or referral</w:t>
            </w:r>
          </w:p>
        </w:tc>
      </w:tr>
      <w:tr>
        <w:trPr>
          <w:trHeight w:val="258"/>
        </w:trPr>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680" w:type="dxa"/>
            <w:vAlign w:val="bottom"/>
            <w:gridSpan w:val="5"/>
          </w:tcPr>
          <w:p>
            <w:pPr>
              <w:spacing w:after="0"/>
              <w:rPr>
                <w:sz w:val="20"/>
                <w:szCs w:val="20"/>
                <w:color w:val="auto"/>
              </w:rPr>
            </w:pPr>
            <w:r>
              <w:rPr>
                <w:rFonts w:ascii="Arial" w:cs="Arial" w:eastAsia="Arial" w:hAnsi="Arial"/>
                <w:sz w:val="20"/>
                <w:szCs w:val="20"/>
                <w:color w:val="auto"/>
              </w:rPr>
              <w:t>to appropriate law enforcement and regulatory authorities.</w:t>
            </w:r>
          </w:p>
        </w:tc>
      </w:tr>
      <w:tr>
        <w:trPr>
          <w:trHeight w:val="287"/>
        </w:trPr>
        <w:tc>
          <w:tcPr>
            <w:tcW w:w="16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w w:val="88"/>
              </w:rPr>
              <w:t>3.</w:t>
            </w:r>
          </w:p>
        </w:tc>
        <w:tc>
          <w:tcPr>
            <w:tcW w:w="8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940" w:type="dxa"/>
            <w:vAlign w:val="bottom"/>
            <w:gridSpan w:val="3"/>
          </w:tcPr>
          <w:p>
            <w:pPr>
              <w:jc w:val="center"/>
              <w:ind w:right="3240"/>
              <w:spacing w:after="0"/>
              <w:rPr>
                <w:sz w:val="20"/>
                <w:szCs w:val="20"/>
                <w:color w:val="auto"/>
              </w:rPr>
            </w:pPr>
            <w:r>
              <w:rPr>
                <w:rFonts w:ascii="Arial" w:cs="Arial" w:eastAsia="Arial" w:hAnsi="Arial"/>
                <w:sz w:val="20"/>
                <w:szCs w:val="20"/>
                <w:b w:val="1"/>
                <w:bCs w:val="1"/>
                <w:color w:val="auto"/>
                <w:w w:val="97"/>
              </w:rPr>
              <w:t>Recommended Guidelines</w:t>
            </w:r>
          </w:p>
        </w:tc>
      </w:tr>
      <w:tr>
        <w:trPr>
          <w:trHeight w:val="20"/>
        </w:trPr>
        <w:tc>
          <w:tcPr>
            <w:tcW w:w="1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r>
    </w:tbl>
    <w:p>
      <w:pPr>
        <w:spacing w:after="0" w:line="103"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21"/>
          <w:szCs w:val="21"/>
          <w:b w:val="1"/>
          <w:bCs w:val="1"/>
          <w:color w:val="auto"/>
        </w:rPr>
        <w:t>2.1.</w:t>
      </w:r>
      <w:r>
        <w:rPr>
          <w:sz w:val="20"/>
          <w:szCs w:val="20"/>
          <w:color w:val="auto"/>
        </w:rPr>
        <w:tab/>
      </w:r>
      <w:r>
        <w:rPr>
          <w:rFonts w:ascii="Arial" w:cs="Arial" w:eastAsia="Arial" w:hAnsi="Arial"/>
          <w:sz w:val="19"/>
          <w:szCs w:val="19"/>
          <w:b w:val="1"/>
          <w:bCs w:val="1"/>
          <w:u w:val="single" w:color="auto"/>
          <w:color w:val="auto"/>
        </w:rPr>
        <w:t>Black-Out Period and Recommended Trading Window</w:t>
      </w:r>
      <w:r>
        <w:rPr>
          <w:rFonts w:ascii="Arial" w:cs="Arial" w:eastAsia="Arial" w:hAnsi="Arial"/>
          <w:sz w:val="19"/>
          <w:szCs w:val="19"/>
          <w:b w:val="1"/>
          <w:bCs w:val="1"/>
          <w:color w:val="auto"/>
        </w:rPr>
        <w:t>.</w:t>
      </w:r>
    </w:p>
    <w:p>
      <w:pPr>
        <w:spacing w:after="0" w:line="28" w:lineRule="exact"/>
        <w:rPr>
          <w:sz w:val="20"/>
          <w:szCs w:val="20"/>
          <w:color w:val="auto"/>
        </w:rPr>
      </w:pPr>
    </w:p>
    <w:p>
      <w:pPr>
        <w:ind w:right="340" w:firstLine="749"/>
        <w:spacing w:after="0" w:line="230" w:lineRule="auto"/>
        <w:rPr>
          <w:sz w:val="20"/>
          <w:szCs w:val="20"/>
          <w:color w:val="auto"/>
        </w:rPr>
      </w:pPr>
      <w:r>
        <w:rPr>
          <w:rFonts w:ascii="Arial" w:cs="Arial" w:eastAsia="Arial" w:hAnsi="Arial"/>
          <w:sz w:val="20"/>
          <w:szCs w:val="20"/>
          <w:color w:val="auto"/>
        </w:rPr>
        <w:t xml:space="preserve">To ensure compliance with this Policy and applicable federal and state securities laws, the Company strongly recommends that all persons having access to the Company’s internal financial statements or other Inside Information refrain from conducting transactions involving the purchase or sale of the Company’s securities </w:t>
      </w:r>
      <w:r>
        <w:rPr>
          <w:rFonts w:ascii="Arial" w:cs="Arial" w:eastAsia="Arial" w:hAnsi="Arial"/>
          <w:sz w:val="20"/>
          <w:szCs w:val="20"/>
          <w:u w:val="single" w:color="auto"/>
          <w:color w:val="auto"/>
        </w:rPr>
        <w:t>other than</w:t>
      </w:r>
      <w:r>
        <w:rPr>
          <w:rFonts w:ascii="Arial" w:cs="Arial" w:eastAsia="Arial" w:hAnsi="Arial"/>
          <w:sz w:val="20"/>
          <w:szCs w:val="20"/>
          <w:color w:val="auto"/>
        </w:rPr>
        <w:t>during the following period (the “Trading Window”):</w:t>
      </w:r>
    </w:p>
    <w:p>
      <w:pPr>
        <w:spacing w:after="0" w:line="174" w:lineRule="exact"/>
        <w:rPr>
          <w:sz w:val="20"/>
          <w:szCs w:val="20"/>
          <w:color w:val="auto"/>
        </w:rPr>
      </w:pPr>
    </w:p>
    <w:p>
      <w:pPr>
        <w:ind w:left="760" w:right="840"/>
        <w:spacing w:after="0" w:line="235" w:lineRule="auto"/>
        <w:rPr>
          <w:sz w:val="20"/>
          <w:szCs w:val="20"/>
          <w:color w:val="auto"/>
        </w:rPr>
      </w:pPr>
      <w:r>
        <w:rPr>
          <w:rFonts w:ascii="Arial" w:cs="Arial" w:eastAsia="Arial" w:hAnsi="Arial"/>
          <w:sz w:val="20"/>
          <w:szCs w:val="20"/>
          <w:u w:val="single" w:color="auto"/>
          <w:color w:val="auto"/>
        </w:rPr>
        <w:t>Trading Window</w:t>
      </w:r>
      <w:r>
        <w:rPr>
          <w:rFonts w:ascii="Arial" w:cs="Arial" w:eastAsia="Arial" w:hAnsi="Arial"/>
          <w:sz w:val="20"/>
          <w:szCs w:val="20"/>
          <w:color w:val="auto"/>
        </w:rPr>
        <w:t>: The period in any fiscal quarter commencing at the close of business on the second full Trading Day following the public disclosure of the financial results for the prior fiscal quarter or year and ending at the close of business on the 10th day of the third month of the fiscal quarter (or if such day falls on a holiday or weekend, the immediately preceding business day).</w:t>
      </w:r>
    </w:p>
    <w:p>
      <w:pPr>
        <w:spacing w:after="0" w:line="173" w:lineRule="exact"/>
        <w:rPr>
          <w:sz w:val="20"/>
          <w:szCs w:val="20"/>
          <w:color w:val="auto"/>
        </w:rPr>
      </w:pPr>
    </w:p>
    <w:p>
      <w:pPr>
        <w:ind w:right="180" w:firstLine="749"/>
        <w:spacing w:after="0" w:line="233" w:lineRule="auto"/>
        <w:rPr>
          <w:sz w:val="20"/>
          <w:szCs w:val="20"/>
          <w:color w:val="auto"/>
        </w:rPr>
      </w:pPr>
      <w:r>
        <w:rPr>
          <w:rFonts w:ascii="Arial" w:cs="Arial" w:eastAsia="Arial" w:hAnsi="Arial"/>
          <w:sz w:val="20"/>
          <w:szCs w:val="20"/>
          <w:color w:val="auto"/>
        </w:rPr>
        <w:t>The safest period for trading in the Company’s securities, assuming the absence of Inside Information, is generally the first few Trading Days of the Trading Window. Periods outside the Trading Window are particularly sensitive periods of time for transactions in the Company’s stock from the perspective of compliance with applicable securities laws. This is due to the fact that officers, directors and certain other persons will, as any quarter progresses, be increasingly likely to possess Inside Information about the expected financial results for the quarter.</w:t>
      </w:r>
    </w:p>
    <w:p>
      <w:pPr>
        <w:spacing w:after="0" w:line="172" w:lineRule="exact"/>
        <w:rPr>
          <w:sz w:val="20"/>
          <w:szCs w:val="20"/>
          <w:color w:val="auto"/>
        </w:rPr>
      </w:pPr>
    </w:p>
    <w:p>
      <w:pPr>
        <w:ind w:right="40" w:firstLine="749"/>
        <w:spacing w:after="0" w:line="235" w:lineRule="auto"/>
        <w:rPr>
          <w:sz w:val="20"/>
          <w:szCs w:val="20"/>
          <w:color w:val="auto"/>
        </w:rPr>
      </w:pPr>
      <w:r>
        <w:rPr>
          <w:rFonts w:ascii="Arial" w:cs="Arial" w:eastAsia="Arial" w:hAnsi="Arial"/>
          <w:sz w:val="20"/>
          <w:szCs w:val="20"/>
          <w:color w:val="auto"/>
        </w:rPr>
        <w:t>The purpose behind the recommended Trading Window is to help establish a diligent effort to avoid any improper transactions. An Insider may choose not to follow this suggestion, but he or she should be particularly careful with respect to trading outside the Trading Window, since the Insider may, at such time, have access to (or later be deemed to have had access to) Inside Information regarding, among other things, the Company’s anticipated financial performance for the quarter.</w:t>
      </w:r>
    </w:p>
    <w:p>
      <w:pPr>
        <w:spacing w:after="0" w:line="173" w:lineRule="exact"/>
        <w:rPr>
          <w:sz w:val="20"/>
          <w:szCs w:val="20"/>
          <w:color w:val="auto"/>
        </w:rPr>
      </w:pPr>
    </w:p>
    <w:p>
      <w:pPr>
        <w:ind w:right="20" w:firstLine="749"/>
        <w:spacing w:after="0" w:line="244" w:lineRule="auto"/>
        <w:rPr>
          <w:sz w:val="20"/>
          <w:szCs w:val="20"/>
          <w:color w:val="auto"/>
        </w:rPr>
      </w:pPr>
      <w:r>
        <w:rPr>
          <w:rFonts w:ascii="Arial" w:cs="Arial" w:eastAsia="Arial" w:hAnsi="Arial"/>
          <w:sz w:val="19"/>
          <w:szCs w:val="19"/>
          <w:color w:val="auto"/>
        </w:rPr>
        <w:t xml:space="preserve">It should be noted that even during the Trading Window any person possessing Inside Information concerning the Company should not engage in any transactions in the Company’s securities until such information has been known publicly for at least one full Trading Day. Although the Company may from time to time recommend during a Trading Window that Insiders suspend trading because of developments known to the Company and not yet disclosed to the public, each person is individually responsible at all times for compliance with the prohibitions against insider trading. Trading in the Company’s securities during the Trading Window should </w:t>
      </w:r>
      <w:r>
        <w:rPr>
          <w:rFonts w:ascii="Arial" w:cs="Arial" w:eastAsia="Arial" w:hAnsi="Arial"/>
          <w:sz w:val="19"/>
          <w:szCs w:val="19"/>
          <w:u w:val="single" w:color="auto"/>
          <w:color w:val="auto"/>
        </w:rPr>
        <w:t>not</w:t>
      </w:r>
      <w:r>
        <w:rPr>
          <w:rFonts w:ascii="Arial" w:cs="Arial" w:eastAsia="Arial" w:hAnsi="Arial"/>
          <w:sz w:val="19"/>
          <w:szCs w:val="19"/>
          <w:color w:val="auto"/>
        </w:rPr>
        <w:t xml:space="preserve"> be considered a “safe harbor”, and Insiders should use good judgment at all times.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586740</wp:posOffset>
            </wp:positionV>
            <wp:extent cx="715835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851" w:right="359" w:bottom="1440" w:gutter="0" w:footer="0" w:header="0"/>
        </w:sectPr>
      </w:pPr>
    </w:p>
    <w:bookmarkStart w:id="88" w:name="page89"/>
    <w:bookmarkEnd w:id="88"/>
    <w:p>
      <w:pPr>
        <w:ind w:firstLine="749"/>
        <w:spacing w:after="0" w:line="235" w:lineRule="auto"/>
        <w:rPr>
          <w:sz w:val="20"/>
          <w:szCs w:val="20"/>
          <w:color w:val="auto"/>
        </w:rPr>
      </w:pPr>
      <w:r>
        <w:rPr>
          <w:rFonts w:ascii="Arial" w:cs="Arial" w:eastAsia="Arial" w:hAnsi="Arial"/>
          <w:sz w:val="20"/>
          <w:szCs w:val="20"/>
          <w:color w:val="auto"/>
        </w:rPr>
        <w:t>From time to time, the Company may recommend that Insiders suspend trading because of developments known to the Company and not yet disclosed to the public. In such event, such persons are advised not to engage in any transaction involving the purchase or sale of the Company’s securities during such period and should not disclose to others the fact of such suspension of trading.</w:t>
      </w:r>
    </w:p>
    <w:p>
      <w:pPr>
        <w:spacing w:after="0" w:line="163" w:lineRule="exact"/>
        <w:rPr>
          <w:sz w:val="20"/>
          <w:szCs w:val="20"/>
          <w:color w:val="auto"/>
        </w:rPr>
      </w:pPr>
    </w:p>
    <w:p>
      <w:pPr>
        <w:ind w:left="1540" w:hanging="509"/>
        <w:spacing w:after="0" w:line="247" w:lineRule="auto"/>
        <w:tabs>
          <w:tab w:leader="none" w:pos="1520" w:val="left"/>
        </w:tabs>
        <w:rPr>
          <w:sz w:val="20"/>
          <w:szCs w:val="20"/>
          <w:color w:val="auto"/>
        </w:rPr>
      </w:pPr>
      <w:r>
        <w:rPr>
          <w:rFonts w:ascii="Times New Roman" w:cs="Times New Roman" w:eastAsia="Times New Roman" w:hAnsi="Times New Roman"/>
          <w:sz w:val="21"/>
          <w:szCs w:val="21"/>
          <w:b w:val="1"/>
          <w:bCs w:val="1"/>
          <w:color w:val="auto"/>
        </w:rPr>
        <w:t>2.2.</w:t>
      </w:r>
      <w:r>
        <w:rPr>
          <w:sz w:val="20"/>
          <w:szCs w:val="20"/>
          <w:color w:val="auto"/>
        </w:rPr>
        <w:tab/>
      </w:r>
      <w:r>
        <w:rPr>
          <w:rFonts w:ascii="Arial" w:cs="Arial" w:eastAsia="Arial" w:hAnsi="Arial"/>
          <w:sz w:val="19"/>
          <w:szCs w:val="19"/>
          <w:b w:val="1"/>
          <w:bCs w:val="1"/>
          <w:u w:val="single" w:color="auto"/>
          <w:color w:val="auto"/>
        </w:rPr>
        <w:t>Hedging, Margin Accounts and Collateral</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The Company has determined that all Insiders are prohibited</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from hedging or holding stock of the Company in margin accounts or pledging Company stock. Hedging can have unintended consequences, and margin accounts authorize brokers to sell stock to cover amounts owed to them. A forced sale could occur at a time when the individual has knowledge of material, nonpublic information about the Company. A similar result can occur when Company stock is pledged as collateral for a loan.</w:t>
      </w:r>
    </w:p>
    <w:p>
      <w:pPr>
        <w:spacing w:after="0" w:line="70" w:lineRule="exact"/>
        <w:rPr>
          <w:sz w:val="20"/>
          <w:szCs w:val="20"/>
          <w:color w:val="auto"/>
        </w:rPr>
      </w:pPr>
    </w:p>
    <w:p>
      <w:pPr>
        <w:ind w:left="1540" w:right="120" w:hanging="509"/>
        <w:spacing w:after="0" w:line="228" w:lineRule="auto"/>
        <w:tabs>
          <w:tab w:leader="none" w:pos="1520" w:val="left"/>
        </w:tabs>
        <w:rPr>
          <w:sz w:val="20"/>
          <w:szCs w:val="20"/>
          <w:color w:val="auto"/>
        </w:rPr>
      </w:pPr>
      <w:r>
        <w:rPr>
          <w:rFonts w:ascii="Times New Roman" w:cs="Times New Roman" w:eastAsia="Times New Roman" w:hAnsi="Times New Roman"/>
          <w:sz w:val="21"/>
          <w:szCs w:val="21"/>
          <w:b w:val="1"/>
          <w:bCs w:val="1"/>
          <w:color w:val="auto"/>
        </w:rPr>
        <w:t>2.3.</w:t>
      </w:r>
      <w:r>
        <w:rPr>
          <w:sz w:val="20"/>
          <w:szCs w:val="20"/>
          <w:color w:val="auto"/>
        </w:rPr>
        <w:tab/>
      </w:r>
      <w:r>
        <w:rPr>
          <w:rFonts w:ascii="Arial" w:cs="Arial" w:eastAsia="Arial" w:hAnsi="Arial"/>
          <w:sz w:val="20"/>
          <w:szCs w:val="20"/>
          <w:b w:val="1"/>
          <w:bCs w:val="1"/>
          <w:u w:val="single" w:color="auto"/>
          <w:color w:val="auto"/>
        </w:rPr>
        <w:t>Preclearance of Trades</w:t>
      </w: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The Company has determined that all Insiders and the persons listed on</w:t>
      </w:r>
      <w:r>
        <w:rPr>
          <w:rFonts w:ascii="Arial" w:cs="Arial" w:eastAsia="Arial" w:hAnsi="Arial"/>
          <w:sz w:val="20"/>
          <w:szCs w:val="20"/>
          <w:b w:val="1"/>
          <w:bCs w:val="1"/>
          <w:u w:val="single" w:color="auto"/>
          <w:color w:val="auto"/>
        </w:rPr>
        <w:t xml:space="preserve"> </w:t>
      </w:r>
      <w:r>
        <w:rPr>
          <w:rFonts w:ascii="Arial" w:cs="Arial" w:eastAsia="Arial" w:hAnsi="Arial"/>
          <w:sz w:val="20"/>
          <w:szCs w:val="20"/>
          <w:u w:val="single" w:color="auto"/>
          <w:color w:val="auto"/>
        </w:rPr>
        <w:t>Exhibit A</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 xml:space="preserve">attached hereto, as amended from time to time, should refrain from trading in the Company’s securities, even during the Trading Window, without first complying with the Company’s mandatory “preclearance” procedures, a copy of which is attached hereto as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Insiders and persons listed on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should contact the Company’s Insider Trading Compliance Officer, currently the Company’s Chief Financial Officer (the Chief Financial Officer will be pre-cleared by the CEO), prior to initiating any purchase or sale of the Company’s securities. Any election regarding settlement of taxes for any RSU grant or exercise of options, whether to pay taxes, sell to cover or sell all, provided the election is made during an open trading window, does not require pre-clearance. The Company may also find it necessary, from time to time, to require compliance with the preclearance process from certain employees, consultants and contractors other than and in addition to employees, officers and Board Members and the persons listed on </w:t>
      </w:r>
      <w:r>
        <w:rPr>
          <w:rFonts w:ascii="Arial" w:cs="Arial" w:eastAsia="Arial" w:hAnsi="Arial"/>
          <w:sz w:val="20"/>
          <w:szCs w:val="20"/>
          <w:u w:val="single" w:color="auto"/>
          <w:color w:val="auto"/>
        </w:rPr>
        <w:t>Exhibit A</w:t>
      </w:r>
      <w:r>
        <w:rPr>
          <w:rFonts w:ascii="Arial" w:cs="Arial" w:eastAsia="Arial" w:hAnsi="Arial"/>
          <w:sz w:val="20"/>
          <w:szCs w:val="20"/>
          <w:color w:val="auto"/>
        </w:rPr>
        <w:t>.</w:t>
      </w:r>
    </w:p>
    <w:p>
      <w:pPr>
        <w:spacing w:after="0" w:line="80" w:lineRule="exact"/>
        <w:rPr>
          <w:sz w:val="20"/>
          <w:szCs w:val="20"/>
          <w:color w:val="auto"/>
        </w:rPr>
      </w:pPr>
    </w:p>
    <w:p>
      <w:pPr>
        <w:ind w:left="1540" w:right="20" w:hanging="509"/>
        <w:spacing w:after="0" w:line="228" w:lineRule="auto"/>
        <w:tabs>
          <w:tab w:leader="none" w:pos="1520" w:val="left"/>
        </w:tabs>
        <w:rPr>
          <w:sz w:val="20"/>
          <w:szCs w:val="20"/>
          <w:color w:val="auto"/>
        </w:rPr>
      </w:pPr>
      <w:r>
        <w:rPr>
          <w:rFonts w:ascii="Times New Roman" w:cs="Times New Roman" w:eastAsia="Times New Roman" w:hAnsi="Times New Roman"/>
          <w:sz w:val="21"/>
          <w:szCs w:val="21"/>
          <w:b w:val="1"/>
          <w:bCs w:val="1"/>
          <w:color w:val="auto"/>
        </w:rPr>
        <w:t>2.4.</w:t>
      </w:r>
      <w:r>
        <w:rPr>
          <w:sz w:val="20"/>
          <w:szCs w:val="20"/>
          <w:color w:val="auto"/>
        </w:rPr>
        <w:tab/>
      </w:r>
      <w:r>
        <w:rPr>
          <w:rFonts w:ascii="Arial" w:cs="Arial" w:eastAsia="Arial" w:hAnsi="Arial"/>
          <w:sz w:val="20"/>
          <w:szCs w:val="20"/>
          <w:b w:val="1"/>
          <w:bCs w:val="1"/>
          <w:u w:val="single" w:color="auto"/>
          <w:color w:val="auto"/>
        </w:rPr>
        <w:t>Individual Responsibility</w:t>
      </w: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Every Insider and person listed on</w:t>
      </w:r>
      <w:r>
        <w:rPr>
          <w:rFonts w:ascii="Arial" w:cs="Arial" w:eastAsia="Arial" w:hAnsi="Arial"/>
          <w:sz w:val="20"/>
          <w:szCs w:val="20"/>
          <w:b w:val="1"/>
          <w:bCs w:val="1"/>
          <w:u w:val="single" w:color="auto"/>
          <w:color w:val="auto"/>
        </w:rPr>
        <w:t xml:space="preserve"> </w:t>
      </w:r>
      <w:r>
        <w:rPr>
          <w:rFonts w:ascii="Arial" w:cs="Arial" w:eastAsia="Arial" w:hAnsi="Arial"/>
          <w:sz w:val="20"/>
          <w:szCs w:val="20"/>
          <w:u w:val="single" w:color="auto"/>
          <w:color w:val="auto"/>
        </w:rPr>
        <w:t>Exhibit A</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has the individual responsibility to</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comply with this Policy against insider trading, regardless of whether the Company has recommended a Trading Window to that person or any other Insiders of the Company. The guidelines set forth in this Policy are guidelines only, and appropriate judgment should be exercised in connection with any trade in the Company’s securities.</w:t>
      </w:r>
    </w:p>
    <w:p>
      <w:pPr>
        <w:spacing w:after="0" w:line="23" w:lineRule="exact"/>
        <w:rPr>
          <w:sz w:val="20"/>
          <w:szCs w:val="20"/>
          <w:color w:val="auto"/>
        </w:rPr>
      </w:pPr>
    </w:p>
    <w:p>
      <w:pPr>
        <w:ind w:right="580" w:firstLine="749"/>
        <w:spacing w:after="0" w:line="232" w:lineRule="auto"/>
        <w:rPr>
          <w:sz w:val="20"/>
          <w:szCs w:val="20"/>
          <w:color w:val="auto"/>
        </w:rPr>
      </w:pPr>
      <w:r>
        <w:rPr>
          <w:rFonts w:ascii="Arial" w:cs="Arial" w:eastAsia="Arial" w:hAnsi="Arial"/>
          <w:sz w:val="20"/>
          <w:szCs w:val="20"/>
          <w:color w:val="auto"/>
        </w:rPr>
        <w:t xml:space="preserve">An Insider and person listed on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may, from time to time, have to forego a proposed transaction in the Company’s securities even if he or she planned to make the transaction before learning of the Inside Information and even though the Insider believes he or she may suffer an economic loss or forego anticipated profit by waiting.</w:t>
      </w:r>
    </w:p>
    <w:p>
      <w:pPr>
        <w:spacing w:after="0" w:line="155" w:lineRule="exact"/>
        <w:rPr>
          <w:sz w:val="20"/>
          <w:szCs w:val="20"/>
          <w:color w:val="auto"/>
        </w:rPr>
      </w:pPr>
    </w:p>
    <w:tbl>
      <w:tblPr>
        <w:tblLayout w:type="fixed"/>
        <w:tblInd w:w="520" w:type="dxa"/>
        <w:tblCellMar>
          <w:top w:w="0" w:type="dxa"/>
          <w:left w:w="0" w:type="dxa"/>
          <w:bottom w:w="0" w:type="dxa"/>
          <w:right w:w="0" w:type="dxa"/>
        </w:tblCellMar>
      </w:tblPr>
      <w:tr>
        <w:trPr>
          <w:trHeight w:val="241"/>
        </w:trPr>
        <w:tc>
          <w:tcPr>
            <w:tcW w:w="1880" w:type="dxa"/>
            <w:vAlign w:val="bottom"/>
            <w:gridSpan w:val="2"/>
          </w:tcPr>
          <w:p>
            <w:pPr>
              <w:jc w:val="right"/>
              <w:ind w:right="1720"/>
              <w:spacing w:after="0"/>
              <w:rPr>
                <w:sz w:val="20"/>
                <w:szCs w:val="20"/>
                <w:color w:val="auto"/>
              </w:rPr>
            </w:pPr>
            <w:r>
              <w:rPr>
                <w:rFonts w:ascii="Times New Roman" w:cs="Times New Roman" w:eastAsia="Times New Roman" w:hAnsi="Times New Roman"/>
                <w:sz w:val="21"/>
                <w:szCs w:val="21"/>
                <w:b w:val="1"/>
                <w:bCs w:val="1"/>
                <w:color w:val="auto"/>
                <w:w w:val="88"/>
              </w:rPr>
              <w:t>4.</w:t>
            </w:r>
          </w:p>
        </w:tc>
        <w:tc>
          <w:tcPr>
            <w:tcW w:w="5780" w:type="dxa"/>
            <w:vAlign w:val="bottom"/>
            <w:gridSpan w:val="5"/>
          </w:tcPr>
          <w:p>
            <w:pPr>
              <w:jc w:val="center"/>
              <w:ind w:left="1602"/>
              <w:spacing w:after="0"/>
              <w:rPr>
                <w:sz w:val="20"/>
                <w:szCs w:val="20"/>
                <w:color w:val="auto"/>
              </w:rPr>
            </w:pPr>
            <w:r>
              <w:rPr>
                <w:rFonts w:ascii="Arial" w:cs="Arial" w:eastAsia="Arial" w:hAnsi="Arial"/>
                <w:sz w:val="20"/>
                <w:szCs w:val="20"/>
                <w:b w:val="1"/>
                <w:bCs w:val="1"/>
                <w:color w:val="auto"/>
                <w:w w:val="98"/>
              </w:rPr>
              <w:t>Applicability of Policy to Inside Information</w:t>
            </w:r>
          </w:p>
        </w:tc>
      </w:tr>
      <w:tr>
        <w:trPr>
          <w:trHeight w:val="195"/>
        </w:trPr>
        <w:tc>
          <w:tcPr>
            <w:tcW w:w="160" w:type="dxa"/>
            <w:vAlign w:val="bottom"/>
            <w:tcBorders>
              <w:top w:val="single" w:sz="8" w:color="auto"/>
            </w:tcBorders>
          </w:tcPr>
          <w:p>
            <w:pPr>
              <w:spacing w:after="0"/>
              <w:rPr>
                <w:sz w:val="16"/>
                <w:szCs w:val="16"/>
                <w:color w:val="auto"/>
              </w:rPr>
            </w:pPr>
          </w:p>
        </w:tc>
        <w:tc>
          <w:tcPr>
            <w:tcW w:w="17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720" w:type="dxa"/>
            <w:vAlign w:val="bottom"/>
            <w:tcBorders>
              <w:top w:val="single" w:sz="8" w:color="auto"/>
              <w:bottom w:val="single" w:sz="8" w:color="auto"/>
            </w:tcBorders>
          </w:tcPr>
          <w:p>
            <w:pPr>
              <w:jc w:val="center"/>
              <w:spacing w:after="0" w:line="195" w:lineRule="exact"/>
              <w:rPr>
                <w:sz w:val="20"/>
                <w:szCs w:val="20"/>
                <w:color w:val="auto"/>
              </w:rPr>
            </w:pPr>
            <w:r>
              <w:rPr>
                <w:rFonts w:ascii="Arial" w:cs="Arial" w:eastAsia="Arial" w:hAnsi="Arial"/>
                <w:sz w:val="20"/>
                <w:szCs w:val="20"/>
                <w:b w:val="1"/>
                <w:bCs w:val="1"/>
                <w:color w:val="auto"/>
                <w:w w:val="98"/>
              </w:rPr>
              <w:t>Regarding Other Companies</w:t>
            </w:r>
          </w:p>
        </w:tc>
        <w:tc>
          <w:tcPr>
            <w:tcW w:w="6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bl>
    <w:p>
      <w:pPr>
        <w:ind w:firstLine="749"/>
        <w:spacing w:after="0" w:line="230" w:lineRule="auto"/>
        <w:rPr>
          <w:sz w:val="20"/>
          <w:szCs w:val="20"/>
          <w:color w:val="auto"/>
        </w:rPr>
      </w:pPr>
      <w:r>
        <w:rPr>
          <w:rFonts w:ascii="Arial" w:cs="Arial" w:eastAsia="Arial" w:hAnsi="Arial"/>
          <w:sz w:val="20"/>
          <w:szCs w:val="20"/>
          <w:color w:val="auto"/>
        </w:rPr>
        <w:t>This Policy and the guidelines described herein also apply to Inside Information relating to other companies, including the Company’s collaborative partners, customers, vendors or suppliers (“business partners”), when that information is obtained in the course of employment with, or other services performed on behalf of, the Company. Civil and criminal penalties, and termination of employment, may result from trading on Inside Information regarding the Company’s business partners. All Insiders should treat Inside Information about the Company’s business partners with the same care as is required with respect to information relating directly to the Company.</w:t>
      </w:r>
    </w:p>
    <w:p>
      <w:pPr>
        <w:spacing w:after="0" w:line="163" w:lineRule="exact"/>
        <w:rPr>
          <w:sz w:val="20"/>
          <w:szCs w:val="20"/>
          <w:color w:val="auto"/>
        </w:rPr>
      </w:pPr>
    </w:p>
    <w:p>
      <w:pPr>
        <w:ind w:left="520"/>
        <w:spacing w:after="0"/>
        <w:tabs>
          <w:tab w:leader="none" w:pos="4660" w:val="left"/>
        </w:tabs>
        <w:rPr>
          <w:sz w:val="20"/>
          <w:szCs w:val="20"/>
          <w:color w:val="auto"/>
        </w:rPr>
      </w:pPr>
      <w:r>
        <w:rPr>
          <w:rFonts w:ascii="Times New Roman" w:cs="Times New Roman" w:eastAsia="Times New Roman" w:hAnsi="Times New Roman"/>
          <w:sz w:val="21"/>
          <w:szCs w:val="21"/>
          <w:b w:val="1"/>
          <w:bCs w:val="1"/>
          <w:u w:val="single" w:color="auto"/>
          <w:color w:val="auto"/>
        </w:rPr>
        <w:t>5.</w:t>
      </w:r>
      <w:r>
        <w:rPr>
          <w:sz w:val="20"/>
          <w:szCs w:val="20"/>
          <w:color w:val="auto"/>
        </w:rPr>
        <w:tab/>
      </w:r>
      <w:r>
        <w:rPr>
          <w:rFonts w:ascii="Arial" w:cs="Arial" w:eastAsia="Arial" w:hAnsi="Arial"/>
          <w:sz w:val="20"/>
          <w:szCs w:val="20"/>
          <w:b w:val="1"/>
          <w:bCs w:val="1"/>
          <w:u w:val="single" w:color="auto"/>
          <w:color w:val="auto"/>
        </w:rPr>
        <w:t>Definition of Inside Information</w:t>
      </w:r>
    </w:p>
    <w:p>
      <w:pPr>
        <w:spacing w:after="0" w:line="28" w:lineRule="exact"/>
        <w:rPr>
          <w:sz w:val="20"/>
          <w:szCs w:val="20"/>
          <w:color w:val="auto"/>
        </w:rPr>
      </w:pPr>
    </w:p>
    <w:p>
      <w:pPr>
        <w:ind w:left="760"/>
        <w:spacing w:after="0"/>
        <w:rPr>
          <w:sz w:val="20"/>
          <w:szCs w:val="20"/>
          <w:color w:val="auto"/>
        </w:rPr>
      </w:pPr>
      <w:r>
        <w:rPr>
          <w:rFonts w:ascii="Arial" w:cs="Arial" w:eastAsia="Arial" w:hAnsi="Arial"/>
          <w:sz w:val="20"/>
          <w:szCs w:val="20"/>
          <w:color w:val="auto"/>
        </w:rPr>
        <w:t>“Inside Information” for the purposes of this Policy, is material, nonpublic information.</w:t>
      </w:r>
    </w:p>
    <w:p>
      <w:pPr>
        <w:spacing w:after="0" w:line="181" w:lineRule="exact"/>
        <w:rPr>
          <w:sz w:val="20"/>
          <w:szCs w:val="20"/>
          <w:color w:val="auto"/>
        </w:rPr>
      </w:pPr>
    </w:p>
    <w:p>
      <w:pPr>
        <w:ind w:right="80" w:firstLine="749"/>
        <w:spacing w:after="0" w:line="231" w:lineRule="auto"/>
        <w:rPr>
          <w:sz w:val="20"/>
          <w:szCs w:val="20"/>
          <w:color w:val="auto"/>
        </w:rPr>
      </w:pPr>
      <w:r>
        <w:rPr>
          <w:rFonts w:ascii="Arial" w:cs="Arial" w:eastAsia="Arial" w:hAnsi="Arial"/>
          <w:sz w:val="20"/>
          <w:szCs w:val="20"/>
          <w:color w:val="auto"/>
        </w:rPr>
        <w:t>It is not possible to define all categories of material information. However, information should be regarded as material if there is a reasonable likelihood that it would be considered important to an investor in making an investment decision regarding the purchase or sale of the Company’s securities. Either positive or negative information may be material. While it may be difficult under this standard to determine whether particular information is material, there are various categories of information that are particularly sensitive and, as a general rule, should always be considered material. Examples of such information may include:</w:t>
      </w:r>
    </w:p>
    <w:p>
      <w:pPr>
        <w:spacing w:after="0" w:line="175" w:lineRule="exact"/>
        <w:rPr>
          <w:sz w:val="20"/>
          <w:szCs w:val="20"/>
          <w:color w:val="auto"/>
        </w:rPr>
      </w:pPr>
    </w:p>
    <w:p>
      <w:pPr>
        <w:ind w:left="1020" w:hanging="504"/>
        <w:spacing w:after="0"/>
        <w:tabs>
          <w:tab w:leader="none" w:pos="1020" w:val="left"/>
        </w:tabs>
        <w:numPr>
          <w:ilvl w:val="0"/>
          <w:numId w:val="55"/>
        </w:numPr>
        <w:rPr>
          <w:rFonts w:ascii="Times New Roman" w:cs="Times New Roman" w:eastAsia="Times New Roman" w:hAnsi="Times New Roman"/>
          <w:sz w:val="20"/>
          <w:szCs w:val="20"/>
          <w:color w:val="auto"/>
        </w:rPr>
      </w:pPr>
      <w:r>
        <w:rPr>
          <w:rFonts w:ascii="Arial" w:cs="Arial" w:eastAsia="Arial" w:hAnsi="Arial"/>
          <w:sz w:val="20"/>
          <w:szCs w:val="20"/>
          <w:color w:val="auto"/>
        </w:rPr>
        <w:t>Financial results and projections of future earnings or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476250</wp:posOffset>
            </wp:positionV>
            <wp:extent cx="715835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762" w:right="359" w:bottom="1440" w:gutter="0" w:footer="0" w:header="0"/>
        </w:sectPr>
      </w:pPr>
    </w:p>
    <w:bookmarkStart w:id="89" w:name="page90"/>
    <w:bookmarkEnd w:id="89"/>
    <w:p>
      <w:pPr>
        <w:ind w:left="1020" w:hanging="504"/>
        <w:spacing w:after="0"/>
        <w:tabs>
          <w:tab w:leader="none" w:pos="1020" w:val="left"/>
        </w:tabs>
        <w:numPr>
          <w:ilvl w:val="0"/>
          <w:numId w:val="56"/>
        </w:numPr>
        <w:rPr>
          <w:rFonts w:ascii="Times New Roman" w:cs="Times New Roman" w:eastAsia="Times New Roman" w:hAnsi="Times New Roman"/>
          <w:sz w:val="20"/>
          <w:szCs w:val="20"/>
          <w:color w:val="auto"/>
        </w:rPr>
      </w:pPr>
      <w:r>
        <w:rPr>
          <w:rFonts w:ascii="Arial" w:cs="Arial" w:eastAsia="Arial" w:hAnsi="Arial"/>
          <w:sz w:val="20"/>
          <w:szCs w:val="20"/>
          <w:color w:val="auto"/>
        </w:rPr>
        <w:t>News of a pending or proposed merger or acquisition</w:t>
      </w:r>
    </w:p>
    <w:p>
      <w:pPr>
        <w:spacing w:after="0" w:line="104" w:lineRule="exact"/>
        <w:rPr>
          <w:rFonts w:ascii="Times New Roman" w:cs="Times New Roman" w:eastAsia="Times New Roman" w:hAnsi="Times New Roman"/>
          <w:sz w:val="20"/>
          <w:szCs w:val="20"/>
          <w:color w:val="auto"/>
        </w:rPr>
      </w:pPr>
    </w:p>
    <w:p>
      <w:pPr>
        <w:ind w:left="1020" w:hanging="504"/>
        <w:spacing w:after="0"/>
        <w:tabs>
          <w:tab w:leader="none" w:pos="1020" w:val="left"/>
        </w:tabs>
        <w:numPr>
          <w:ilvl w:val="0"/>
          <w:numId w:val="56"/>
        </w:numPr>
        <w:rPr>
          <w:rFonts w:ascii="Times New Roman" w:cs="Times New Roman" w:eastAsia="Times New Roman" w:hAnsi="Times New Roman"/>
          <w:sz w:val="20"/>
          <w:szCs w:val="20"/>
          <w:color w:val="auto"/>
        </w:rPr>
      </w:pPr>
      <w:r>
        <w:rPr>
          <w:rFonts w:ascii="Arial" w:cs="Arial" w:eastAsia="Arial" w:hAnsi="Arial"/>
          <w:sz w:val="20"/>
          <w:szCs w:val="20"/>
          <w:color w:val="auto"/>
        </w:rPr>
        <w:t>News of the disposition of a subsidiary</w:t>
      </w:r>
    </w:p>
    <w:p>
      <w:pPr>
        <w:spacing w:after="0" w:line="104" w:lineRule="exact"/>
        <w:rPr>
          <w:rFonts w:ascii="Times New Roman" w:cs="Times New Roman" w:eastAsia="Times New Roman" w:hAnsi="Times New Roman"/>
          <w:sz w:val="20"/>
          <w:szCs w:val="20"/>
          <w:color w:val="auto"/>
        </w:rPr>
      </w:pPr>
    </w:p>
    <w:p>
      <w:pPr>
        <w:ind w:left="1020" w:hanging="504"/>
        <w:spacing w:after="0"/>
        <w:tabs>
          <w:tab w:leader="none" w:pos="1020" w:val="left"/>
        </w:tabs>
        <w:numPr>
          <w:ilvl w:val="0"/>
          <w:numId w:val="56"/>
        </w:numPr>
        <w:rPr>
          <w:rFonts w:ascii="Times New Roman" w:cs="Times New Roman" w:eastAsia="Times New Roman" w:hAnsi="Times New Roman"/>
          <w:sz w:val="20"/>
          <w:szCs w:val="20"/>
          <w:color w:val="auto"/>
        </w:rPr>
      </w:pPr>
      <w:r>
        <w:rPr>
          <w:rFonts w:ascii="Arial" w:cs="Arial" w:eastAsia="Arial" w:hAnsi="Arial"/>
          <w:sz w:val="20"/>
          <w:szCs w:val="20"/>
          <w:color w:val="auto"/>
        </w:rPr>
        <w:t>Impending bankruptcy or financial liquidity problems</w:t>
      </w:r>
    </w:p>
    <w:p>
      <w:pPr>
        <w:spacing w:after="0" w:line="104" w:lineRule="exact"/>
        <w:rPr>
          <w:rFonts w:ascii="Times New Roman" w:cs="Times New Roman" w:eastAsia="Times New Roman" w:hAnsi="Times New Roman"/>
          <w:sz w:val="20"/>
          <w:szCs w:val="20"/>
          <w:color w:val="auto"/>
        </w:rPr>
      </w:pPr>
    </w:p>
    <w:p>
      <w:pPr>
        <w:ind w:left="1020" w:hanging="504"/>
        <w:spacing w:after="0"/>
        <w:tabs>
          <w:tab w:leader="none" w:pos="1020" w:val="left"/>
        </w:tabs>
        <w:numPr>
          <w:ilvl w:val="0"/>
          <w:numId w:val="56"/>
        </w:numPr>
        <w:rPr>
          <w:rFonts w:ascii="Times New Roman" w:cs="Times New Roman" w:eastAsia="Times New Roman" w:hAnsi="Times New Roman"/>
          <w:sz w:val="20"/>
          <w:szCs w:val="20"/>
          <w:color w:val="auto"/>
        </w:rPr>
      </w:pPr>
      <w:r>
        <w:rPr>
          <w:rFonts w:ascii="Arial" w:cs="Arial" w:eastAsia="Arial" w:hAnsi="Arial"/>
          <w:sz w:val="20"/>
          <w:szCs w:val="20"/>
          <w:color w:val="auto"/>
        </w:rPr>
        <w:t>News of the acquisition, disposition or prioritization of a product candidate</w:t>
      </w:r>
    </w:p>
    <w:p>
      <w:pPr>
        <w:spacing w:after="0" w:line="104" w:lineRule="exact"/>
        <w:rPr>
          <w:rFonts w:ascii="Times New Roman" w:cs="Times New Roman" w:eastAsia="Times New Roman" w:hAnsi="Times New Roman"/>
          <w:sz w:val="20"/>
          <w:szCs w:val="20"/>
          <w:color w:val="auto"/>
        </w:rPr>
      </w:pPr>
    </w:p>
    <w:p>
      <w:pPr>
        <w:ind w:left="1020" w:hanging="504"/>
        <w:spacing w:after="0"/>
        <w:tabs>
          <w:tab w:leader="none" w:pos="1020" w:val="left"/>
        </w:tabs>
        <w:numPr>
          <w:ilvl w:val="0"/>
          <w:numId w:val="56"/>
        </w:numPr>
        <w:rPr>
          <w:rFonts w:ascii="Times New Roman" w:cs="Times New Roman" w:eastAsia="Times New Roman" w:hAnsi="Times New Roman"/>
          <w:sz w:val="20"/>
          <w:szCs w:val="20"/>
          <w:color w:val="auto"/>
        </w:rPr>
      </w:pPr>
      <w:r>
        <w:rPr>
          <w:rFonts w:ascii="Arial" w:cs="Arial" w:eastAsia="Arial" w:hAnsi="Arial"/>
          <w:sz w:val="20"/>
          <w:szCs w:val="20"/>
          <w:color w:val="auto"/>
        </w:rPr>
        <w:t>Significant product developments, including meeting or failing to meet milestones</w:t>
      </w:r>
    </w:p>
    <w:p>
      <w:pPr>
        <w:spacing w:after="0" w:line="104" w:lineRule="exact"/>
        <w:rPr>
          <w:rFonts w:ascii="Times New Roman" w:cs="Times New Roman" w:eastAsia="Times New Roman" w:hAnsi="Times New Roman"/>
          <w:sz w:val="20"/>
          <w:szCs w:val="20"/>
          <w:color w:val="auto"/>
        </w:rPr>
      </w:pPr>
    </w:p>
    <w:p>
      <w:pPr>
        <w:ind w:left="1020" w:hanging="504"/>
        <w:spacing w:after="0"/>
        <w:tabs>
          <w:tab w:leader="none" w:pos="1020" w:val="left"/>
        </w:tabs>
        <w:numPr>
          <w:ilvl w:val="0"/>
          <w:numId w:val="56"/>
        </w:numPr>
        <w:rPr>
          <w:rFonts w:ascii="Times New Roman" w:cs="Times New Roman" w:eastAsia="Times New Roman" w:hAnsi="Times New Roman"/>
          <w:sz w:val="20"/>
          <w:szCs w:val="20"/>
          <w:color w:val="auto"/>
        </w:rPr>
      </w:pPr>
      <w:r>
        <w:rPr>
          <w:rFonts w:ascii="Arial" w:cs="Arial" w:eastAsia="Arial" w:hAnsi="Arial"/>
          <w:sz w:val="20"/>
          <w:szCs w:val="20"/>
          <w:color w:val="auto"/>
        </w:rPr>
        <w:t>Changes in dividend policy</w:t>
      </w:r>
    </w:p>
    <w:p>
      <w:pPr>
        <w:spacing w:after="0" w:line="104" w:lineRule="exact"/>
        <w:rPr>
          <w:rFonts w:ascii="Times New Roman" w:cs="Times New Roman" w:eastAsia="Times New Roman" w:hAnsi="Times New Roman"/>
          <w:sz w:val="20"/>
          <w:szCs w:val="20"/>
          <w:color w:val="auto"/>
        </w:rPr>
      </w:pPr>
    </w:p>
    <w:p>
      <w:pPr>
        <w:ind w:left="1020" w:hanging="504"/>
        <w:spacing w:after="0"/>
        <w:tabs>
          <w:tab w:leader="none" w:pos="1020" w:val="left"/>
        </w:tabs>
        <w:numPr>
          <w:ilvl w:val="0"/>
          <w:numId w:val="56"/>
        </w:numPr>
        <w:rPr>
          <w:rFonts w:ascii="Times New Roman" w:cs="Times New Roman" w:eastAsia="Times New Roman" w:hAnsi="Times New Roman"/>
          <w:sz w:val="20"/>
          <w:szCs w:val="20"/>
          <w:color w:val="auto"/>
        </w:rPr>
      </w:pPr>
      <w:r>
        <w:rPr>
          <w:rFonts w:ascii="Arial" w:cs="Arial" w:eastAsia="Arial" w:hAnsi="Arial"/>
          <w:sz w:val="20"/>
          <w:szCs w:val="20"/>
          <w:color w:val="auto"/>
        </w:rPr>
        <w:t>New product or service announcements of a significant nature</w:t>
      </w:r>
    </w:p>
    <w:p>
      <w:pPr>
        <w:spacing w:after="0" w:line="104" w:lineRule="exact"/>
        <w:rPr>
          <w:rFonts w:ascii="Times New Roman" w:cs="Times New Roman" w:eastAsia="Times New Roman" w:hAnsi="Times New Roman"/>
          <w:sz w:val="20"/>
          <w:szCs w:val="20"/>
          <w:color w:val="auto"/>
        </w:rPr>
      </w:pPr>
    </w:p>
    <w:p>
      <w:pPr>
        <w:ind w:left="1020" w:hanging="504"/>
        <w:spacing w:after="0"/>
        <w:tabs>
          <w:tab w:leader="none" w:pos="1020" w:val="left"/>
        </w:tabs>
        <w:numPr>
          <w:ilvl w:val="0"/>
          <w:numId w:val="56"/>
        </w:numPr>
        <w:rPr>
          <w:rFonts w:ascii="Times New Roman" w:cs="Times New Roman" w:eastAsia="Times New Roman" w:hAnsi="Times New Roman"/>
          <w:sz w:val="20"/>
          <w:szCs w:val="20"/>
          <w:color w:val="auto"/>
        </w:rPr>
      </w:pPr>
      <w:r>
        <w:rPr>
          <w:rFonts w:ascii="Arial" w:cs="Arial" w:eastAsia="Arial" w:hAnsi="Arial"/>
          <w:sz w:val="20"/>
          <w:szCs w:val="20"/>
          <w:color w:val="auto"/>
        </w:rPr>
        <w:t>Significant pricing changes</w:t>
      </w:r>
    </w:p>
    <w:p>
      <w:pPr>
        <w:spacing w:after="0" w:line="104" w:lineRule="exact"/>
        <w:rPr>
          <w:rFonts w:ascii="Times New Roman" w:cs="Times New Roman" w:eastAsia="Times New Roman" w:hAnsi="Times New Roman"/>
          <w:sz w:val="20"/>
          <w:szCs w:val="20"/>
          <w:color w:val="auto"/>
        </w:rPr>
      </w:pPr>
    </w:p>
    <w:p>
      <w:pPr>
        <w:ind w:left="1020" w:hanging="504"/>
        <w:spacing w:after="0"/>
        <w:tabs>
          <w:tab w:leader="none" w:pos="1020" w:val="left"/>
        </w:tabs>
        <w:numPr>
          <w:ilvl w:val="0"/>
          <w:numId w:val="56"/>
        </w:numPr>
        <w:rPr>
          <w:rFonts w:ascii="Times New Roman" w:cs="Times New Roman" w:eastAsia="Times New Roman" w:hAnsi="Times New Roman"/>
          <w:sz w:val="20"/>
          <w:szCs w:val="20"/>
          <w:color w:val="auto"/>
        </w:rPr>
      </w:pPr>
      <w:r>
        <w:rPr>
          <w:rFonts w:ascii="Arial" w:cs="Arial" w:eastAsia="Arial" w:hAnsi="Arial"/>
          <w:sz w:val="20"/>
          <w:szCs w:val="20"/>
          <w:color w:val="auto"/>
        </w:rPr>
        <w:t>Stock splits or cash or stock dividends</w:t>
      </w:r>
    </w:p>
    <w:p>
      <w:pPr>
        <w:spacing w:after="0" w:line="104" w:lineRule="exact"/>
        <w:rPr>
          <w:rFonts w:ascii="Times New Roman" w:cs="Times New Roman" w:eastAsia="Times New Roman" w:hAnsi="Times New Roman"/>
          <w:sz w:val="20"/>
          <w:szCs w:val="20"/>
          <w:color w:val="auto"/>
        </w:rPr>
      </w:pPr>
    </w:p>
    <w:p>
      <w:pPr>
        <w:ind w:left="1020" w:hanging="504"/>
        <w:spacing w:after="0"/>
        <w:tabs>
          <w:tab w:leader="none" w:pos="1020" w:val="left"/>
        </w:tabs>
        <w:numPr>
          <w:ilvl w:val="0"/>
          <w:numId w:val="56"/>
        </w:numPr>
        <w:rPr>
          <w:rFonts w:ascii="Times New Roman" w:cs="Times New Roman" w:eastAsia="Times New Roman" w:hAnsi="Times New Roman"/>
          <w:sz w:val="20"/>
          <w:szCs w:val="20"/>
          <w:color w:val="auto"/>
        </w:rPr>
      </w:pPr>
      <w:r>
        <w:rPr>
          <w:rFonts w:ascii="Arial" w:cs="Arial" w:eastAsia="Arial" w:hAnsi="Arial"/>
          <w:sz w:val="20"/>
          <w:szCs w:val="20"/>
          <w:color w:val="auto"/>
        </w:rPr>
        <w:t>New equity or debt offerings</w:t>
      </w:r>
    </w:p>
    <w:p>
      <w:pPr>
        <w:spacing w:after="0" w:line="104" w:lineRule="exact"/>
        <w:rPr>
          <w:rFonts w:ascii="Times New Roman" w:cs="Times New Roman" w:eastAsia="Times New Roman" w:hAnsi="Times New Roman"/>
          <w:sz w:val="20"/>
          <w:szCs w:val="20"/>
          <w:color w:val="auto"/>
        </w:rPr>
      </w:pPr>
    </w:p>
    <w:p>
      <w:pPr>
        <w:ind w:left="1020" w:hanging="504"/>
        <w:spacing w:after="0"/>
        <w:tabs>
          <w:tab w:leader="none" w:pos="1020" w:val="left"/>
        </w:tabs>
        <w:numPr>
          <w:ilvl w:val="0"/>
          <w:numId w:val="56"/>
        </w:numPr>
        <w:rPr>
          <w:rFonts w:ascii="Times New Roman" w:cs="Times New Roman" w:eastAsia="Times New Roman" w:hAnsi="Times New Roman"/>
          <w:sz w:val="20"/>
          <w:szCs w:val="20"/>
          <w:color w:val="auto"/>
        </w:rPr>
      </w:pPr>
      <w:r>
        <w:rPr>
          <w:rFonts w:ascii="Arial" w:cs="Arial" w:eastAsia="Arial" w:hAnsi="Arial"/>
          <w:sz w:val="20"/>
          <w:szCs w:val="20"/>
          <w:color w:val="auto"/>
        </w:rPr>
        <w:t>Significant litigation exposure due to actual or threatened litigation</w:t>
      </w:r>
    </w:p>
    <w:p>
      <w:pPr>
        <w:spacing w:after="0" w:line="104" w:lineRule="exact"/>
        <w:rPr>
          <w:rFonts w:ascii="Times New Roman" w:cs="Times New Roman" w:eastAsia="Times New Roman" w:hAnsi="Times New Roman"/>
          <w:sz w:val="20"/>
          <w:szCs w:val="20"/>
          <w:color w:val="auto"/>
        </w:rPr>
      </w:pPr>
    </w:p>
    <w:p>
      <w:pPr>
        <w:ind w:left="1020" w:hanging="504"/>
        <w:spacing w:after="0"/>
        <w:tabs>
          <w:tab w:leader="none" w:pos="1020" w:val="left"/>
        </w:tabs>
        <w:numPr>
          <w:ilvl w:val="0"/>
          <w:numId w:val="56"/>
        </w:numPr>
        <w:rPr>
          <w:rFonts w:ascii="Times New Roman" w:cs="Times New Roman" w:eastAsia="Times New Roman" w:hAnsi="Times New Roman"/>
          <w:sz w:val="20"/>
          <w:szCs w:val="20"/>
          <w:color w:val="auto"/>
        </w:rPr>
      </w:pPr>
      <w:r>
        <w:rPr>
          <w:rFonts w:ascii="Arial" w:cs="Arial" w:eastAsia="Arial" w:hAnsi="Arial"/>
          <w:sz w:val="20"/>
          <w:szCs w:val="20"/>
          <w:color w:val="auto"/>
        </w:rPr>
        <w:t>Major changes in senior management</w:t>
      </w:r>
    </w:p>
    <w:p>
      <w:pPr>
        <w:spacing w:after="0" w:line="104" w:lineRule="exact"/>
        <w:rPr>
          <w:rFonts w:ascii="Times New Roman" w:cs="Times New Roman" w:eastAsia="Times New Roman" w:hAnsi="Times New Roman"/>
          <w:sz w:val="20"/>
          <w:szCs w:val="20"/>
          <w:color w:val="auto"/>
        </w:rPr>
      </w:pPr>
    </w:p>
    <w:p>
      <w:pPr>
        <w:ind w:left="1020" w:hanging="504"/>
        <w:spacing w:after="0"/>
        <w:tabs>
          <w:tab w:leader="none" w:pos="1020" w:val="left"/>
        </w:tabs>
        <w:numPr>
          <w:ilvl w:val="0"/>
          <w:numId w:val="56"/>
        </w:numPr>
        <w:rPr>
          <w:rFonts w:ascii="Times New Roman" w:cs="Times New Roman" w:eastAsia="Times New Roman" w:hAnsi="Times New Roman"/>
          <w:sz w:val="20"/>
          <w:szCs w:val="20"/>
          <w:color w:val="auto"/>
        </w:rPr>
      </w:pPr>
      <w:r>
        <w:rPr>
          <w:rFonts w:ascii="Arial" w:cs="Arial" w:eastAsia="Arial" w:hAnsi="Arial"/>
          <w:sz w:val="20"/>
          <w:szCs w:val="20"/>
          <w:color w:val="auto"/>
        </w:rPr>
        <w:t>Listing status on an exchange or market</w:t>
      </w:r>
    </w:p>
    <w:p>
      <w:pPr>
        <w:spacing w:after="0" w:line="104" w:lineRule="exact"/>
        <w:rPr>
          <w:rFonts w:ascii="Times New Roman" w:cs="Times New Roman" w:eastAsia="Times New Roman" w:hAnsi="Times New Roman"/>
          <w:sz w:val="20"/>
          <w:szCs w:val="20"/>
          <w:color w:val="auto"/>
        </w:rPr>
      </w:pPr>
    </w:p>
    <w:p>
      <w:pPr>
        <w:ind w:left="1020" w:hanging="504"/>
        <w:spacing w:after="0"/>
        <w:tabs>
          <w:tab w:leader="none" w:pos="1020" w:val="left"/>
        </w:tabs>
        <w:numPr>
          <w:ilvl w:val="0"/>
          <w:numId w:val="56"/>
        </w:numPr>
        <w:rPr>
          <w:rFonts w:ascii="Times New Roman" w:cs="Times New Roman" w:eastAsia="Times New Roman" w:hAnsi="Times New Roman"/>
          <w:sz w:val="20"/>
          <w:szCs w:val="20"/>
          <w:color w:val="auto"/>
        </w:rPr>
      </w:pPr>
      <w:r>
        <w:rPr>
          <w:rFonts w:ascii="Arial" w:cs="Arial" w:eastAsia="Arial" w:hAnsi="Arial"/>
          <w:sz w:val="20"/>
          <w:szCs w:val="20"/>
          <w:color w:val="auto"/>
        </w:rPr>
        <w:t>Significant cybersecurity or privacy incident</w:t>
      </w:r>
    </w:p>
    <w:p>
      <w:pPr>
        <w:spacing w:after="0" w:line="15" w:lineRule="exact"/>
        <w:rPr>
          <w:sz w:val="20"/>
          <w:szCs w:val="20"/>
          <w:color w:val="auto"/>
        </w:rPr>
      </w:pPr>
    </w:p>
    <w:p>
      <w:pPr>
        <w:jc w:val="both"/>
        <w:ind w:right="260" w:firstLine="749"/>
        <w:spacing w:after="0" w:line="247" w:lineRule="auto"/>
        <w:rPr>
          <w:sz w:val="20"/>
          <w:szCs w:val="20"/>
          <w:color w:val="auto"/>
        </w:rPr>
      </w:pPr>
      <w:r>
        <w:rPr>
          <w:rFonts w:ascii="Arial" w:cs="Arial" w:eastAsia="Arial" w:hAnsi="Arial"/>
          <w:sz w:val="19"/>
          <w:szCs w:val="19"/>
          <w:color w:val="auto"/>
        </w:rPr>
        <w:t>Nonpublic information is information that has not been previously disclosed to the general public and is otherwise not available to the general public. Even after public disclosure of information about the Company, you must wait until the close of business on the first Trading Day after the information was publicly disclosed before you can treat the information as public.</w:t>
      </w:r>
    </w:p>
    <w:p>
      <w:pPr>
        <w:spacing w:after="0" w:line="157" w:lineRule="exact"/>
        <w:rPr>
          <w:sz w:val="20"/>
          <w:szCs w:val="20"/>
          <w:color w:val="auto"/>
        </w:rPr>
      </w:pPr>
    </w:p>
    <w:p>
      <w:pPr>
        <w:ind w:left="520"/>
        <w:spacing w:after="0"/>
        <w:tabs>
          <w:tab w:leader="none" w:pos="5220" w:val="left"/>
        </w:tabs>
        <w:rPr>
          <w:sz w:val="20"/>
          <w:szCs w:val="20"/>
          <w:color w:val="auto"/>
        </w:rPr>
      </w:pPr>
      <w:r>
        <w:rPr>
          <w:rFonts w:ascii="Times New Roman" w:cs="Times New Roman" w:eastAsia="Times New Roman" w:hAnsi="Times New Roman"/>
          <w:sz w:val="21"/>
          <w:szCs w:val="21"/>
          <w:b w:val="1"/>
          <w:bCs w:val="1"/>
          <w:u w:val="single" w:color="auto"/>
          <w:color w:val="auto"/>
        </w:rPr>
        <w:t>6.</w:t>
      </w:r>
      <w:r>
        <w:rPr>
          <w:sz w:val="20"/>
          <w:szCs w:val="20"/>
          <w:color w:val="auto"/>
        </w:rPr>
        <w:tab/>
      </w:r>
      <w:r>
        <w:rPr>
          <w:rFonts w:ascii="Arial" w:cs="Arial" w:eastAsia="Arial" w:hAnsi="Arial"/>
          <w:sz w:val="20"/>
          <w:szCs w:val="20"/>
          <w:b w:val="1"/>
          <w:bCs w:val="1"/>
          <w:u w:val="single" w:color="auto"/>
          <w:color w:val="auto"/>
        </w:rPr>
        <w:t>Certain Exceptions</w:t>
      </w:r>
    </w:p>
    <w:p>
      <w:pPr>
        <w:spacing w:after="0" w:line="28" w:lineRule="exact"/>
        <w:rPr>
          <w:sz w:val="20"/>
          <w:szCs w:val="20"/>
          <w:color w:val="auto"/>
        </w:rPr>
      </w:pPr>
    </w:p>
    <w:p>
      <w:pPr>
        <w:ind w:firstLine="749"/>
        <w:spacing w:after="0"/>
        <w:rPr>
          <w:sz w:val="20"/>
          <w:szCs w:val="20"/>
          <w:color w:val="auto"/>
        </w:rPr>
      </w:pPr>
      <w:r>
        <w:rPr>
          <w:rFonts w:ascii="Arial" w:cs="Arial" w:eastAsia="Arial" w:hAnsi="Arial"/>
          <w:sz w:val="19"/>
          <w:szCs w:val="19"/>
          <w:color w:val="auto"/>
        </w:rPr>
        <w:t xml:space="preserve">For purposes of this Policy, the Company considers that the exercise of stock options for cash under the Company’s equity incentive plans (but </w:t>
      </w:r>
      <w:r>
        <w:rPr>
          <w:rFonts w:ascii="Arial" w:cs="Arial" w:eastAsia="Arial" w:hAnsi="Arial"/>
          <w:sz w:val="19"/>
          <w:szCs w:val="19"/>
          <w:u w:val="single" w:color="auto"/>
          <w:color w:val="auto"/>
        </w:rPr>
        <w:t>not</w:t>
      </w:r>
      <w:r>
        <w:rPr>
          <w:rFonts w:ascii="Arial" w:cs="Arial" w:eastAsia="Arial" w:hAnsi="Arial"/>
          <w:sz w:val="19"/>
          <w:szCs w:val="19"/>
          <w:color w:val="auto"/>
        </w:rPr>
        <w:t>the sale of any such shares) is exempt from this Policy, since the other party to the transaction is the Company itself and the price does not vary with the market but is fixed by the terms of the option agreement or the plan. The Company does not exempt from this Policy the sale of stock received under the Company’s equity incentive plans (pursuant to stock options, restricted stock awards, stock bonuses or otherwise) or any action taken by a participant pursuant to such plans (or awards thereunder) that results in the participant receiving consideration based on the market price of the Company’s stock.</w:t>
      </w:r>
    </w:p>
    <w:p>
      <w:pPr>
        <w:spacing w:after="0" w:line="174" w:lineRule="exact"/>
        <w:rPr>
          <w:sz w:val="20"/>
          <w:szCs w:val="20"/>
          <w:color w:val="auto"/>
        </w:rPr>
      </w:pPr>
    </w:p>
    <w:p>
      <w:pPr>
        <w:jc w:val="both"/>
        <w:ind w:right="240" w:firstLine="749"/>
        <w:spacing w:after="0" w:line="239" w:lineRule="auto"/>
        <w:rPr>
          <w:sz w:val="20"/>
          <w:szCs w:val="20"/>
          <w:color w:val="auto"/>
        </w:rPr>
      </w:pPr>
      <w:r>
        <w:rPr>
          <w:rFonts w:ascii="Arial" w:cs="Arial" w:eastAsia="Arial" w:hAnsi="Arial"/>
          <w:sz w:val="20"/>
          <w:szCs w:val="20"/>
          <w:color w:val="auto"/>
        </w:rPr>
        <w:t>In addition, Rule 10b5-1 promulgated under the Securities Exchange Act of 1934, as amended (the “Exchange Act”), may provide affirmative defenses against insider trading claims if, among certain other matters as set forth in Rule 10b5-1, the person making the purchase or sale demonstrates that:</w:t>
      </w:r>
    </w:p>
    <w:p>
      <w:pPr>
        <w:spacing w:after="0" w:line="17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color w:val="auto"/>
        </w:rPr>
        <w:t xml:space="preserve">2.4.1. </w:t>
      </w:r>
      <w:r>
        <w:rPr>
          <w:rFonts w:ascii="Arial" w:cs="Arial" w:eastAsia="Arial" w:hAnsi="Arial"/>
          <w:sz w:val="20"/>
          <w:szCs w:val="20"/>
          <w:color w:val="auto"/>
        </w:rPr>
        <w:t>before becoming aware of the information, the person had:</w:t>
      </w:r>
    </w:p>
    <w:p>
      <w:pPr>
        <w:spacing w:after="0" w:line="105"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color w:val="auto"/>
        </w:rPr>
        <w:t>2.4.1.1.</w:t>
      </w:r>
      <w:r>
        <w:rPr>
          <w:rFonts w:ascii="Arial" w:cs="Arial" w:eastAsia="Arial" w:hAnsi="Arial"/>
          <w:sz w:val="20"/>
          <w:szCs w:val="20"/>
          <w:color w:val="auto"/>
        </w:rPr>
        <w:t>entered into a binding contract to purchase or sell the security;</w:t>
      </w:r>
    </w:p>
    <w:p>
      <w:pPr>
        <w:spacing w:after="0" w:line="105"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color w:val="auto"/>
        </w:rPr>
        <w:t>2.4.1.2.</w:t>
      </w:r>
      <w:r>
        <w:rPr>
          <w:rFonts w:ascii="Arial" w:cs="Arial" w:eastAsia="Arial" w:hAnsi="Arial"/>
          <w:sz w:val="20"/>
          <w:szCs w:val="20"/>
          <w:color w:val="auto"/>
        </w:rPr>
        <w:t>instructed another person to purchase or sell the security for the instructing person’s account; or</w:t>
      </w:r>
    </w:p>
    <w:p>
      <w:pPr>
        <w:spacing w:after="0" w:line="105"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color w:val="auto"/>
        </w:rPr>
        <w:t>2.4.1.3.</w:t>
      </w:r>
      <w:r>
        <w:rPr>
          <w:rFonts w:ascii="Arial" w:cs="Arial" w:eastAsia="Arial" w:hAnsi="Arial"/>
          <w:sz w:val="20"/>
          <w:szCs w:val="20"/>
          <w:color w:val="auto"/>
        </w:rPr>
        <w:t>adopted a written plan for trading securities;</w:t>
      </w:r>
      <w:r>
        <w:rPr>
          <w:rFonts w:ascii="Times New Roman" w:cs="Times New Roman" w:eastAsia="Times New Roman" w:hAnsi="Times New Roman"/>
          <w:sz w:val="20"/>
          <w:szCs w:val="20"/>
          <w:color w:val="auto"/>
        </w:rPr>
        <w:t xml:space="preserve"> </w:t>
      </w:r>
      <w:r>
        <w:rPr>
          <w:rFonts w:ascii="Arial" w:cs="Arial" w:eastAsia="Arial" w:hAnsi="Arial"/>
          <w:sz w:val="20"/>
          <w:szCs w:val="20"/>
          <w:u w:val="single" w:color="auto"/>
          <w:color w:val="auto"/>
        </w:rPr>
        <w:t>and</w:t>
      </w:r>
    </w:p>
    <w:p>
      <w:pPr>
        <w:spacing w:after="0" w:line="10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color w:val="auto"/>
        </w:rPr>
        <w:t xml:space="preserve">2.4.2. </w:t>
      </w:r>
      <w:r>
        <w:rPr>
          <w:rFonts w:ascii="Arial" w:cs="Arial" w:eastAsia="Arial" w:hAnsi="Arial"/>
          <w:sz w:val="20"/>
          <w:szCs w:val="20"/>
          <w:color w:val="auto"/>
        </w:rPr>
        <w:t>such contract, instruction or plan must have:</w:t>
      </w:r>
    </w:p>
    <w:p>
      <w:pPr>
        <w:spacing w:after="0" w:line="105" w:lineRule="exact"/>
        <w:rPr>
          <w:sz w:val="20"/>
          <w:szCs w:val="20"/>
          <w:color w:val="auto"/>
        </w:rPr>
      </w:pPr>
    </w:p>
    <w:p>
      <w:pPr>
        <w:ind w:left="2600" w:right="180" w:hanging="553"/>
        <w:spacing w:after="0" w:line="252" w:lineRule="auto"/>
        <w:rPr>
          <w:sz w:val="20"/>
          <w:szCs w:val="20"/>
          <w:color w:val="auto"/>
        </w:rPr>
      </w:pPr>
      <w:r>
        <w:rPr>
          <w:rFonts w:ascii="Times New Roman" w:cs="Times New Roman" w:eastAsia="Times New Roman" w:hAnsi="Times New Roman"/>
          <w:sz w:val="20"/>
          <w:szCs w:val="20"/>
          <w:color w:val="auto"/>
        </w:rPr>
        <w:t>2.4.2.1.</w:t>
      </w:r>
      <w:r>
        <w:rPr>
          <w:rFonts w:ascii="Arial" w:cs="Arial" w:eastAsia="Arial" w:hAnsi="Arial"/>
          <w:sz w:val="20"/>
          <w:szCs w:val="20"/>
          <w:color w:val="auto"/>
        </w:rPr>
        <w:t>specified the amount of securities to be purchased or sold and the price at which and the date on</w:t>
      </w:r>
      <w:r>
        <w:rPr>
          <w:rFonts w:ascii="Times New Roman" w:cs="Times New Roman" w:eastAsia="Times New Roman" w:hAnsi="Times New Roman"/>
          <w:sz w:val="20"/>
          <w:szCs w:val="20"/>
          <w:color w:val="auto"/>
        </w:rPr>
        <w:t xml:space="preserve"> </w:t>
      </w:r>
      <w:r>
        <w:rPr>
          <w:rFonts w:ascii="Arial" w:cs="Arial" w:eastAsia="Arial" w:hAnsi="Arial"/>
          <w:sz w:val="20"/>
          <w:szCs w:val="20"/>
          <w:color w:val="auto"/>
        </w:rPr>
        <w:t>which the securities were to be purchased and sold;</w:t>
      </w:r>
    </w:p>
    <w:p>
      <w:pPr>
        <w:spacing w:after="0" w:line="52" w:lineRule="exact"/>
        <w:rPr>
          <w:sz w:val="20"/>
          <w:szCs w:val="20"/>
          <w:color w:val="auto"/>
        </w:rPr>
      </w:pPr>
    </w:p>
    <w:p>
      <w:pPr>
        <w:ind w:left="2600" w:right="20" w:hanging="553"/>
        <w:spacing w:after="0" w:line="238" w:lineRule="auto"/>
        <w:rPr>
          <w:sz w:val="20"/>
          <w:szCs w:val="20"/>
          <w:color w:val="auto"/>
        </w:rPr>
      </w:pPr>
      <w:r>
        <w:rPr>
          <w:rFonts w:ascii="Times New Roman" w:cs="Times New Roman" w:eastAsia="Times New Roman" w:hAnsi="Times New Roman"/>
          <w:sz w:val="20"/>
          <w:szCs w:val="20"/>
          <w:color w:val="auto"/>
        </w:rPr>
        <w:t>2.4.2.2.</w:t>
      </w:r>
      <w:r>
        <w:rPr>
          <w:rFonts w:ascii="Arial" w:cs="Arial" w:eastAsia="Arial" w:hAnsi="Arial"/>
          <w:sz w:val="20"/>
          <w:szCs w:val="20"/>
          <w:color w:val="auto"/>
        </w:rPr>
        <w:t>included a written formula or algorithm, or computer program, for determining the amount of</w:t>
      </w:r>
      <w:r>
        <w:rPr>
          <w:rFonts w:ascii="Times New Roman" w:cs="Times New Roman" w:eastAsia="Times New Roman" w:hAnsi="Times New Roman"/>
          <w:sz w:val="20"/>
          <w:szCs w:val="20"/>
          <w:color w:val="auto"/>
        </w:rPr>
        <w:t xml:space="preserve"> </w:t>
      </w:r>
      <w:r>
        <w:rPr>
          <w:rFonts w:ascii="Arial" w:cs="Arial" w:eastAsia="Arial" w:hAnsi="Arial"/>
          <w:sz w:val="20"/>
          <w:szCs w:val="20"/>
          <w:color w:val="auto"/>
        </w:rPr>
        <w:t>securities to be purchased or sold and the price at which and the date on which the securities were to be purchased or sold; or</w:t>
      </w:r>
    </w:p>
    <w:p>
      <w:pPr>
        <w:spacing w:after="0" w:line="66" w:lineRule="exact"/>
        <w:rPr>
          <w:sz w:val="20"/>
          <w:szCs w:val="20"/>
          <w:color w:val="auto"/>
        </w:rPr>
      </w:pPr>
    </w:p>
    <w:p>
      <w:pPr>
        <w:ind w:left="2600" w:right="40" w:hanging="553"/>
        <w:spacing w:after="0" w:line="235" w:lineRule="auto"/>
        <w:rPr>
          <w:sz w:val="20"/>
          <w:szCs w:val="20"/>
          <w:color w:val="auto"/>
        </w:rPr>
      </w:pPr>
      <w:r>
        <w:rPr>
          <w:rFonts w:ascii="Times New Roman" w:cs="Times New Roman" w:eastAsia="Times New Roman" w:hAnsi="Times New Roman"/>
          <w:sz w:val="20"/>
          <w:szCs w:val="20"/>
          <w:color w:val="auto"/>
        </w:rPr>
        <w:t>2.4.2.3.</w:t>
      </w:r>
      <w:r>
        <w:rPr>
          <w:rFonts w:ascii="Arial" w:cs="Arial" w:eastAsia="Arial" w:hAnsi="Arial"/>
          <w:sz w:val="20"/>
          <w:szCs w:val="20"/>
          <w:color w:val="auto"/>
        </w:rPr>
        <w:t>did not permit the person to exercise any subsequent influence over how, when, or whether to</w:t>
      </w:r>
      <w:r>
        <w:rPr>
          <w:rFonts w:ascii="Times New Roman" w:cs="Times New Roman" w:eastAsia="Times New Roman" w:hAnsi="Times New Roman"/>
          <w:sz w:val="20"/>
          <w:szCs w:val="20"/>
          <w:color w:val="auto"/>
        </w:rPr>
        <w:t xml:space="preserve"> </w:t>
      </w:r>
      <w:r>
        <w:rPr>
          <w:rFonts w:ascii="Arial" w:cs="Arial" w:eastAsia="Arial" w:hAnsi="Arial"/>
          <w:sz w:val="20"/>
          <w:szCs w:val="20"/>
          <w:color w:val="auto"/>
        </w:rPr>
        <w:t xml:space="preserve">effect purchases or sales; provided, in addition, that any other person who, pursuant to the contract, instruction or plan, did exercise such influence must not have been aware of the material nonpublic information when doing so; </w:t>
      </w:r>
      <w:r>
        <w:rPr>
          <w:rFonts w:ascii="Arial" w:cs="Arial" w:eastAsia="Arial" w:hAnsi="Arial"/>
          <w:sz w:val="20"/>
          <w:szCs w:val="20"/>
          <w:u w:val="single" w:color="auto"/>
          <w:color w:val="auto"/>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451485</wp:posOffset>
            </wp:positionV>
            <wp:extent cx="715835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869" w:right="379" w:bottom="1440" w:gutter="0" w:footer="0" w:header="0"/>
        </w:sectPr>
      </w:pPr>
    </w:p>
    <w:bookmarkStart w:id="90" w:name="page91"/>
    <w:bookmarkEnd w:id="90"/>
    <w:p>
      <w:pPr>
        <w:ind w:left="2040" w:right="40" w:hanging="509"/>
        <w:spacing w:after="0" w:line="233" w:lineRule="auto"/>
        <w:rPr>
          <w:sz w:val="20"/>
          <w:szCs w:val="20"/>
          <w:color w:val="auto"/>
        </w:rPr>
      </w:pPr>
      <w:r>
        <w:rPr>
          <w:rFonts w:ascii="Times New Roman" w:cs="Times New Roman" w:eastAsia="Times New Roman" w:hAnsi="Times New Roman"/>
          <w:sz w:val="20"/>
          <w:szCs w:val="20"/>
          <w:color w:val="auto"/>
        </w:rPr>
        <w:t xml:space="preserve">2.4.3. </w:t>
      </w:r>
      <w:r>
        <w:rPr>
          <w:rFonts w:ascii="Arial" w:cs="Arial" w:eastAsia="Arial" w:hAnsi="Arial"/>
          <w:sz w:val="20"/>
          <w:szCs w:val="20"/>
          <w:color w:val="auto"/>
        </w:rPr>
        <w:t>the purchase or sale that occurred was pursuant to the contract, instruction or plan. For example, a</w:t>
      </w:r>
      <w:r>
        <w:rPr>
          <w:rFonts w:ascii="Times New Roman" w:cs="Times New Roman" w:eastAsia="Times New Roman" w:hAnsi="Times New Roman"/>
          <w:sz w:val="20"/>
          <w:szCs w:val="20"/>
          <w:color w:val="auto"/>
        </w:rPr>
        <w:t xml:space="preserve"> </w:t>
      </w:r>
      <w:r>
        <w:rPr>
          <w:rFonts w:ascii="Arial" w:cs="Arial" w:eastAsia="Arial" w:hAnsi="Arial"/>
          <w:sz w:val="20"/>
          <w:szCs w:val="20"/>
          <w:color w:val="auto"/>
        </w:rPr>
        <w:t>person will fail this requirement if the person alters or deviates from the contract, instruction or plan to purchase or sell securities, whether by changing the amount, price or timing of the purchase or sale, or if such person entered into or altered a corresponding or hedging transaction or position with respect to those securities.</w:t>
      </w:r>
    </w:p>
    <w:p>
      <w:pPr>
        <w:spacing w:after="0" w:line="54" w:lineRule="exact"/>
        <w:rPr>
          <w:sz w:val="20"/>
          <w:szCs w:val="20"/>
          <w:color w:val="auto"/>
        </w:rPr>
      </w:pPr>
    </w:p>
    <w:p>
      <w:pPr>
        <w:ind w:left="520"/>
        <w:spacing w:after="0"/>
        <w:tabs>
          <w:tab w:leader="none" w:pos="3620" w:val="left"/>
        </w:tabs>
        <w:rPr>
          <w:sz w:val="20"/>
          <w:szCs w:val="20"/>
          <w:color w:val="auto"/>
        </w:rPr>
      </w:pPr>
      <w:r>
        <w:rPr>
          <w:rFonts w:ascii="Times New Roman" w:cs="Times New Roman" w:eastAsia="Times New Roman" w:hAnsi="Times New Roman"/>
          <w:sz w:val="21"/>
          <w:szCs w:val="21"/>
          <w:b w:val="1"/>
          <w:bCs w:val="1"/>
          <w:u w:val="single" w:color="auto"/>
          <w:color w:val="auto"/>
        </w:rPr>
        <w:t>7.</w:t>
      </w:r>
      <w:r>
        <w:rPr>
          <w:sz w:val="20"/>
          <w:szCs w:val="20"/>
          <w:color w:val="auto"/>
        </w:rPr>
        <w:tab/>
      </w:r>
      <w:r>
        <w:rPr>
          <w:rFonts w:ascii="Arial" w:cs="Arial" w:eastAsia="Arial" w:hAnsi="Arial"/>
          <w:sz w:val="20"/>
          <w:szCs w:val="20"/>
          <w:b w:val="1"/>
          <w:bCs w:val="1"/>
          <w:u w:val="single" w:color="auto"/>
          <w:color w:val="auto"/>
        </w:rPr>
        <w:t>Additional Information – Board Members and Officers</w:t>
      </w:r>
    </w:p>
    <w:p>
      <w:pPr>
        <w:spacing w:after="0" w:line="28" w:lineRule="exact"/>
        <w:rPr>
          <w:sz w:val="20"/>
          <w:szCs w:val="20"/>
          <w:color w:val="auto"/>
        </w:rPr>
      </w:pPr>
    </w:p>
    <w:p>
      <w:pPr>
        <w:ind w:firstLine="749"/>
        <w:spacing w:after="0" w:line="239" w:lineRule="auto"/>
        <w:rPr>
          <w:sz w:val="20"/>
          <w:szCs w:val="20"/>
          <w:color w:val="auto"/>
        </w:rPr>
      </w:pPr>
      <w:r>
        <w:rPr>
          <w:rFonts w:ascii="Arial" w:cs="Arial" w:eastAsia="Arial" w:hAnsi="Arial"/>
          <w:sz w:val="19"/>
          <w:szCs w:val="19"/>
          <w:color w:val="auto"/>
        </w:rPr>
        <w:t>Board Members and officers of the Company must also comply with the reporting obligations and limitations on short-swing transactions set forth in Section 16 of the Exchange Act (“Section 16”). Officers and Board Members may not purchase and sell the Company’s securities within a six-month period whether or not they had knowledge of any Inside Information at that time. Neither the receipt of an option under the Company’s equity plans, nor the exercise of that option, will be deemed a purchase under Section 16; however, the sale of any such shares is a sale under Section 16. Moreover, no officer or Board Member may ever make a short sale of the Company’s stock. The Company has provided, or will provide, separate memoranda and other appropriate materials to its officers and Board Members regarding compliance with Section 16 and its related rules.</w:t>
      </w:r>
    </w:p>
    <w:p>
      <w:pPr>
        <w:spacing w:after="0" w:line="167" w:lineRule="exact"/>
        <w:rPr>
          <w:sz w:val="20"/>
          <w:szCs w:val="20"/>
          <w:color w:val="auto"/>
        </w:rPr>
      </w:pPr>
    </w:p>
    <w:p>
      <w:pPr>
        <w:ind w:left="520"/>
        <w:spacing w:after="0"/>
        <w:tabs>
          <w:tab w:leader="none" w:pos="5700" w:val="left"/>
        </w:tabs>
        <w:rPr>
          <w:sz w:val="20"/>
          <w:szCs w:val="20"/>
          <w:color w:val="auto"/>
        </w:rPr>
      </w:pPr>
      <w:r>
        <w:rPr>
          <w:rFonts w:ascii="Times New Roman" w:cs="Times New Roman" w:eastAsia="Times New Roman" w:hAnsi="Times New Roman"/>
          <w:sz w:val="21"/>
          <w:szCs w:val="21"/>
          <w:b w:val="1"/>
          <w:bCs w:val="1"/>
          <w:u w:val="single" w:color="auto"/>
          <w:color w:val="auto"/>
        </w:rPr>
        <w:t>8.</w:t>
      </w:r>
      <w:r>
        <w:rPr>
          <w:sz w:val="20"/>
          <w:szCs w:val="20"/>
          <w:color w:val="auto"/>
        </w:rPr>
        <w:tab/>
      </w:r>
      <w:r>
        <w:rPr>
          <w:rFonts w:ascii="Arial" w:cs="Arial" w:eastAsia="Arial" w:hAnsi="Arial"/>
          <w:sz w:val="20"/>
          <w:szCs w:val="20"/>
          <w:b w:val="1"/>
          <w:bCs w:val="1"/>
          <w:u w:val="single" w:color="auto"/>
          <w:color w:val="auto"/>
        </w:rPr>
        <w:t>Inquiries</w:t>
      </w:r>
    </w:p>
    <w:p>
      <w:pPr>
        <w:spacing w:after="0" w:line="28" w:lineRule="exact"/>
        <w:rPr>
          <w:sz w:val="20"/>
          <w:szCs w:val="20"/>
          <w:color w:val="auto"/>
        </w:rPr>
      </w:pPr>
    </w:p>
    <w:p>
      <w:pPr>
        <w:ind w:right="800" w:firstLine="749"/>
        <w:spacing w:after="0" w:line="237" w:lineRule="auto"/>
        <w:rPr>
          <w:sz w:val="20"/>
          <w:szCs w:val="20"/>
          <w:color w:val="auto"/>
        </w:rPr>
      </w:pPr>
      <w:r>
        <w:rPr>
          <w:rFonts w:ascii="Arial" w:cs="Arial" w:eastAsia="Arial" w:hAnsi="Arial"/>
          <w:sz w:val="20"/>
          <w:szCs w:val="20"/>
          <w:color w:val="auto"/>
        </w:rPr>
        <w:t>Please direct your questions as to any of the matters discussed in this Policy to the Company’s Insider Trading Compliance Officer, currently the Company’s Chief Financial Officer.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 * *</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Reviewed and amended and restated by the Board of Directors on September 20,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EXHIBIT A</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Persons Requiring Preclearance of Trades</w:t>
      </w:r>
    </w:p>
    <w:p>
      <w:pPr>
        <w:spacing w:after="0" w:line="199" w:lineRule="exact"/>
        <w:rPr>
          <w:sz w:val="20"/>
          <w:szCs w:val="20"/>
          <w:color w:val="auto"/>
        </w:rPr>
      </w:pPr>
    </w:p>
    <w:p>
      <w:pPr>
        <w:ind w:left="1020" w:hanging="504"/>
        <w:spacing w:after="0"/>
        <w:tabs>
          <w:tab w:leader="none" w:pos="1020" w:val="left"/>
        </w:tabs>
        <w:numPr>
          <w:ilvl w:val="0"/>
          <w:numId w:val="57"/>
        </w:numPr>
        <w:rPr>
          <w:rFonts w:ascii="Times New Roman" w:cs="Times New Roman" w:eastAsia="Times New Roman" w:hAnsi="Times New Roman"/>
          <w:sz w:val="20"/>
          <w:szCs w:val="20"/>
          <w:u w:val="single" w:color="auto"/>
          <w:color w:val="auto"/>
        </w:rPr>
      </w:pPr>
      <w:r>
        <w:rPr>
          <w:rFonts w:ascii="Arial" w:cs="Arial" w:eastAsia="Arial" w:hAnsi="Arial"/>
          <w:sz w:val="20"/>
          <w:szCs w:val="20"/>
          <w:color w:val="auto"/>
        </w:rPr>
        <w:t>Each member of the Board of Directors of the Company.</w:t>
      </w:r>
    </w:p>
    <w:p>
      <w:pPr>
        <w:spacing w:after="0" w:line="104" w:lineRule="exact"/>
        <w:rPr>
          <w:rFonts w:ascii="Times New Roman" w:cs="Times New Roman" w:eastAsia="Times New Roman" w:hAnsi="Times New Roman"/>
          <w:sz w:val="20"/>
          <w:szCs w:val="20"/>
          <w:u w:val="single" w:color="auto"/>
          <w:color w:val="auto"/>
        </w:rPr>
      </w:pPr>
    </w:p>
    <w:p>
      <w:pPr>
        <w:ind w:left="1020" w:hanging="504"/>
        <w:spacing w:after="0"/>
        <w:tabs>
          <w:tab w:leader="none" w:pos="1020" w:val="left"/>
        </w:tabs>
        <w:numPr>
          <w:ilvl w:val="0"/>
          <w:numId w:val="57"/>
        </w:numPr>
        <w:rPr>
          <w:rFonts w:ascii="Times New Roman" w:cs="Times New Roman" w:eastAsia="Times New Roman" w:hAnsi="Times New Roman"/>
          <w:sz w:val="20"/>
          <w:szCs w:val="20"/>
          <w:u w:val="single" w:color="auto"/>
          <w:color w:val="auto"/>
        </w:rPr>
      </w:pPr>
      <w:r>
        <w:rPr>
          <w:rFonts w:ascii="Arial" w:cs="Arial" w:eastAsia="Arial" w:hAnsi="Arial"/>
          <w:sz w:val="20"/>
          <w:szCs w:val="20"/>
          <w:color w:val="auto"/>
        </w:rPr>
        <w:t>Each officer of the Company.</w:t>
      </w:r>
    </w:p>
    <w:p>
      <w:pPr>
        <w:spacing w:after="0" w:line="104" w:lineRule="exact"/>
        <w:rPr>
          <w:rFonts w:ascii="Times New Roman" w:cs="Times New Roman" w:eastAsia="Times New Roman" w:hAnsi="Times New Roman"/>
          <w:sz w:val="20"/>
          <w:szCs w:val="20"/>
          <w:u w:val="single" w:color="auto"/>
          <w:color w:val="auto"/>
        </w:rPr>
      </w:pPr>
    </w:p>
    <w:p>
      <w:pPr>
        <w:ind w:left="1020" w:hanging="504"/>
        <w:spacing w:after="0"/>
        <w:tabs>
          <w:tab w:leader="none" w:pos="1020" w:val="left"/>
        </w:tabs>
        <w:numPr>
          <w:ilvl w:val="0"/>
          <w:numId w:val="57"/>
        </w:numPr>
        <w:rPr>
          <w:rFonts w:ascii="Times New Roman" w:cs="Times New Roman" w:eastAsia="Times New Roman" w:hAnsi="Times New Roman"/>
          <w:sz w:val="20"/>
          <w:szCs w:val="20"/>
          <w:u w:val="single" w:color="auto"/>
          <w:color w:val="auto"/>
        </w:rPr>
      </w:pPr>
      <w:r>
        <w:rPr>
          <w:rFonts w:ascii="Arial" w:cs="Arial" w:eastAsia="Arial" w:hAnsi="Arial"/>
          <w:sz w:val="20"/>
          <w:szCs w:val="20"/>
          <w:color w:val="auto"/>
        </w:rPr>
        <w:t>Each employee of the Company.</w:t>
      </w:r>
    </w:p>
    <w:p>
      <w:pPr>
        <w:spacing w:after="0" w:line="104" w:lineRule="exact"/>
        <w:rPr>
          <w:rFonts w:ascii="Times New Roman" w:cs="Times New Roman" w:eastAsia="Times New Roman" w:hAnsi="Times New Roman"/>
          <w:sz w:val="20"/>
          <w:szCs w:val="20"/>
          <w:u w:val="single" w:color="auto"/>
          <w:color w:val="auto"/>
        </w:rPr>
      </w:pPr>
    </w:p>
    <w:p>
      <w:pPr>
        <w:ind w:left="1020" w:hanging="504"/>
        <w:spacing w:after="0"/>
        <w:tabs>
          <w:tab w:leader="none" w:pos="1020" w:val="left"/>
        </w:tabs>
        <w:numPr>
          <w:ilvl w:val="0"/>
          <w:numId w:val="57"/>
        </w:numPr>
        <w:rPr>
          <w:rFonts w:ascii="Times New Roman" w:cs="Times New Roman" w:eastAsia="Times New Roman" w:hAnsi="Times New Roman"/>
          <w:sz w:val="20"/>
          <w:szCs w:val="20"/>
          <w:u w:val="single" w:color="auto"/>
          <w:color w:val="auto"/>
        </w:rPr>
      </w:pPr>
      <w:r>
        <w:rPr>
          <w:rFonts w:ascii="Arial" w:cs="Arial" w:eastAsia="Arial" w:hAnsi="Arial"/>
          <w:sz w:val="20"/>
          <w:szCs w:val="20"/>
          <w:color w:val="auto"/>
        </w:rPr>
        <w:t>Each information technology, finance or accounting consultant to the Company.</w:t>
      </w:r>
    </w:p>
    <w:p>
      <w:pPr>
        <w:spacing w:after="0" w:line="104" w:lineRule="exact"/>
        <w:rPr>
          <w:rFonts w:ascii="Times New Roman" w:cs="Times New Roman" w:eastAsia="Times New Roman" w:hAnsi="Times New Roman"/>
          <w:sz w:val="20"/>
          <w:szCs w:val="20"/>
          <w:u w:val="single" w:color="auto"/>
          <w:color w:val="auto"/>
        </w:rPr>
      </w:pPr>
    </w:p>
    <w:p>
      <w:pPr>
        <w:ind w:left="1020" w:hanging="504"/>
        <w:spacing w:after="0"/>
        <w:tabs>
          <w:tab w:leader="none" w:pos="1020" w:val="left"/>
        </w:tabs>
        <w:numPr>
          <w:ilvl w:val="0"/>
          <w:numId w:val="57"/>
        </w:numPr>
        <w:rPr>
          <w:rFonts w:ascii="Times New Roman" w:cs="Times New Roman" w:eastAsia="Times New Roman" w:hAnsi="Times New Roman"/>
          <w:sz w:val="20"/>
          <w:szCs w:val="20"/>
          <w:u w:val="single" w:color="auto"/>
          <w:color w:val="auto"/>
        </w:rPr>
      </w:pPr>
      <w:r>
        <w:rPr>
          <w:rFonts w:ascii="Arial" w:cs="Arial" w:eastAsia="Arial" w:hAnsi="Arial"/>
          <w:sz w:val="20"/>
          <w:szCs w:val="20"/>
          <w:color w:val="auto"/>
        </w:rPr>
        <w:t>Each scientific advisor to the Company.</w:t>
      </w:r>
    </w:p>
    <w:p>
      <w:pPr>
        <w:spacing w:after="0" w:line="104" w:lineRule="exact"/>
        <w:rPr>
          <w:rFonts w:ascii="Times New Roman" w:cs="Times New Roman" w:eastAsia="Times New Roman" w:hAnsi="Times New Roman"/>
          <w:sz w:val="20"/>
          <w:szCs w:val="20"/>
          <w:u w:val="single" w:color="auto"/>
          <w:color w:val="auto"/>
        </w:rPr>
      </w:pPr>
    </w:p>
    <w:p>
      <w:pPr>
        <w:ind w:left="1020" w:hanging="504"/>
        <w:spacing w:after="0"/>
        <w:tabs>
          <w:tab w:leader="none" w:pos="1020" w:val="left"/>
        </w:tabs>
        <w:numPr>
          <w:ilvl w:val="0"/>
          <w:numId w:val="57"/>
        </w:numPr>
        <w:rPr>
          <w:rFonts w:ascii="Times New Roman" w:cs="Times New Roman" w:eastAsia="Times New Roman" w:hAnsi="Times New Roman"/>
          <w:sz w:val="20"/>
          <w:szCs w:val="20"/>
          <w:u w:val="single" w:color="auto"/>
          <w:color w:val="auto"/>
        </w:rPr>
      </w:pPr>
      <w:r>
        <w:rPr>
          <w:rFonts w:ascii="Arial" w:cs="Arial" w:eastAsia="Arial" w:hAnsi="Arial"/>
          <w:sz w:val="20"/>
          <w:szCs w:val="20"/>
          <w:color w:val="auto"/>
        </w:rPr>
        <w:t>Each assistant to the above persons.</w:t>
      </w:r>
    </w:p>
    <w:p>
      <w:pPr>
        <w:spacing w:after="0" w:line="104" w:lineRule="exact"/>
        <w:rPr>
          <w:rFonts w:ascii="Times New Roman" w:cs="Times New Roman" w:eastAsia="Times New Roman" w:hAnsi="Times New Roman"/>
          <w:sz w:val="20"/>
          <w:szCs w:val="20"/>
          <w:u w:val="single" w:color="auto"/>
          <w:color w:val="auto"/>
        </w:rPr>
      </w:pPr>
    </w:p>
    <w:p>
      <w:pPr>
        <w:ind w:left="1020" w:hanging="504"/>
        <w:spacing w:after="0"/>
        <w:tabs>
          <w:tab w:leader="none" w:pos="1020" w:val="left"/>
        </w:tabs>
        <w:numPr>
          <w:ilvl w:val="0"/>
          <w:numId w:val="57"/>
        </w:numPr>
        <w:rPr>
          <w:rFonts w:ascii="Times New Roman" w:cs="Times New Roman" w:eastAsia="Times New Roman" w:hAnsi="Times New Roman"/>
          <w:sz w:val="20"/>
          <w:szCs w:val="20"/>
          <w:u w:val="single" w:color="auto"/>
          <w:color w:val="auto"/>
        </w:rPr>
      </w:pPr>
      <w:r>
        <w:rPr>
          <w:rFonts w:ascii="Arial" w:cs="Arial" w:eastAsia="Arial" w:hAnsi="Arial"/>
          <w:sz w:val="20"/>
          <w:szCs w:val="20"/>
          <w:color w:val="auto"/>
        </w:rPr>
        <w:t>Each immediate family member or household member of the above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EXHIBIT B</w:t>
      </w:r>
    </w:p>
    <w:p>
      <w:pPr>
        <w:spacing w:after="0" w:line="199"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TENAX THERAPEUTICS, INC.</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PRE-CLEARANCE AND COMPLIANCE PROCEDURES</w:t>
      </w:r>
    </w:p>
    <w:p>
      <w:pPr>
        <w:spacing w:after="0" w:line="199" w:lineRule="exact"/>
        <w:rPr>
          <w:sz w:val="20"/>
          <w:szCs w:val="20"/>
          <w:color w:val="auto"/>
        </w:rPr>
      </w:pPr>
    </w:p>
    <w:p>
      <w:pPr>
        <w:jc w:val="both"/>
        <w:ind w:right="100" w:firstLine="749"/>
        <w:spacing w:after="0" w:line="257" w:lineRule="auto"/>
        <w:rPr>
          <w:sz w:val="20"/>
          <w:szCs w:val="20"/>
          <w:color w:val="auto"/>
        </w:rPr>
      </w:pPr>
      <w:r>
        <w:rPr>
          <w:rFonts w:ascii="Arial" w:cs="Arial" w:eastAsia="Arial" w:hAnsi="Arial"/>
          <w:sz w:val="19"/>
          <w:szCs w:val="19"/>
          <w:color w:val="auto"/>
        </w:rPr>
        <w:t>To ensure compliance with the accelerated reporting requirements for reporting insider transactions in equity securities of Tenax Therapeutics, Inc. (the “Company”) and to help prevent in advance any inadvertent violations of the federal securities laws, and to avoid even the appearance of trading on inside information, we are implementing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577850</wp:posOffset>
            </wp:positionV>
            <wp:extent cx="715835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60"/>
          </w:cols>
          <w:pgMar w:left="320" w:top="868" w:right="419" w:bottom="1440" w:gutter="0" w:footer="0" w:header="0"/>
        </w:sectPr>
      </w:pPr>
    </w:p>
    <w:bookmarkStart w:id="91" w:name="page92"/>
    <w:bookmarkEnd w:id="91"/>
    <w:p>
      <w:pPr>
        <w:ind w:left="1020" w:right="400" w:hanging="504"/>
        <w:spacing w:after="0" w:line="239" w:lineRule="auto"/>
        <w:tabs>
          <w:tab w:leader="none" w:pos="1020" w:val="left"/>
        </w:tabs>
        <w:numPr>
          <w:ilvl w:val="0"/>
          <w:numId w:val="58"/>
        </w:numPr>
        <w:rPr>
          <w:rFonts w:ascii="Arial" w:cs="Arial" w:eastAsia="Arial" w:hAnsi="Arial"/>
          <w:sz w:val="20"/>
          <w:szCs w:val="20"/>
          <w:color w:val="auto"/>
        </w:rPr>
      </w:pPr>
      <w:r>
        <w:rPr>
          <w:rFonts w:ascii="Arial" w:cs="Arial" w:eastAsia="Arial" w:hAnsi="Arial"/>
          <w:sz w:val="19"/>
          <w:szCs w:val="19"/>
          <w:u w:val="single" w:color="auto"/>
          <w:color w:val="auto"/>
        </w:rPr>
        <w:t>Our Mandatory Pre-clearance Procedure</w:t>
      </w:r>
      <w:r>
        <w:rPr>
          <w:rFonts w:ascii="Arial" w:cs="Arial" w:eastAsia="Arial" w:hAnsi="Arial"/>
          <w:sz w:val="19"/>
          <w:szCs w:val="19"/>
          <w:color w:val="auto"/>
        </w:rPr>
        <w:t>. Board Members and officers of the Company, its subsidiaries and any other persons designated under our Insider Trading Policy or otherwise designated by our Board of Directors as</w:t>
      </w:r>
    </w:p>
    <w:p>
      <w:pPr>
        <w:spacing w:after="0" w:line="1" w:lineRule="exact"/>
        <w:rPr>
          <w:sz w:val="20"/>
          <w:szCs w:val="20"/>
          <w:color w:val="auto"/>
        </w:rPr>
      </w:pPr>
    </w:p>
    <w:p>
      <w:pPr>
        <w:ind w:left="1020" w:right="80"/>
        <w:spacing w:after="0" w:line="224" w:lineRule="auto"/>
        <w:rPr>
          <w:sz w:val="20"/>
          <w:szCs w:val="20"/>
          <w:color w:val="auto"/>
        </w:rPr>
      </w:pPr>
      <w:r>
        <w:rPr>
          <w:rFonts w:ascii="Arial" w:cs="Arial" w:eastAsia="Arial" w:hAnsi="Arial"/>
          <w:sz w:val="20"/>
          <w:szCs w:val="20"/>
          <w:color w:val="auto"/>
        </w:rPr>
        <w:t>being subject to the Company’s pre-clearance procedures, together with their family members and members of their households, may not engage in any transaction involving Company securities (including market or private purchases or sales, option exercises, pledges, gifts, contributions to a trust, or any other transfers) without first obtaining pre-clearance of the transaction from the Company’s Insider Trading Compliance Officer. A request for pre-clearance should be submitted to the Company’s Insider Trading Compliance Officer, currently, the Company’s Chief Financial Officer (the Chief Financial Officer is to be pre-cleared by the CEO) at least two days in advance of the proposed transaction. The Company’s Insider Trading Compliance Officer will then determine whether the transaction may proceed and, if so, assist in complying with the new reporting requirements.</w:t>
      </w:r>
    </w:p>
    <w:p>
      <w:pPr>
        <w:spacing w:after="0" w:line="1" w:lineRule="exact"/>
        <w:rPr>
          <w:sz w:val="20"/>
          <w:szCs w:val="20"/>
          <w:color w:val="auto"/>
        </w:rPr>
      </w:pPr>
    </w:p>
    <w:p>
      <w:pPr>
        <w:ind w:firstLine="749"/>
        <w:spacing w:after="0" w:line="229" w:lineRule="auto"/>
        <w:rPr>
          <w:sz w:val="20"/>
          <w:szCs w:val="20"/>
          <w:color w:val="auto"/>
        </w:rPr>
      </w:pPr>
      <w:r>
        <w:rPr>
          <w:rFonts w:ascii="Arial" w:cs="Arial" w:eastAsia="Arial" w:hAnsi="Arial"/>
          <w:sz w:val="20"/>
          <w:szCs w:val="20"/>
          <w:color w:val="auto"/>
        </w:rPr>
        <w:t>Any person subject to the pre-clearance requirements who wishes to implement a new trading plan under SEC Rule 10b5-1 must first pre-clear the plan with the Insider Trading Compliance Officer. Transactions effected pursuant to a pre-cleared trading plan will not require further pre-clearance at the time of the transaction if the plan specifies the dates, prices and amounts of the contemplated trades, or establishes a formula for determining the dates, prices and amounts, and otherwise complies in all respects with SEC Rule 10b5-1.</w:t>
      </w:r>
    </w:p>
    <w:p>
      <w:pPr>
        <w:spacing w:after="0" w:line="187" w:lineRule="exact"/>
        <w:rPr>
          <w:sz w:val="20"/>
          <w:szCs w:val="20"/>
          <w:color w:val="auto"/>
        </w:rPr>
      </w:pPr>
    </w:p>
    <w:p>
      <w:pPr>
        <w:ind w:left="1020" w:right="240" w:hanging="504"/>
        <w:spacing w:after="0" w:line="238" w:lineRule="auto"/>
        <w:tabs>
          <w:tab w:leader="none" w:pos="1020" w:val="left"/>
        </w:tabs>
        <w:numPr>
          <w:ilvl w:val="0"/>
          <w:numId w:val="59"/>
        </w:numPr>
        <w:rPr>
          <w:rFonts w:ascii="Arial" w:cs="Arial" w:eastAsia="Arial" w:hAnsi="Arial"/>
          <w:sz w:val="20"/>
          <w:szCs w:val="20"/>
          <w:color w:val="auto"/>
        </w:rPr>
      </w:pPr>
      <w:r>
        <w:rPr>
          <w:rFonts w:ascii="Arial" w:cs="Arial" w:eastAsia="Arial" w:hAnsi="Arial"/>
          <w:sz w:val="19"/>
          <w:szCs w:val="19"/>
          <w:u w:val="single" w:color="auto"/>
          <w:color w:val="auto"/>
        </w:rPr>
        <w:t>Designated Broker and New Broker Interface Procedures</w:t>
      </w:r>
      <w:r>
        <w:rPr>
          <w:rFonts w:ascii="Arial" w:cs="Arial" w:eastAsia="Arial" w:hAnsi="Arial"/>
          <w:sz w:val="19"/>
          <w:szCs w:val="19"/>
          <w:color w:val="auto"/>
        </w:rPr>
        <w:t>. The reporting of transactions will require tight interface with brokers handling transactions for our Insiders. A knowledgeable, alert broker can act as a gatekeeper, helping ensure compliance with our preclearance procedures and helping prevent inadvertent violations.</w:t>
      </w:r>
    </w:p>
    <w:p>
      <w:pPr>
        <w:spacing w:after="0" w:line="1" w:lineRule="exact"/>
        <w:rPr>
          <w:sz w:val="20"/>
          <w:szCs w:val="20"/>
          <w:color w:val="auto"/>
        </w:rPr>
      </w:pPr>
    </w:p>
    <w:p>
      <w:pPr>
        <w:ind w:right="600" w:firstLine="858"/>
        <w:spacing w:after="0" w:line="237" w:lineRule="auto"/>
        <w:rPr>
          <w:sz w:val="20"/>
          <w:szCs w:val="20"/>
          <w:color w:val="auto"/>
        </w:rPr>
      </w:pPr>
      <w:r>
        <w:rPr>
          <w:rFonts w:ascii="Arial" w:cs="Arial" w:eastAsia="Arial" w:hAnsi="Arial"/>
          <w:sz w:val="20"/>
          <w:szCs w:val="20"/>
          <w:color w:val="auto"/>
        </w:rPr>
        <w:t>We will require that you and your broker sign the enclosed Broker Instruction/Representation which imposes two requirements on the broker handling your transaction in Company stock:</w:t>
      </w:r>
    </w:p>
    <w:p>
      <w:pPr>
        <w:spacing w:after="0" w:line="172" w:lineRule="exact"/>
        <w:rPr>
          <w:sz w:val="20"/>
          <w:szCs w:val="20"/>
          <w:color w:val="auto"/>
        </w:rPr>
      </w:pPr>
    </w:p>
    <w:p>
      <w:pPr>
        <w:ind w:left="1020" w:hanging="504"/>
        <w:spacing w:after="0"/>
        <w:tabs>
          <w:tab w:leader="none" w:pos="1020" w:val="left"/>
        </w:tabs>
        <w:numPr>
          <w:ilvl w:val="0"/>
          <w:numId w:val="60"/>
        </w:numPr>
        <w:rPr>
          <w:rFonts w:ascii="Arial" w:cs="Arial" w:eastAsia="Arial" w:hAnsi="Arial"/>
          <w:sz w:val="20"/>
          <w:szCs w:val="20"/>
          <w:color w:val="auto"/>
        </w:rPr>
      </w:pPr>
      <w:r>
        <w:rPr>
          <w:rFonts w:ascii="Arial" w:cs="Arial" w:eastAsia="Arial" w:hAnsi="Arial"/>
          <w:sz w:val="20"/>
          <w:szCs w:val="20"/>
          <w:color w:val="auto"/>
        </w:rPr>
        <w:t>Not to enter any order (except for orders under pre-approved Rule 10b5-1 plans) without</w:t>
      </w:r>
    </w:p>
    <w:p>
      <w:pPr>
        <w:spacing w:after="0" w:line="92" w:lineRule="exact"/>
        <w:rPr>
          <w:rFonts w:ascii="Arial" w:cs="Arial" w:eastAsia="Arial" w:hAnsi="Arial"/>
          <w:sz w:val="20"/>
          <w:szCs w:val="20"/>
          <w:color w:val="auto"/>
        </w:rPr>
      </w:pPr>
    </w:p>
    <w:p>
      <w:pPr>
        <w:ind w:left="1540" w:hanging="515"/>
        <w:spacing w:after="0"/>
        <w:tabs>
          <w:tab w:leader="none" w:pos="1540" w:val="left"/>
        </w:tabs>
        <w:numPr>
          <w:ilvl w:val="1"/>
          <w:numId w:val="60"/>
        </w:numPr>
        <w:rPr>
          <w:rFonts w:ascii="Arial" w:cs="Arial" w:eastAsia="Arial" w:hAnsi="Arial"/>
          <w:sz w:val="20"/>
          <w:szCs w:val="20"/>
          <w:color w:val="auto"/>
        </w:rPr>
      </w:pPr>
      <w:r>
        <w:rPr>
          <w:rFonts w:ascii="Arial" w:cs="Arial" w:eastAsia="Arial" w:hAnsi="Arial"/>
          <w:sz w:val="20"/>
          <w:szCs w:val="20"/>
          <w:color w:val="auto"/>
        </w:rPr>
        <w:t>first verifying with the Company that your transaction was pre-cleared, and</w:t>
      </w:r>
    </w:p>
    <w:p>
      <w:pPr>
        <w:spacing w:after="0" w:line="92" w:lineRule="exact"/>
        <w:rPr>
          <w:rFonts w:ascii="Arial" w:cs="Arial" w:eastAsia="Arial" w:hAnsi="Arial"/>
          <w:sz w:val="20"/>
          <w:szCs w:val="20"/>
          <w:color w:val="auto"/>
        </w:rPr>
      </w:pPr>
    </w:p>
    <w:p>
      <w:pPr>
        <w:ind w:left="1540" w:hanging="515"/>
        <w:spacing w:after="0"/>
        <w:tabs>
          <w:tab w:leader="none" w:pos="1540" w:val="left"/>
        </w:tabs>
        <w:numPr>
          <w:ilvl w:val="1"/>
          <w:numId w:val="60"/>
        </w:numPr>
        <w:rPr>
          <w:rFonts w:ascii="Arial" w:cs="Arial" w:eastAsia="Arial" w:hAnsi="Arial"/>
          <w:sz w:val="20"/>
          <w:szCs w:val="20"/>
          <w:color w:val="auto"/>
        </w:rPr>
      </w:pPr>
      <w:r>
        <w:rPr>
          <w:rFonts w:ascii="Arial" w:cs="Arial" w:eastAsia="Arial" w:hAnsi="Arial"/>
          <w:sz w:val="20"/>
          <w:szCs w:val="20"/>
          <w:color w:val="auto"/>
        </w:rPr>
        <w:t>complying with the brokerage firm’s compliance procedures (</w:t>
      </w:r>
      <w:r>
        <w:rPr>
          <w:rFonts w:ascii="Arial" w:cs="Arial" w:eastAsia="Arial" w:hAnsi="Arial"/>
          <w:sz w:val="20"/>
          <w:szCs w:val="20"/>
          <w:i w:val="1"/>
          <w:iCs w:val="1"/>
          <w:color w:val="auto"/>
        </w:rPr>
        <w:t>e.g.,</w:t>
      </w:r>
      <w:r>
        <w:rPr>
          <w:rFonts w:ascii="Arial" w:cs="Arial" w:eastAsia="Arial" w:hAnsi="Arial"/>
          <w:sz w:val="20"/>
          <w:szCs w:val="20"/>
          <w:color w:val="auto"/>
        </w:rPr>
        <w:t xml:space="preserve"> Rule 144); and</w:t>
      </w:r>
    </w:p>
    <w:p>
      <w:pPr>
        <w:spacing w:after="0" w:line="90" w:lineRule="exact"/>
        <w:rPr>
          <w:rFonts w:ascii="Arial" w:cs="Arial" w:eastAsia="Arial" w:hAnsi="Arial"/>
          <w:sz w:val="20"/>
          <w:szCs w:val="20"/>
          <w:color w:val="auto"/>
        </w:rPr>
      </w:pPr>
    </w:p>
    <w:p>
      <w:pPr>
        <w:ind w:left="1020" w:right="140" w:hanging="504"/>
        <w:spacing w:after="0" w:line="246" w:lineRule="auto"/>
        <w:tabs>
          <w:tab w:leader="none" w:pos="1020" w:val="left"/>
        </w:tabs>
        <w:numPr>
          <w:ilvl w:val="0"/>
          <w:numId w:val="60"/>
        </w:numPr>
        <w:rPr>
          <w:rFonts w:ascii="Arial" w:cs="Arial" w:eastAsia="Arial" w:hAnsi="Arial"/>
          <w:sz w:val="19"/>
          <w:szCs w:val="19"/>
          <w:color w:val="auto"/>
        </w:rPr>
      </w:pPr>
      <w:r>
        <w:rPr>
          <w:rFonts w:ascii="Arial" w:cs="Arial" w:eastAsia="Arial" w:hAnsi="Arial"/>
          <w:sz w:val="19"/>
          <w:szCs w:val="19"/>
          <w:color w:val="auto"/>
        </w:rPr>
        <w:t xml:space="preserve">To report </w:t>
      </w:r>
      <w:r>
        <w:rPr>
          <w:rFonts w:ascii="Arial" w:cs="Arial" w:eastAsia="Arial" w:hAnsi="Arial"/>
          <w:sz w:val="19"/>
          <w:szCs w:val="19"/>
          <w:b w:val="1"/>
          <w:bCs w:val="1"/>
          <w:u w:val="single" w:color="auto"/>
          <w:color w:val="auto"/>
        </w:rPr>
        <w:t>immediately</w:t>
      </w:r>
      <w:r>
        <w:rPr>
          <w:rFonts w:ascii="Arial" w:cs="Arial" w:eastAsia="Arial" w:hAnsi="Arial"/>
          <w:sz w:val="19"/>
          <w:szCs w:val="19"/>
          <w:color w:val="auto"/>
        </w:rPr>
        <w:t>to the Insider Trading Compliance Officer via telephone and in writing (via e-mail ) the details of every transaction involving company stock, including gifts, transfers, pledges and all 10b5-1 transactions.</w:t>
      </w:r>
    </w:p>
    <w:p>
      <w:pPr>
        <w:spacing w:after="0" w:line="2" w:lineRule="exact"/>
        <w:rPr>
          <w:sz w:val="20"/>
          <w:szCs w:val="20"/>
          <w:color w:val="auto"/>
        </w:rPr>
      </w:pPr>
    </w:p>
    <w:p>
      <w:pPr>
        <w:ind w:right="160"/>
        <w:spacing w:after="0" w:line="237" w:lineRule="auto"/>
        <w:rPr>
          <w:sz w:val="20"/>
          <w:szCs w:val="20"/>
          <w:color w:val="auto"/>
        </w:rPr>
      </w:pPr>
      <w:r>
        <w:rPr>
          <w:rFonts w:ascii="Arial" w:cs="Arial" w:eastAsia="Arial" w:hAnsi="Arial"/>
          <w:sz w:val="20"/>
          <w:szCs w:val="20"/>
          <w:color w:val="auto"/>
        </w:rPr>
        <w:t>Please sign and have your broker sign the enclosed Broker Instruction/Representation Form and return it to us promptly so that we can work out with your broker in a coordinated procedure.</w:t>
      </w:r>
    </w:p>
    <w:p>
      <w:pPr>
        <w:spacing w:after="0" w:line="185" w:lineRule="exact"/>
        <w:rPr>
          <w:sz w:val="20"/>
          <w:szCs w:val="20"/>
          <w:color w:val="auto"/>
        </w:rPr>
      </w:pPr>
    </w:p>
    <w:p>
      <w:pPr>
        <w:ind w:left="1020" w:right="220" w:hanging="504"/>
        <w:spacing w:after="0" w:line="237" w:lineRule="auto"/>
        <w:tabs>
          <w:tab w:leader="none" w:pos="1020" w:val="left"/>
        </w:tabs>
        <w:numPr>
          <w:ilvl w:val="0"/>
          <w:numId w:val="61"/>
        </w:numPr>
        <w:rPr>
          <w:rFonts w:ascii="Arial" w:cs="Arial" w:eastAsia="Arial" w:hAnsi="Arial"/>
          <w:sz w:val="20"/>
          <w:szCs w:val="20"/>
          <w:color w:val="auto"/>
        </w:rPr>
      </w:pPr>
      <w:r>
        <w:rPr>
          <w:rFonts w:ascii="Arial" w:cs="Arial" w:eastAsia="Arial" w:hAnsi="Arial"/>
          <w:sz w:val="19"/>
          <w:szCs w:val="19"/>
          <w:u w:val="single" w:color="auto"/>
          <w:color w:val="auto"/>
        </w:rPr>
        <w:t>Broker-Assisted Cashless Exercises of Options</w:t>
      </w:r>
      <w:r>
        <w:rPr>
          <w:rFonts w:ascii="Arial" w:cs="Arial" w:eastAsia="Arial" w:hAnsi="Arial"/>
          <w:sz w:val="19"/>
          <w:szCs w:val="19"/>
          <w:color w:val="auto"/>
        </w:rPr>
        <w:t>. The Sarbanes-Oxley Act makes it illegal for issuers to extend or maintain credit, or arrange for the extension of credit in the form of a personal loan to any officer or Board Member. In most cashless exercises, there is typically a delay of a few days from the time of exercise to the date the issuer receives the exercise price. Some attorneys have speculated that these arrangements could be deemed an impermissible extension of credit arranged by issuers for their insiders. Consequently, unless and until this issue</w:t>
      </w:r>
    </w:p>
    <w:p>
      <w:pPr>
        <w:spacing w:after="0" w:line="2" w:lineRule="exact"/>
        <w:rPr>
          <w:sz w:val="20"/>
          <w:szCs w:val="20"/>
          <w:color w:val="auto"/>
        </w:rPr>
      </w:pPr>
    </w:p>
    <w:p>
      <w:pPr>
        <w:ind w:left="1020" w:right="100"/>
        <w:spacing w:after="0" w:line="224" w:lineRule="auto"/>
        <w:rPr>
          <w:sz w:val="20"/>
          <w:szCs w:val="20"/>
          <w:color w:val="auto"/>
        </w:rPr>
      </w:pPr>
      <w:r>
        <w:rPr>
          <w:rFonts w:ascii="Arial" w:cs="Arial" w:eastAsia="Arial" w:hAnsi="Arial"/>
          <w:sz w:val="20"/>
          <w:szCs w:val="20"/>
          <w:color w:val="auto"/>
        </w:rPr>
        <w:t>gets resolved to our satisfaction, we must insist on receipt of cash simultaneous with any issuance of shares pursuant to exercise of an option by an insider. We believe that most brokers can do cashless exercises for you this way.</w:t>
      </w:r>
    </w:p>
    <w:p>
      <w:pPr>
        <w:ind w:right="420" w:firstLine="749"/>
        <w:spacing w:after="0" w:line="232" w:lineRule="auto"/>
        <w:rPr>
          <w:sz w:val="20"/>
          <w:szCs w:val="20"/>
          <w:color w:val="auto"/>
        </w:rPr>
      </w:pPr>
      <w:r>
        <w:rPr>
          <w:rFonts w:ascii="Arial" w:cs="Arial" w:eastAsia="Arial" w:hAnsi="Arial"/>
          <w:sz w:val="20"/>
          <w:szCs w:val="20"/>
          <w:color w:val="auto"/>
        </w:rPr>
        <w:t>Any person who has a question about these procedures or its application to any proposed transaction may obtain additional guidance from the Insider Trading Compliance Officer currently the Company’s Chief Financial Officer, or from our outside legal counsel.</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Certifications</w:t>
      </w:r>
    </w:p>
    <w:p>
      <w:pPr>
        <w:spacing w:after="0" w:line="199" w:lineRule="exact"/>
        <w:rPr>
          <w:sz w:val="20"/>
          <w:szCs w:val="20"/>
          <w:color w:val="auto"/>
        </w:rPr>
      </w:pPr>
    </w:p>
    <w:p>
      <w:pPr>
        <w:ind w:right="620" w:firstLine="749"/>
        <w:spacing w:after="0" w:line="239" w:lineRule="auto"/>
        <w:rPr>
          <w:sz w:val="20"/>
          <w:szCs w:val="20"/>
          <w:color w:val="auto"/>
        </w:rPr>
      </w:pPr>
      <w:r>
        <w:rPr>
          <w:rFonts w:ascii="Arial" w:cs="Arial" w:eastAsia="Arial" w:hAnsi="Arial"/>
          <w:sz w:val="20"/>
          <w:szCs w:val="20"/>
          <w:color w:val="auto"/>
        </w:rPr>
        <w:t>All Board Members, officers, employees, consultants and advisors subject to the procedures set forth in this memorandum must certify their understanding of, and intent to comply with, the procedures set forth in this memorandum. Please return the enclosed certification immediately.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859790</wp:posOffset>
            </wp:positionV>
            <wp:extent cx="715835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883" w:right="359" w:bottom="1440" w:gutter="0" w:footer="0" w:header="0"/>
        </w:sectPr>
      </w:pPr>
    </w:p>
    <w:bookmarkStart w:id="92" w:name="page93"/>
    <w:bookmarkEnd w:id="92"/>
    <w:p>
      <w:pPr>
        <w:jc w:val="center"/>
        <w:ind w:right="-179"/>
        <w:spacing w:after="0"/>
        <w:rPr>
          <w:sz w:val="20"/>
          <w:szCs w:val="20"/>
          <w:color w:val="auto"/>
        </w:rPr>
      </w:pPr>
      <w:r>
        <w:rPr>
          <w:rFonts w:ascii="Arial" w:cs="Arial" w:eastAsia="Arial" w:hAnsi="Arial"/>
          <w:sz w:val="20"/>
          <w:szCs w:val="20"/>
          <w:color w:val="auto"/>
        </w:rPr>
        <w:t>Broker Instruction/Representation</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[Name and Address of Broker]</w:t>
      </w:r>
    </w:p>
    <w:p>
      <w:pPr>
        <w:spacing w:after="0" w:line="199" w:lineRule="exact"/>
        <w:rPr>
          <w:sz w:val="20"/>
          <w:szCs w:val="20"/>
          <w:color w:val="auto"/>
        </w:rPr>
      </w:pPr>
    </w:p>
    <w:p>
      <w:pPr>
        <w:ind w:left="760"/>
        <w:spacing w:after="0"/>
        <w:rPr>
          <w:sz w:val="20"/>
          <w:szCs w:val="20"/>
          <w:color w:val="auto"/>
        </w:rPr>
      </w:pPr>
      <w:r>
        <w:rPr>
          <w:rFonts w:ascii="Arial" w:cs="Arial" w:eastAsia="Arial" w:hAnsi="Arial"/>
          <w:sz w:val="20"/>
          <w:szCs w:val="20"/>
          <w:color w:val="auto"/>
        </w:rPr>
        <w:t>Re: Tenax Therapeutics, Inc.</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199" w:lineRule="exact"/>
        <w:rPr>
          <w:sz w:val="20"/>
          <w:szCs w:val="20"/>
          <w:color w:val="auto"/>
        </w:rPr>
      </w:pPr>
    </w:p>
    <w:p>
      <w:pPr>
        <w:ind w:firstLine="749"/>
        <w:spacing w:after="0" w:line="239" w:lineRule="auto"/>
        <w:rPr>
          <w:sz w:val="20"/>
          <w:szCs w:val="20"/>
          <w:color w:val="auto"/>
        </w:rPr>
      </w:pPr>
      <w:r>
        <w:rPr>
          <w:rFonts w:ascii="Arial" w:cs="Arial" w:eastAsia="Arial" w:hAnsi="Arial"/>
          <w:sz w:val="20"/>
          <w:szCs w:val="20"/>
          <w:color w:val="auto"/>
        </w:rPr>
        <w:t>As my designated broker for effecting transactions in the common stock of Tenax Therapeutics, Inc. (the “Company”), I hereby instruct you to follow the following procedures in connection with executing any trade or other transaction in Company securities on my behalf:</w:t>
      </w:r>
    </w:p>
    <w:p>
      <w:pPr>
        <w:spacing w:after="0" w:line="185" w:lineRule="exact"/>
        <w:rPr>
          <w:sz w:val="20"/>
          <w:szCs w:val="20"/>
          <w:color w:val="auto"/>
        </w:rPr>
      </w:pPr>
    </w:p>
    <w:p>
      <w:pPr>
        <w:ind w:left="1020" w:hanging="504"/>
        <w:spacing w:after="0"/>
        <w:tabs>
          <w:tab w:leader="none" w:pos="1020" w:val="left"/>
        </w:tabs>
        <w:numPr>
          <w:ilvl w:val="0"/>
          <w:numId w:val="62"/>
        </w:numPr>
        <w:rPr>
          <w:rFonts w:ascii="Arial" w:cs="Arial" w:eastAsia="Arial" w:hAnsi="Arial"/>
          <w:sz w:val="21"/>
          <w:szCs w:val="21"/>
          <w:color w:val="auto"/>
        </w:rPr>
      </w:pPr>
      <w:r>
        <w:rPr>
          <w:rFonts w:ascii="Arial" w:cs="Arial" w:eastAsia="Arial" w:hAnsi="Arial"/>
          <w:sz w:val="20"/>
          <w:szCs w:val="20"/>
          <w:color w:val="auto"/>
        </w:rPr>
        <w:t>Do not enter any order (except for orders under pre-approved Rule 10b5-1 plans) without</w:t>
      </w:r>
    </w:p>
    <w:p>
      <w:pPr>
        <w:spacing w:after="0" w:line="94" w:lineRule="exact"/>
        <w:rPr>
          <w:rFonts w:ascii="Arial" w:cs="Arial" w:eastAsia="Arial" w:hAnsi="Arial"/>
          <w:sz w:val="21"/>
          <w:szCs w:val="21"/>
          <w:color w:val="auto"/>
        </w:rPr>
      </w:pPr>
    </w:p>
    <w:p>
      <w:pPr>
        <w:ind w:left="1540" w:hanging="515"/>
        <w:spacing w:after="0"/>
        <w:tabs>
          <w:tab w:leader="none" w:pos="1540" w:val="left"/>
        </w:tabs>
        <w:numPr>
          <w:ilvl w:val="1"/>
          <w:numId w:val="62"/>
        </w:numPr>
        <w:rPr>
          <w:rFonts w:ascii="Times New Roman" w:cs="Times New Roman" w:eastAsia="Times New Roman" w:hAnsi="Times New Roman"/>
          <w:sz w:val="20"/>
          <w:szCs w:val="20"/>
          <w:color w:val="auto"/>
        </w:rPr>
      </w:pPr>
      <w:r>
        <w:rPr>
          <w:rFonts w:ascii="Arial" w:cs="Arial" w:eastAsia="Arial" w:hAnsi="Arial"/>
          <w:sz w:val="20"/>
          <w:szCs w:val="20"/>
          <w:color w:val="auto"/>
        </w:rPr>
        <w:t>first verifying with the Company that your transaction was pre-cleared, and</w:t>
      </w:r>
    </w:p>
    <w:p>
      <w:pPr>
        <w:spacing w:after="0" w:line="104" w:lineRule="exact"/>
        <w:rPr>
          <w:rFonts w:ascii="Times New Roman" w:cs="Times New Roman" w:eastAsia="Times New Roman" w:hAnsi="Times New Roman"/>
          <w:sz w:val="20"/>
          <w:szCs w:val="20"/>
          <w:color w:val="auto"/>
        </w:rPr>
      </w:pPr>
    </w:p>
    <w:p>
      <w:pPr>
        <w:ind w:left="1540" w:hanging="515"/>
        <w:spacing w:after="0"/>
        <w:tabs>
          <w:tab w:leader="none" w:pos="1540" w:val="left"/>
        </w:tabs>
        <w:numPr>
          <w:ilvl w:val="1"/>
          <w:numId w:val="62"/>
        </w:numPr>
        <w:rPr>
          <w:rFonts w:ascii="Times New Roman" w:cs="Times New Roman" w:eastAsia="Times New Roman" w:hAnsi="Times New Roman"/>
          <w:sz w:val="20"/>
          <w:szCs w:val="20"/>
          <w:color w:val="auto"/>
        </w:rPr>
      </w:pPr>
      <w:r>
        <w:rPr>
          <w:rFonts w:ascii="Arial" w:cs="Arial" w:eastAsia="Arial" w:hAnsi="Arial"/>
          <w:sz w:val="20"/>
          <w:szCs w:val="20"/>
          <w:color w:val="auto"/>
        </w:rPr>
        <w:t>complying with your firm’s compliance procedures (</w:t>
      </w:r>
      <w:r>
        <w:rPr>
          <w:rFonts w:ascii="Arial" w:cs="Arial" w:eastAsia="Arial" w:hAnsi="Arial"/>
          <w:sz w:val="20"/>
          <w:szCs w:val="20"/>
          <w:i w:val="1"/>
          <w:iCs w:val="1"/>
          <w:color w:val="auto"/>
        </w:rPr>
        <w:t>e.g.,</w:t>
      </w:r>
      <w:r>
        <w:rPr>
          <w:rFonts w:ascii="Arial" w:cs="Arial" w:eastAsia="Arial" w:hAnsi="Arial"/>
          <w:sz w:val="20"/>
          <w:szCs w:val="20"/>
          <w:color w:val="auto"/>
        </w:rPr>
        <w:t>Rule 144); and</w:t>
      </w:r>
    </w:p>
    <w:p>
      <w:pPr>
        <w:spacing w:after="0" w:line="109" w:lineRule="exact"/>
        <w:rPr>
          <w:rFonts w:ascii="Times New Roman" w:cs="Times New Roman" w:eastAsia="Times New Roman" w:hAnsi="Times New Roman"/>
          <w:sz w:val="20"/>
          <w:szCs w:val="20"/>
          <w:color w:val="auto"/>
        </w:rPr>
      </w:pPr>
    </w:p>
    <w:p>
      <w:pPr>
        <w:ind w:left="1020" w:hanging="504"/>
        <w:spacing w:after="0"/>
        <w:tabs>
          <w:tab w:leader="none" w:pos="1020" w:val="left"/>
        </w:tabs>
        <w:numPr>
          <w:ilvl w:val="0"/>
          <w:numId w:val="62"/>
        </w:numPr>
        <w:rPr>
          <w:rFonts w:ascii="Arial" w:cs="Arial" w:eastAsia="Arial" w:hAnsi="Arial"/>
          <w:sz w:val="21"/>
          <w:szCs w:val="21"/>
          <w:color w:val="auto"/>
        </w:rPr>
      </w:pPr>
      <w:r>
        <w:rPr>
          <w:rFonts w:ascii="Arial" w:cs="Arial" w:eastAsia="Arial" w:hAnsi="Arial"/>
          <w:sz w:val="20"/>
          <w:szCs w:val="20"/>
          <w:color w:val="auto"/>
        </w:rPr>
        <w:t xml:space="preserve">Report </w:t>
      </w:r>
      <w:r>
        <w:rPr>
          <w:rFonts w:ascii="Arial" w:cs="Arial" w:eastAsia="Arial" w:hAnsi="Arial"/>
          <w:sz w:val="20"/>
          <w:szCs w:val="20"/>
          <w:b w:val="1"/>
          <w:bCs w:val="1"/>
          <w:u w:val="single" w:color="auto"/>
          <w:color w:val="auto"/>
        </w:rPr>
        <w:t>immediately</w:t>
      </w:r>
      <w:r>
        <w:rPr>
          <w:rFonts w:ascii="Arial" w:cs="Arial" w:eastAsia="Arial" w:hAnsi="Arial"/>
          <w:sz w:val="20"/>
          <w:szCs w:val="20"/>
          <w:color w:val="auto"/>
        </w:rPr>
        <w:t xml:space="preserve">to the Company via telephone and in writing (via e-mail or fax) the details of </w:t>
      </w:r>
      <w:r>
        <w:rPr>
          <w:rFonts w:ascii="Arial" w:cs="Arial" w:eastAsia="Arial" w:hAnsi="Arial"/>
          <w:sz w:val="20"/>
          <w:szCs w:val="20"/>
          <w:b w:val="1"/>
          <w:bCs w:val="1"/>
          <w:u w:val="single" w:color="auto"/>
          <w:color w:val="auto"/>
        </w:rPr>
        <w:t>every</w:t>
      </w:r>
      <w:r>
        <w:rPr>
          <w:rFonts w:ascii="Arial" w:cs="Arial" w:eastAsia="Arial" w:hAnsi="Arial"/>
          <w:sz w:val="20"/>
          <w:szCs w:val="20"/>
          <w:color w:val="auto"/>
        </w:rPr>
        <w:t>transaction</w:t>
      </w:r>
    </w:p>
    <w:p>
      <w:pPr>
        <w:ind w:left="1020"/>
        <w:spacing w:after="0" w:line="224" w:lineRule="auto"/>
        <w:rPr>
          <w:sz w:val="20"/>
          <w:szCs w:val="20"/>
          <w:color w:val="auto"/>
        </w:rPr>
      </w:pPr>
      <w:r>
        <w:rPr>
          <w:rFonts w:ascii="Arial" w:cs="Arial" w:eastAsia="Arial" w:hAnsi="Arial"/>
          <w:sz w:val="20"/>
          <w:szCs w:val="20"/>
          <w:color w:val="auto"/>
        </w:rPr>
        <w:t>involving Company stock, including gifts, transfers, pledges and all 10b5-1 transactions.</w:t>
      </w:r>
    </w:p>
    <w:p>
      <w:pPr>
        <w:ind w:left="380"/>
        <w:spacing w:after="0"/>
        <w:rPr>
          <w:sz w:val="20"/>
          <w:szCs w:val="20"/>
          <w:color w:val="auto"/>
        </w:rPr>
      </w:pPr>
      <w:r>
        <w:rPr>
          <w:rFonts w:ascii="Arial" w:cs="Arial" w:eastAsia="Arial" w:hAnsi="Arial"/>
          <w:sz w:val="20"/>
          <w:szCs w:val="20"/>
          <w:color w:val="auto"/>
        </w:rPr>
        <w:t>Company contacts: Primary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384810</wp:posOffset>
            </wp:positionV>
            <wp:extent cx="22733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42">
                      <a:extLst>
                        <a:ext uri="{28A0092B-C50C-407E-A947-70E740481C1C}"/>
                      </a:extLst>
                    </a:blip>
                    <a:srcRect/>
                    <a:stretch>
                      <a:fillRect/>
                    </a:stretch>
                  </pic:blipFill>
                  <pic:spPr bwMode="auto">
                    <a:xfrm>
                      <a:off x="0" y="0"/>
                      <a:ext cx="2273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Phone: (____)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3719195</wp:posOffset>
            </wp:positionH>
            <wp:positionV relativeFrom="paragraph">
              <wp:posOffset>-12065</wp:posOffset>
            </wp:positionV>
            <wp:extent cx="4762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43">
                      <a:extLst>
                        <a:ext uri="{28A0092B-C50C-407E-A947-70E740481C1C}"/>
                      </a:extLst>
                    </a:blip>
                    <a:srcRect/>
                    <a:stretch>
                      <a:fillRect/>
                    </a:stretch>
                  </pic:blipFill>
                  <pic:spPr bwMode="auto">
                    <a:xfrm>
                      <a:off x="0" y="0"/>
                      <a:ext cx="47625" cy="8255"/>
                    </a:xfrm>
                    <a:prstGeom prst="rect">
                      <a:avLst/>
                    </a:prstGeom>
                    <a:noFill/>
                  </pic:spPr>
                </pic:pic>
              </a:graphicData>
            </a:graphic>
          </wp:anchor>
        </w:drawing>
      </w:r>
    </w:p>
    <w:p>
      <w:pPr>
        <w:spacing w:after="0" w:line="193"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Fax: (____)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3566160</wp:posOffset>
            </wp:positionH>
            <wp:positionV relativeFrom="paragraph">
              <wp:posOffset>-12065</wp:posOffset>
            </wp:positionV>
            <wp:extent cx="20066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44">
                      <a:extLst>
                        <a:ext uri="{28A0092B-C50C-407E-A947-70E740481C1C}"/>
                      </a:extLst>
                    </a:blip>
                    <a:srcRect/>
                    <a:stretch>
                      <a:fillRect/>
                    </a:stretch>
                  </pic:blipFill>
                  <pic:spPr bwMode="auto">
                    <a:xfrm>
                      <a:off x="0" y="0"/>
                      <a:ext cx="200660" cy="8255"/>
                    </a:xfrm>
                    <a:prstGeom prst="rect">
                      <a:avLst/>
                    </a:prstGeom>
                    <a:noFill/>
                  </pic:spPr>
                </pic:pic>
              </a:graphicData>
            </a:graphic>
          </wp:anchor>
        </w:drawing>
      </w:r>
    </w:p>
    <w:p>
      <w:pPr>
        <w:spacing w:after="0" w:line="193"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3274060</wp:posOffset>
            </wp:positionH>
            <wp:positionV relativeFrom="paragraph">
              <wp:posOffset>-12065</wp:posOffset>
            </wp:positionV>
            <wp:extent cx="3810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45">
                      <a:extLst>
                        <a:ext uri="{28A0092B-C50C-407E-A947-70E740481C1C}"/>
                      </a:extLst>
                    </a:blip>
                    <a:srcRect/>
                    <a:stretch>
                      <a:fillRect/>
                    </a:stretch>
                  </pic:blipFill>
                  <pic:spPr bwMode="auto">
                    <a:xfrm>
                      <a:off x="0" y="0"/>
                      <a:ext cx="38100" cy="8255"/>
                    </a:xfrm>
                    <a:prstGeom prst="rect">
                      <a:avLst/>
                    </a:prstGeom>
                    <a:noFill/>
                  </pic:spPr>
                </pic:pic>
              </a:graphicData>
            </a:graphic>
          </wp:anchor>
        </w:drawing>
      </w:r>
    </w:p>
    <w:p>
      <w:pPr>
        <w:spacing w:after="0" w:line="193"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Backup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387350</wp:posOffset>
            </wp:positionV>
            <wp:extent cx="22733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46">
                      <a:extLst>
                        <a:ext uri="{28A0092B-C50C-407E-A947-70E740481C1C}"/>
                      </a:extLst>
                    </a:blip>
                    <a:srcRect/>
                    <a:stretch>
                      <a:fillRect/>
                    </a:stretch>
                  </pic:blipFill>
                  <pic:spPr bwMode="auto">
                    <a:xfrm>
                      <a:off x="0" y="0"/>
                      <a:ext cx="2273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Phone: (____)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3719195</wp:posOffset>
            </wp:positionH>
            <wp:positionV relativeFrom="paragraph">
              <wp:posOffset>-12065</wp:posOffset>
            </wp:positionV>
            <wp:extent cx="476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47">
                      <a:extLst>
                        <a:ext uri="{28A0092B-C50C-407E-A947-70E740481C1C}"/>
                      </a:extLst>
                    </a:blip>
                    <a:srcRect/>
                    <a:stretch>
                      <a:fillRect/>
                    </a:stretch>
                  </pic:blipFill>
                  <pic:spPr bwMode="auto">
                    <a:xfrm>
                      <a:off x="0" y="0"/>
                      <a:ext cx="47625" cy="8255"/>
                    </a:xfrm>
                    <a:prstGeom prst="rect">
                      <a:avLst/>
                    </a:prstGeom>
                    <a:noFill/>
                  </pic:spPr>
                </pic:pic>
              </a:graphicData>
            </a:graphic>
          </wp:anchor>
        </w:drawing>
      </w:r>
    </w:p>
    <w:p>
      <w:pPr>
        <w:spacing w:after="0" w:line="193"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Fax: (____)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3566160</wp:posOffset>
            </wp:positionH>
            <wp:positionV relativeFrom="paragraph">
              <wp:posOffset>-12065</wp:posOffset>
            </wp:positionV>
            <wp:extent cx="20066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48">
                      <a:extLst>
                        <a:ext uri="{28A0092B-C50C-407E-A947-70E740481C1C}"/>
                      </a:extLst>
                    </a:blip>
                    <a:srcRect/>
                    <a:stretch>
                      <a:fillRect/>
                    </a:stretch>
                  </pic:blipFill>
                  <pic:spPr bwMode="auto">
                    <a:xfrm>
                      <a:off x="0" y="0"/>
                      <a:ext cx="200660" cy="8255"/>
                    </a:xfrm>
                    <a:prstGeom prst="rect">
                      <a:avLst/>
                    </a:prstGeom>
                    <a:noFill/>
                  </pic:spPr>
                </pic:pic>
              </a:graphicData>
            </a:graphic>
          </wp:anchor>
        </w:drawing>
      </w:r>
    </w:p>
    <w:p>
      <w:pPr>
        <w:spacing w:after="0" w:line="193"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3274060</wp:posOffset>
            </wp:positionH>
            <wp:positionV relativeFrom="paragraph">
              <wp:posOffset>-12065</wp:posOffset>
            </wp:positionV>
            <wp:extent cx="3810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49">
                      <a:extLst>
                        <a:ext uri="{28A0092B-C50C-407E-A947-70E740481C1C}"/>
                      </a:extLst>
                    </a:blip>
                    <a:srcRect/>
                    <a:stretch>
                      <a:fillRect/>
                    </a:stretch>
                  </pic:blipFill>
                  <pic:spPr bwMode="auto">
                    <a:xfrm>
                      <a:off x="0" y="0"/>
                      <a:ext cx="38100" cy="8255"/>
                    </a:xfrm>
                    <a:prstGeom prst="rect">
                      <a:avLst/>
                    </a:prstGeom>
                    <a:noFill/>
                  </pic:spPr>
                </pic:pic>
              </a:graphicData>
            </a:graphic>
          </wp:anchor>
        </w:drawing>
      </w:r>
    </w:p>
    <w:p>
      <w:pPr>
        <w:spacing w:after="0" w:line="193" w:lineRule="exact"/>
        <w:rPr>
          <w:sz w:val="20"/>
          <w:szCs w:val="20"/>
          <w:color w:val="auto"/>
        </w:rPr>
      </w:pPr>
    </w:p>
    <w:p>
      <w:pPr>
        <w:jc w:val="center"/>
        <w:ind w:right="-179"/>
        <w:spacing w:after="0"/>
        <w:rPr>
          <w:sz w:val="20"/>
          <w:szCs w:val="20"/>
          <w:color w:val="auto"/>
        </w:rPr>
      </w:pPr>
      <w:r>
        <w:rPr>
          <w:rFonts w:ascii="Arial" w:cs="Arial" w:eastAsia="Arial" w:hAnsi="Arial"/>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Name of Insider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523875</wp:posOffset>
            </wp:positionV>
            <wp:extent cx="22733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50">
                      <a:extLst>
                        <a:ext uri="{28A0092B-C50C-407E-A947-70E740481C1C}"/>
                      </a:extLst>
                    </a:blip>
                    <a:srcRect/>
                    <a:stretch>
                      <a:fillRect/>
                    </a:stretch>
                  </pic:blipFill>
                  <pic:spPr bwMode="auto">
                    <a:xfrm>
                      <a:off x="0" y="0"/>
                      <a:ext cx="2273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(Signature of Insider)</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The undersigned broker confirms receipt of this instruction letter and agrees to comply with the terms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741045</wp:posOffset>
            </wp:positionV>
            <wp:extent cx="715835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080"/>
          </w:cols>
          <w:pgMar w:left="320" w:top="1191" w:right="499" w:bottom="1440" w:gutter="0" w:footer="0" w:header="0"/>
        </w:sectPr>
      </w:pPr>
    </w:p>
    <w:bookmarkStart w:id="93" w:name="page94"/>
    <w:bookmarkEnd w:id="93"/>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207645</wp:posOffset>
            </wp:positionH>
            <wp:positionV relativeFrom="page">
              <wp:posOffset>608965</wp:posOffset>
            </wp:positionV>
            <wp:extent cx="22733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52">
                      <a:extLst>
                        <a:ext uri="{28A0092B-C50C-407E-A947-70E740481C1C}"/>
                      </a:extLst>
                    </a:blip>
                    <a:srcRect/>
                    <a:stretch>
                      <a:fillRect/>
                    </a:stretch>
                  </pic:blipFill>
                  <pic:spPr bwMode="auto">
                    <a:xfrm>
                      <a:off x="0" y="0"/>
                      <a:ext cx="227330" cy="8255"/>
                    </a:xfrm>
                    <a:prstGeom prst="rect">
                      <a:avLst/>
                    </a:prstGeom>
                    <a:noFill/>
                  </pic:spPr>
                </pic:pic>
              </a:graphicData>
            </a:graphic>
          </wp:anchor>
        </w:drawing>
        <w:t>Name of Broker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387350</wp:posOffset>
            </wp:positionV>
            <wp:extent cx="22733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53">
                      <a:extLst>
                        <a:ext uri="{28A0092B-C50C-407E-A947-70E740481C1C}"/>
                      </a:extLst>
                    </a:blip>
                    <a:srcRect/>
                    <a:stretch>
                      <a:fillRect/>
                    </a:stretch>
                  </pic:blipFill>
                  <pic:spPr bwMode="auto">
                    <a:xfrm>
                      <a:off x="0" y="0"/>
                      <a:ext cx="2273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(Signature of Authorized Signatory for Broker)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Insider Certification</w:t>
      </w:r>
    </w:p>
    <w:p>
      <w:pPr>
        <w:spacing w:after="0" w:line="199" w:lineRule="exact"/>
        <w:rPr>
          <w:sz w:val="20"/>
          <w:szCs w:val="20"/>
          <w:color w:val="auto"/>
        </w:rPr>
      </w:pPr>
    </w:p>
    <w:p>
      <w:pPr>
        <w:spacing w:after="0" w:line="253" w:lineRule="auto"/>
        <w:rPr>
          <w:sz w:val="20"/>
          <w:szCs w:val="20"/>
          <w:color w:val="auto"/>
        </w:rPr>
      </w:pPr>
      <w:r>
        <w:rPr>
          <w:rFonts w:ascii="Arial" w:cs="Arial" w:eastAsia="Arial" w:hAnsi="Arial"/>
          <w:sz w:val="20"/>
          <w:szCs w:val="20"/>
          <w:color w:val="auto"/>
        </w:rPr>
        <w:t>The undersigned, an officer, employee, Board Member, consultant or advisor to Tenax Therapeutics, Inc. (the “Company”), hereby certifies to the Company that:</w:t>
      </w:r>
    </w:p>
    <w:p>
      <w:pPr>
        <w:spacing w:after="0" w:line="159" w:lineRule="exact"/>
        <w:rPr>
          <w:sz w:val="20"/>
          <w:szCs w:val="20"/>
          <w:color w:val="auto"/>
        </w:rPr>
      </w:pPr>
    </w:p>
    <w:p>
      <w:pPr>
        <w:ind w:left="1020" w:right="300" w:hanging="504"/>
        <w:spacing w:after="0" w:line="253" w:lineRule="auto"/>
        <w:tabs>
          <w:tab w:leader="none" w:pos="1020" w:val="left"/>
        </w:tabs>
        <w:numPr>
          <w:ilvl w:val="0"/>
          <w:numId w:val="63"/>
        </w:numPr>
        <w:rPr>
          <w:rFonts w:ascii="Arial" w:cs="Arial" w:eastAsia="Arial" w:hAnsi="Arial"/>
          <w:sz w:val="20"/>
          <w:szCs w:val="20"/>
          <w:color w:val="auto"/>
        </w:rPr>
      </w:pPr>
      <w:r>
        <w:rPr>
          <w:rFonts w:ascii="Arial" w:cs="Arial" w:eastAsia="Arial" w:hAnsi="Arial"/>
          <w:sz w:val="20"/>
          <w:szCs w:val="20"/>
          <w:color w:val="auto"/>
        </w:rPr>
        <w:t>he or she has received and understands his or her obligations outlined in the Company’s Pre-clearance and Compliance Procedures; and</w:t>
      </w:r>
    </w:p>
    <w:p>
      <w:pPr>
        <w:spacing w:after="0" w:line="51" w:lineRule="exact"/>
        <w:rPr>
          <w:rFonts w:ascii="Arial" w:cs="Arial" w:eastAsia="Arial" w:hAnsi="Arial"/>
          <w:sz w:val="20"/>
          <w:szCs w:val="20"/>
          <w:color w:val="auto"/>
        </w:rPr>
      </w:pPr>
    </w:p>
    <w:p>
      <w:pPr>
        <w:ind w:left="1020" w:hanging="504"/>
        <w:spacing w:after="0"/>
        <w:tabs>
          <w:tab w:leader="none" w:pos="1020" w:val="left"/>
        </w:tabs>
        <w:numPr>
          <w:ilvl w:val="0"/>
          <w:numId w:val="63"/>
        </w:numPr>
        <w:rPr>
          <w:rFonts w:ascii="Arial" w:cs="Arial" w:eastAsia="Arial" w:hAnsi="Arial"/>
          <w:sz w:val="20"/>
          <w:szCs w:val="20"/>
          <w:color w:val="auto"/>
        </w:rPr>
      </w:pPr>
      <w:r>
        <w:rPr>
          <w:rFonts w:ascii="Arial" w:cs="Arial" w:eastAsia="Arial" w:hAnsi="Arial"/>
          <w:sz w:val="20"/>
          <w:szCs w:val="20"/>
          <w:color w:val="auto"/>
        </w:rPr>
        <w:t>he or she intends to comply with those procedures.</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color w:val="auto"/>
        </w:rPr>
        <w:t>Name of Insider: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-23495</wp:posOffset>
            </wp:positionV>
            <wp:extent cx="18478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54">
                      <a:extLst>
                        <a:ext uri="{28A0092B-C50C-407E-A947-70E740481C1C}"/>
                      </a:extLst>
                    </a:blip>
                    <a:srcRect/>
                    <a:stretch>
                      <a:fillRect/>
                    </a:stretch>
                  </pic:blipFill>
                  <pic:spPr bwMode="auto">
                    <a:xfrm>
                      <a:off x="0" y="0"/>
                      <a:ext cx="184785"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20"/>
          <w:szCs w:val="20"/>
          <w:color w:val="auto"/>
        </w:rPr>
        <w:t>Signature of Insider: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767080</wp:posOffset>
            </wp:positionV>
            <wp:extent cx="715835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1122680</wp:posOffset>
            </wp:positionH>
            <wp:positionV relativeFrom="paragraph">
              <wp:posOffset>-12065</wp:posOffset>
            </wp:positionV>
            <wp:extent cx="24511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56">
                      <a:extLst>
                        <a:ext uri="{28A0092B-C50C-407E-A947-70E740481C1C}"/>
                      </a:extLst>
                    </a:blip>
                    <a:srcRect/>
                    <a:stretch>
                      <a:fillRect/>
                    </a:stretch>
                  </pic:blipFill>
                  <pic:spPr bwMode="auto">
                    <a:xfrm>
                      <a:off x="0" y="0"/>
                      <a:ext cx="245110" cy="8255"/>
                    </a:xfrm>
                    <a:prstGeom prst="rect">
                      <a:avLst/>
                    </a:prstGeom>
                    <a:noFill/>
                  </pic:spPr>
                </pic:pic>
              </a:graphicData>
            </a:graphic>
          </wp:anchor>
        </w:drawing>
      </w:r>
    </w:p>
    <w:p>
      <w:pPr>
        <w:sectPr>
          <w:pgSz w:w="11900" w:h="16838" w:orient="portrait"/>
          <w:cols w:equalWidth="0" w:num="1">
            <w:col w:w="10680"/>
          </w:cols>
          <w:pgMar w:left="320" w:top="977" w:right="89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w:t>
      </w:r>
    </w:p>
    <w:p>
      <w:pPr>
        <w:spacing w:after="0" w:line="2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(Nos. 333-266833, 333-167175, 333-196464, 333-210182, 333-224120, 333-233571, 333-259266, 333-283482, and 333-281874), Form S-3 (Nos. 333-265209, 333-258981, 333-248201, and 333-281873), and Form S-1 (No. 333-275856, 333-269363, and 333-228212) of our report dated March 25, 2025 included in this Annual Report on Form 10-K of Tenax Therapeutics, Inc. and Subsidiaries (the “Company”), relating to the consolidated balance sheets of the Company as of December 31, 2024 and 2023, and the related consolidated statements of operations and comprehensive loss, stockholders’ equity, and cash flows, and the related notes (which report expresses an unqualified opinion) for each of the years in the two-year period ended December 31, 2024.</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CHERRY BEKAERT LLP</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Raleigh, North Carolina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878205</wp:posOffset>
            </wp:positionV>
            <wp:extent cx="715835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05" w:right="339" w:bottom="1440" w:gutter="0" w:footer="0" w:header="0"/>
        </w:sectPr>
      </w:pPr>
    </w:p>
    <w:bookmarkStart w:id="95" w:name="page96"/>
    <w:bookmarkEnd w:id="95"/>
    <w:p>
      <w:pPr>
        <w:ind w:left="101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194" w:lineRule="exact"/>
        <w:rPr>
          <w:sz w:val="20"/>
          <w:szCs w:val="20"/>
          <w:color w:val="auto"/>
        </w:rPr>
      </w:pPr>
    </w:p>
    <w:p>
      <w:pPr>
        <w:ind w:right="380"/>
        <w:spacing w:after="0" w:line="284"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EXCHANGE ACT RULE 13a-14(a)/15d-14(a) AS ADOPTED PURSUANT TO SECTION 302 OF THE SARBANES-OXLEY ACT OF 2002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T. Giordano, certify that:</w:t>
      </w:r>
    </w:p>
    <w:p>
      <w:pPr>
        <w:spacing w:after="0" w:line="182" w:lineRule="exact"/>
        <w:rPr>
          <w:sz w:val="20"/>
          <w:szCs w:val="20"/>
          <w:color w:val="auto"/>
        </w:rPr>
      </w:pPr>
    </w:p>
    <w:p>
      <w:pPr>
        <w:ind w:left="380" w:hanging="373"/>
        <w:spacing w:after="0"/>
        <w:tabs>
          <w:tab w:leader="none" w:pos="3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Tenax Therapeutics, Inc.;</w:t>
      </w:r>
    </w:p>
    <w:p>
      <w:pPr>
        <w:spacing w:after="0" w:line="182" w:lineRule="exact"/>
        <w:rPr>
          <w:rFonts w:ascii="Times New Roman" w:cs="Times New Roman" w:eastAsia="Times New Roman" w:hAnsi="Times New Roman"/>
          <w:sz w:val="18"/>
          <w:szCs w:val="18"/>
          <w:color w:val="auto"/>
        </w:rPr>
      </w:pPr>
    </w:p>
    <w:p>
      <w:pPr>
        <w:jc w:val="both"/>
        <w:ind w:left="380" w:hanging="373"/>
        <w:spacing w:after="0" w:line="264" w:lineRule="auto"/>
        <w:tabs>
          <w:tab w:leader="none" w:pos="3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9" w:lineRule="exact"/>
        <w:rPr>
          <w:rFonts w:ascii="Times New Roman" w:cs="Times New Roman" w:eastAsia="Times New Roman" w:hAnsi="Times New Roman"/>
          <w:sz w:val="18"/>
          <w:szCs w:val="18"/>
          <w:color w:val="auto"/>
        </w:rPr>
      </w:pPr>
    </w:p>
    <w:p>
      <w:pPr>
        <w:ind w:left="380" w:hanging="373"/>
        <w:spacing w:after="0" w:line="279" w:lineRule="auto"/>
        <w:tabs>
          <w:tab w:leader="none" w:pos="3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Times New Roman" w:cs="Times New Roman" w:eastAsia="Times New Roman" w:hAnsi="Times New Roman"/>
          <w:sz w:val="18"/>
          <w:szCs w:val="18"/>
          <w:color w:val="auto"/>
        </w:rPr>
      </w:pPr>
    </w:p>
    <w:p>
      <w:pPr>
        <w:jc w:val="both"/>
        <w:ind w:left="380" w:hanging="373"/>
        <w:spacing w:after="0" w:line="264" w:lineRule="auto"/>
        <w:tabs>
          <w:tab w:leader="none" w:pos="3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760" w:hanging="378"/>
        <w:spacing w:after="0" w:line="264" w:lineRule="auto"/>
        <w:tabs>
          <w:tab w:leader="none" w:pos="7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9" w:lineRule="exact"/>
        <w:rPr>
          <w:rFonts w:ascii="Times New Roman" w:cs="Times New Roman" w:eastAsia="Times New Roman" w:hAnsi="Times New Roman"/>
          <w:sz w:val="18"/>
          <w:szCs w:val="18"/>
          <w:color w:val="auto"/>
        </w:rPr>
      </w:pPr>
    </w:p>
    <w:p>
      <w:pPr>
        <w:jc w:val="both"/>
        <w:ind w:left="760" w:hanging="378"/>
        <w:spacing w:after="0" w:line="264" w:lineRule="auto"/>
        <w:tabs>
          <w:tab w:leader="none" w:pos="7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760" w:hanging="378"/>
        <w:spacing w:after="0" w:line="279" w:lineRule="auto"/>
        <w:tabs>
          <w:tab w:leader="none" w:pos="7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Times New Roman" w:cs="Times New Roman" w:eastAsia="Times New Roman" w:hAnsi="Times New Roman"/>
          <w:sz w:val="18"/>
          <w:szCs w:val="18"/>
          <w:color w:val="auto"/>
        </w:rPr>
      </w:pPr>
    </w:p>
    <w:p>
      <w:pPr>
        <w:jc w:val="both"/>
        <w:ind w:left="760" w:hanging="378"/>
        <w:spacing w:after="0" w:line="264" w:lineRule="auto"/>
        <w:tabs>
          <w:tab w:leader="none" w:pos="7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9" w:lineRule="exact"/>
        <w:rPr>
          <w:rFonts w:ascii="Times New Roman" w:cs="Times New Roman" w:eastAsia="Times New Roman" w:hAnsi="Times New Roman"/>
          <w:sz w:val="18"/>
          <w:szCs w:val="18"/>
          <w:color w:val="auto"/>
        </w:rPr>
      </w:pPr>
    </w:p>
    <w:p>
      <w:pPr>
        <w:ind w:left="380" w:hanging="373"/>
        <w:spacing w:after="0" w:line="279" w:lineRule="auto"/>
        <w:tabs>
          <w:tab w:leader="none" w:pos="3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Times New Roman" w:cs="Times New Roman" w:eastAsia="Times New Roman" w:hAnsi="Times New Roman"/>
          <w:sz w:val="18"/>
          <w:szCs w:val="18"/>
          <w:color w:val="auto"/>
        </w:rPr>
      </w:pPr>
    </w:p>
    <w:p>
      <w:pPr>
        <w:ind w:left="760" w:hanging="378"/>
        <w:spacing w:after="0" w:line="279" w:lineRule="auto"/>
        <w:tabs>
          <w:tab w:leader="none" w:pos="7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Times New Roman" w:cs="Times New Roman" w:eastAsia="Times New Roman" w:hAnsi="Times New Roman"/>
          <w:sz w:val="18"/>
          <w:szCs w:val="18"/>
          <w:color w:val="auto"/>
        </w:rPr>
      </w:pPr>
    </w:p>
    <w:p>
      <w:pPr>
        <w:ind w:left="760" w:right="180" w:hanging="378"/>
        <w:spacing w:after="0" w:line="279" w:lineRule="auto"/>
        <w:tabs>
          <w:tab w:leader="none" w:pos="7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25, 2025</w:t>
            </w: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By:  /s/ Christopher T. Giordano</w:t>
            </w:r>
          </w:p>
        </w:tc>
      </w:tr>
      <w:tr>
        <w:trPr>
          <w:trHeight w:val="188"/>
        </w:trPr>
        <w:tc>
          <w:tcPr>
            <w:tcW w:w="36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16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color w:val="auto"/>
              </w:rPr>
              <w:t>Christopher T. Giordano</w:t>
            </w:r>
          </w:p>
        </w:tc>
      </w:tr>
      <w:tr>
        <w:trPr>
          <w:trHeight w:val="215"/>
        </w:trPr>
        <w:tc>
          <w:tcPr>
            <w:tcW w:w="36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235"/>
        </w:trPr>
        <w:tc>
          <w:tcPr>
            <w:tcW w:w="36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1617"/>
        </w:trPr>
        <w:tc>
          <w:tcPr>
            <w:tcW w:w="362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5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05" w:right="339" w:bottom="1440" w:gutter="0" w:footer="0" w:header="0"/>
        </w:sectPr>
      </w:pPr>
    </w:p>
    <w:bookmarkStart w:id="96" w:name="page97"/>
    <w:bookmarkEnd w:id="96"/>
    <w:p>
      <w:pPr>
        <w:ind w:left="101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194"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EXCHANGE ACT RULE 13a-14(a)/15d-14(a) AS ADOPTED PURSUANT TO SECTION 302 OF THE SARBANES-OXLEY ACT OF 2002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A. McGauley, certify that:</w:t>
      </w:r>
    </w:p>
    <w:p>
      <w:pPr>
        <w:spacing w:after="0" w:line="182" w:lineRule="exact"/>
        <w:rPr>
          <w:sz w:val="20"/>
          <w:szCs w:val="20"/>
          <w:color w:val="auto"/>
        </w:rPr>
      </w:pPr>
    </w:p>
    <w:p>
      <w:pPr>
        <w:ind w:left="520" w:hanging="513"/>
        <w:spacing w:after="0"/>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Tenax Therapeutics, Inc.;</w:t>
      </w:r>
    </w:p>
    <w:p>
      <w:pPr>
        <w:spacing w:after="0" w:line="182" w:lineRule="exact"/>
        <w:rPr>
          <w:rFonts w:ascii="Times New Roman" w:cs="Times New Roman" w:eastAsia="Times New Roman" w:hAnsi="Times New Roman"/>
          <w:sz w:val="18"/>
          <w:szCs w:val="18"/>
          <w:color w:val="auto"/>
        </w:rPr>
      </w:pPr>
    </w:p>
    <w:p>
      <w:pPr>
        <w:jc w:val="both"/>
        <w:ind w:left="520" w:hanging="513"/>
        <w:spacing w:after="0" w:line="264" w:lineRule="auto"/>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9" w:lineRule="exact"/>
        <w:rPr>
          <w:rFonts w:ascii="Times New Roman" w:cs="Times New Roman" w:eastAsia="Times New Roman" w:hAnsi="Times New Roman"/>
          <w:sz w:val="18"/>
          <w:szCs w:val="18"/>
          <w:color w:val="auto"/>
        </w:rPr>
      </w:pPr>
    </w:p>
    <w:p>
      <w:pPr>
        <w:ind w:left="520" w:hanging="513"/>
        <w:spacing w:after="0" w:line="279" w:lineRule="auto"/>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Times New Roman" w:cs="Times New Roman" w:eastAsia="Times New Roman" w:hAnsi="Times New Roman"/>
          <w:sz w:val="18"/>
          <w:szCs w:val="18"/>
          <w:color w:val="auto"/>
        </w:rPr>
      </w:pPr>
    </w:p>
    <w:p>
      <w:pPr>
        <w:jc w:val="both"/>
        <w:ind w:left="520" w:hanging="513"/>
        <w:spacing w:after="0" w:line="264" w:lineRule="auto"/>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1020" w:hanging="504"/>
        <w:spacing w:after="0" w:line="264" w:lineRule="auto"/>
        <w:tabs>
          <w:tab w:leader="none" w:pos="102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9" w:lineRule="exact"/>
        <w:rPr>
          <w:rFonts w:ascii="Times New Roman" w:cs="Times New Roman" w:eastAsia="Times New Roman" w:hAnsi="Times New Roman"/>
          <w:sz w:val="18"/>
          <w:szCs w:val="18"/>
          <w:color w:val="auto"/>
        </w:rPr>
      </w:pPr>
    </w:p>
    <w:p>
      <w:pPr>
        <w:jc w:val="both"/>
        <w:ind w:left="1020" w:hanging="504"/>
        <w:spacing w:after="0" w:line="264" w:lineRule="auto"/>
        <w:tabs>
          <w:tab w:leader="none" w:pos="102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020" w:hanging="504"/>
        <w:spacing w:after="0" w:line="279" w:lineRule="auto"/>
        <w:tabs>
          <w:tab w:leader="none" w:pos="102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Times New Roman" w:cs="Times New Roman" w:eastAsia="Times New Roman" w:hAnsi="Times New Roman"/>
          <w:sz w:val="18"/>
          <w:szCs w:val="18"/>
          <w:color w:val="auto"/>
        </w:rPr>
      </w:pPr>
    </w:p>
    <w:p>
      <w:pPr>
        <w:jc w:val="both"/>
        <w:ind w:left="1020" w:hanging="504"/>
        <w:spacing w:after="0" w:line="264" w:lineRule="auto"/>
        <w:tabs>
          <w:tab w:leader="none" w:pos="102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9" w:lineRule="exact"/>
        <w:rPr>
          <w:rFonts w:ascii="Times New Roman" w:cs="Times New Roman" w:eastAsia="Times New Roman" w:hAnsi="Times New Roman"/>
          <w:sz w:val="18"/>
          <w:szCs w:val="18"/>
          <w:color w:val="auto"/>
        </w:rPr>
      </w:pPr>
    </w:p>
    <w:p>
      <w:pPr>
        <w:ind w:left="520" w:hanging="513"/>
        <w:spacing w:after="0" w:line="279" w:lineRule="auto"/>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Times New Roman" w:cs="Times New Roman" w:eastAsia="Times New Roman" w:hAnsi="Times New Roman"/>
          <w:sz w:val="18"/>
          <w:szCs w:val="18"/>
          <w:color w:val="auto"/>
        </w:rPr>
      </w:pPr>
    </w:p>
    <w:p>
      <w:pPr>
        <w:ind w:left="1020" w:hanging="504"/>
        <w:spacing w:after="0" w:line="279" w:lineRule="auto"/>
        <w:tabs>
          <w:tab w:leader="none" w:pos="102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Times New Roman" w:cs="Times New Roman" w:eastAsia="Times New Roman" w:hAnsi="Times New Roman"/>
          <w:sz w:val="18"/>
          <w:szCs w:val="18"/>
          <w:color w:val="auto"/>
        </w:rPr>
      </w:pPr>
    </w:p>
    <w:p>
      <w:pPr>
        <w:ind w:left="1020" w:hanging="504"/>
        <w:spacing w:after="0" w:line="279" w:lineRule="auto"/>
        <w:tabs>
          <w:tab w:leader="none" w:pos="102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25, 2025</w:t>
            </w:r>
          </w:p>
        </w:tc>
        <w:tc>
          <w:tcPr>
            <w:tcW w:w="6640" w:type="dxa"/>
            <w:vAlign w:val="bottom"/>
            <w:gridSpan w:val="2"/>
          </w:tcPr>
          <w:p>
            <w:pPr>
              <w:ind w:left="3000"/>
              <w:spacing w:after="0"/>
              <w:rPr>
                <w:sz w:val="20"/>
                <w:szCs w:val="20"/>
                <w:color w:val="auto"/>
              </w:rPr>
            </w:pPr>
            <w:r>
              <w:rPr>
                <w:rFonts w:ascii="Times New Roman" w:cs="Times New Roman" w:eastAsia="Times New Roman" w:hAnsi="Times New Roman"/>
                <w:sz w:val="18"/>
                <w:szCs w:val="18"/>
                <w:color w:val="auto"/>
              </w:rPr>
              <w:t>By: /s/ Thomas A. McGauley</w:t>
            </w:r>
          </w:p>
        </w:tc>
      </w:tr>
      <w:tr>
        <w:trPr>
          <w:trHeight w:val="188"/>
        </w:trPr>
        <w:tc>
          <w:tcPr>
            <w:tcW w:w="460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336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color w:val="auto"/>
              </w:rPr>
              <w:t>Thomas A. McGauley</w:t>
            </w:r>
          </w:p>
        </w:tc>
      </w:tr>
      <w:tr>
        <w:trPr>
          <w:trHeight w:val="215"/>
        </w:trPr>
        <w:tc>
          <w:tcPr>
            <w:tcW w:w="46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Interim Chief Financial Officer</w:t>
            </w:r>
          </w:p>
        </w:tc>
      </w:tr>
      <w:tr>
        <w:trPr>
          <w:trHeight w:val="235"/>
        </w:trPr>
        <w:tc>
          <w:tcPr>
            <w:tcW w:w="46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r>
        <w:trPr>
          <w:trHeight w:val="1617"/>
        </w:trPr>
        <w:tc>
          <w:tcPr>
            <w:tcW w:w="460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6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05"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ACT OF 2002</w:t>
      </w:r>
    </w:p>
    <w:p>
      <w:pPr>
        <w:spacing w:after="0" w:line="17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connection with the Annual Report of Tenax Therapeutics, Inc. (the “Company”) on Form 10-K for the year ended December 31, 2024 as filed with the Securities and Exchange Commission on the date hereof (the “Report”), I, Christopher T. Giordano, President and Chief Executive Officer (Principal Executive Officer) of the Company, certify pursuant to 18 U.S.C. Section 1350, as adopted pursuant to Section 906 of the Sarbanes-Oxley Act of 2002, that, to my knowledge:</w:t>
      </w:r>
    </w:p>
    <w:p>
      <w:pPr>
        <w:spacing w:after="0" w:line="140" w:lineRule="exact"/>
        <w:rPr>
          <w:sz w:val="20"/>
          <w:szCs w:val="20"/>
          <w:color w:val="auto"/>
        </w:rPr>
      </w:pPr>
    </w:p>
    <w:p>
      <w:pPr>
        <w:ind w:left="380" w:hanging="373"/>
        <w:spacing w:after="0"/>
        <w:tabs>
          <w:tab w:leader="none" w:pos="3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82" w:lineRule="exact"/>
        <w:rPr>
          <w:rFonts w:ascii="Times New Roman" w:cs="Times New Roman" w:eastAsia="Times New Roman" w:hAnsi="Times New Roman"/>
          <w:sz w:val="18"/>
          <w:szCs w:val="18"/>
          <w:color w:val="auto"/>
        </w:rPr>
      </w:pPr>
    </w:p>
    <w:p>
      <w:pPr>
        <w:ind w:left="380" w:hanging="373"/>
        <w:spacing w:after="0" w:line="279" w:lineRule="auto"/>
        <w:tabs>
          <w:tab w:leader="none" w:pos="3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covered by the Report.</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Date: March 25, 2025</w:t>
            </w:r>
          </w:p>
        </w:tc>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T. Giordano</w:t>
            </w:r>
          </w:p>
        </w:tc>
      </w:tr>
      <w:tr>
        <w:trPr>
          <w:trHeight w:val="188"/>
        </w:trPr>
        <w:tc>
          <w:tcPr>
            <w:tcW w:w="5720" w:type="dxa"/>
            <w:vAlign w:val="bottom"/>
          </w:tcPr>
          <w:p>
            <w:pPr>
              <w:spacing w:after="0"/>
              <w:rPr>
                <w:sz w:val="16"/>
                <w:szCs w:val="16"/>
                <w:color w:val="auto"/>
              </w:rPr>
            </w:pPr>
          </w:p>
        </w:tc>
        <w:tc>
          <w:tcPr>
            <w:tcW w:w="550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Christopher T. Giordano</w:t>
            </w:r>
          </w:p>
        </w:tc>
      </w:tr>
      <w:tr>
        <w:trPr>
          <w:trHeight w:val="215"/>
        </w:trPr>
        <w:tc>
          <w:tcPr>
            <w:tcW w:w="5720" w:type="dxa"/>
            <w:vAlign w:val="bottom"/>
          </w:tcPr>
          <w:p>
            <w:pPr>
              <w:spacing w:after="0"/>
              <w:rPr>
                <w:sz w:val="18"/>
                <w:szCs w:val="18"/>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235"/>
        </w:trPr>
        <w:tc>
          <w:tcPr>
            <w:tcW w:w="572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pacing w:after="0" w:line="1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Section 1350, as adopted pursuant to Section 906 of the Sarbanes-Oxley Act of 2002,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15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852170</wp:posOffset>
            </wp:positionV>
            <wp:extent cx="715835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05"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ACT OF 2002</w:t>
      </w:r>
    </w:p>
    <w:p>
      <w:pPr>
        <w:spacing w:after="0" w:line="17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connection with the Annual Report of Tenax Therapeutics, Inc. (the “Company”) on Form 10-K for the period year December 31, 2024 as filed with the Securities and Exchange Commission on the date hereof (the “Report”), I, Thomas A. McGauley, Interim Chief Financial Officer (Principal Financial and Accounting Officer) of the Company, certify pursuant to 18 U.S.C. Section 1350, as adopted pursuant to Section 906 of the Sarbanes-Oxley Act of 2002, that, to my knowledge:</w:t>
      </w:r>
    </w:p>
    <w:p>
      <w:pPr>
        <w:spacing w:after="0" w:line="140" w:lineRule="exact"/>
        <w:rPr>
          <w:sz w:val="20"/>
          <w:szCs w:val="20"/>
          <w:color w:val="auto"/>
        </w:rPr>
      </w:pPr>
    </w:p>
    <w:p>
      <w:pPr>
        <w:ind w:left="380" w:hanging="373"/>
        <w:spacing w:after="0"/>
        <w:tabs>
          <w:tab w:leader="none" w:pos="3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82" w:lineRule="exact"/>
        <w:rPr>
          <w:rFonts w:ascii="Times New Roman" w:cs="Times New Roman" w:eastAsia="Times New Roman" w:hAnsi="Times New Roman"/>
          <w:sz w:val="18"/>
          <w:szCs w:val="18"/>
          <w:color w:val="auto"/>
        </w:rPr>
      </w:pPr>
    </w:p>
    <w:p>
      <w:pPr>
        <w:ind w:left="380" w:hanging="373"/>
        <w:spacing w:after="0" w:line="279" w:lineRule="auto"/>
        <w:tabs>
          <w:tab w:leader="none" w:pos="3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covered by the Report.</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25, 2025</w:t>
            </w:r>
          </w:p>
        </w:tc>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A. McGauley</w:t>
            </w:r>
          </w:p>
        </w:tc>
      </w:tr>
      <w:tr>
        <w:trPr>
          <w:trHeight w:val="188"/>
        </w:trPr>
        <w:tc>
          <w:tcPr>
            <w:tcW w:w="5620" w:type="dxa"/>
            <w:vAlign w:val="bottom"/>
          </w:tcPr>
          <w:p>
            <w:pPr>
              <w:spacing w:after="0"/>
              <w:rPr>
                <w:sz w:val="16"/>
                <w:szCs w:val="16"/>
                <w:color w:val="auto"/>
              </w:rPr>
            </w:pPr>
          </w:p>
        </w:tc>
        <w:tc>
          <w:tcPr>
            <w:tcW w:w="560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Thomas A. McGauley</w:t>
            </w:r>
          </w:p>
        </w:tc>
      </w:tr>
      <w:tr>
        <w:trPr>
          <w:trHeight w:val="215"/>
        </w:trPr>
        <w:tc>
          <w:tcPr>
            <w:tcW w:w="56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Interim Chief Financial Officer</w:t>
            </w:r>
          </w:p>
        </w:tc>
      </w:tr>
      <w:tr>
        <w:trPr>
          <w:trHeight w:val="235"/>
        </w:trPr>
        <w:tc>
          <w:tcPr>
            <w:tcW w:w="56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bl>
    <w:p>
      <w:pPr>
        <w:spacing w:after="0" w:line="1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Section 1350, as adopted pursuant to Section 906 of the Sarbanes-Oxley Act of 2002,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15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852170</wp:posOffset>
            </wp:positionV>
            <wp:extent cx="715835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05" w:right="339" w:bottom="1440" w:gutter="0" w:footer="0" w:header="0"/>
        </w:sectPr>
      </w:pPr>
    </w:p>
    <w:bookmarkStart w:id="99" w:name="page100"/>
    <w:bookmarkEnd w:id="9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
      <w:numFmt w:val="bullet"/>
      <w:start w:val="1"/>
    </w:lvl>
  </w:abstractNum>
  <w:abstractNum w:abstractNumId="5">
    <w:nsid w:val="3804823E"/>
    <w:multiLevelType w:val="hybridMultilevel"/>
    <w:lvl w:ilvl="0">
      <w:lvlJc w:val="left"/>
      <w:lvlText w:val="•"/>
      <w:numFmt w:val="bullet"/>
      <w:start w:val="1"/>
    </w:lvl>
  </w:abstractNum>
  <w:abstractNum w:abstractNumId="6">
    <w:nsid w:val="77465F01"/>
    <w:multiLevelType w:val="hybridMultilevel"/>
    <w:lvl w:ilvl="0">
      <w:lvlJc w:val="left"/>
      <w:lvlText w:val="•"/>
      <w:numFmt w:val="bullet"/>
      <w:start w:val="1"/>
    </w:lvl>
  </w:abstractNum>
  <w:abstractNum w:abstractNumId="7">
    <w:nsid w:val="7724C67E"/>
    <w:multiLevelType w:val="hybridMultilevel"/>
    <w:lvl w:ilvl="0">
      <w:lvlJc w:val="left"/>
      <w:lvlText w:val="•"/>
      <w:numFmt w:val="bullet"/>
      <w:start w:val="1"/>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
      <w:numFmt w:val="bullet"/>
      <w:start w:val="1"/>
    </w:lvl>
  </w:abstractNum>
  <w:abstractNum w:abstractNumId="10">
    <w:nsid w:val="5E884ADC"/>
    <w:multiLevelType w:val="hybridMultilevel"/>
    <w:lvl w:ilvl="0">
      <w:lvlJc w:val="left"/>
      <w:lvlText w:val="•"/>
      <w:numFmt w:val="bullet"/>
      <w:start w:val="1"/>
    </w:lvl>
  </w:abstractNum>
  <w:abstractNum w:abstractNumId="11">
    <w:nsid w:val="51EAD36B"/>
    <w:multiLevelType w:val="hybridMultilevel"/>
    <w:lvl w:ilvl="0">
      <w:lvlJc w:val="left"/>
      <w:lvlText w:val="•"/>
      <w:numFmt w:val="bullet"/>
      <w:start w:val="1"/>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
      <w:numFmt w:val="bullet"/>
      <w:start w:val="1"/>
    </w:lvl>
  </w:abstractNum>
  <w:abstractNum w:abstractNumId="18">
    <w:nsid w:val="2A487CB0"/>
    <w:multiLevelType w:val="hybridMultilevel"/>
    <w:lvl w:ilvl="0">
      <w:lvlJc w:val="left"/>
      <w:lvlText w:val="•"/>
      <w:numFmt w:val="bullet"/>
      <w:start w:val="1"/>
    </w:lvl>
  </w:abstractNum>
  <w:abstractNum w:abstractNumId="19">
    <w:nsid w:val="1D4ED43B"/>
    <w:multiLevelType w:val="hybridMultilevel"/>
    <w:lvl w:ilvl="0">
      <w:lvlJc w:val="left"/>
      <w:lvlText w:val="•"/>
      <w:numFmt w:val="bullet"/>
      <w:start w:val="1"/>
    </w:lvl>
  </w:abstractNum>
  <w:abstractNum w:abstractNumId="20">
    <w:nsid w:val="725A06FB"/>
    <w:multiLevelType w:val="hybridMultilevel"/>
    <w:lvl w:ilvl="0">
      <w:lvlJc w:val="left"/>
      <w:lvlText w:val="•"/>
      <w:numFmt w:val="bullet"/>
      <w:start w:val="1"/>
    </w:lvl>
  </w:abstractNum>
  <w:abstractNum w:abstractNumId="21">
    <w:nsid w:val="2CD89A32"/>
    <w:multiLevelType w:val="hybridMultilevel"/>
    <w:lvl w:ilvl="0">
      <w:lvlJc w:val="left"/>
      <w:lvlText w:val="•"/>
      <w:numFmt w:val="bullet"/>
      <w:start w:val="1"/>
    </w:lvl>
  </w:abstractNum>
  <w:abstractNum w:abstractNumId="22">
    <w:nsid w:val="57E4CCAF"/>
    <w:multiLevelType w:val="hybridMultilevel"/>
    <w:lvl w:ilvl="0">
      <w:lvlJc w:val="left"/>
      <w:lvlText w:val="•"/>
      <w:numFmt w:val="bullet"/>
      <w:start w:val="1"/>
    </w:lvl>
  </w:abstractNum>
  <w:abstractNum w:abstractNumId="23">
    <w:nsid w:val="7A6D8D3C"/>
    <w:multiLevelType w:val="hybridMultilevel"/>
    <w:lvl w:ilvl="0">
      <w:lvlJc w:val="left"/>
      <w:lvlText w:val="•"/>
      <w:numFmt w:val="bullet"/>
      <w:start w:val="1"/>
    </w:lvl>
  </w:abstractNum>
  <w:abstractNum w:abstractNumId="24">
    <w:nsid w:val="4B588F54"/>
    <w:multiLevelType w:val="hybridMultilevel"/>
    <w:lvl w:ilvl="0">
      <w:lvlJc w:val="left"/>
      <w:lvlText w:val="•"/>
      <w:numFmt w:val="bullet"/>
      <w:start w:val="1"/>
    </w:lvl>
  </w:abstractNum>
  <w:abstractNum w:abstractNumId="25">
    <w:nsid w:val="542289EC"/>
    <w:multiLevelType w:val="hybridMultilevel"/>
    <w:lvl w:ilvl="0">
      <w:lvlJc w:val="left"/>
      <w:lvlText w:val="•"/>
      <w:numFmt w:val="bullet"/>
      <w:start w:val="1"/>
    </w:lvl>
  </w:abstractNum>
  <w:abstractNum w:abstractNumId="26">
    <w:nsid w:val="6DE91B18"/>
    <w:multiLevelType w:val="hybridMultilevel"/>
    <w:lvl w:ilvl="0">
      <w:lvlJc w:val="left"/>
      <w:lvlText w:val="•"/>
      <w:numFmt w:val="bullet"/>
      <w:start w:val="1"/>
    </w:lvl>
  </w:abstractNum>
  <w:abstractNum w:abstractNumId="27">
    <w:nsid w:val="38437FDB"/>
    <w:multiLevelType w:val="hybridMultilevel"/>
    <w:lvl w:ilvl="0">
      <w:lvlJc w:val="left"/>
      <w:lvlText w:val="•"/>
      <w:numFmt w:val="bullet"/>
      <w:start w:val="1"/>
    </w:lvl>
  </w:abstractNum>
  <w:abstractNum w:abstractNumId="28">
    <w:nsid w:val="7644A45C"/>
    <w:multiLevelType w:val="hybridMultilevel"/>
    <w:lvl w:ilvl="0">
      <w:lvlJc w:val="left"/>
      <w:lvlText w:val="•"/>
      <w:numFmt w:val="bullet"/>
      <w:start w:val="1"/>
    </w:lvl>
  </w:abstractNum>
  <w:abstractNum w:abstractNumId="29">
    <w:nsid w:val="32FFF902"/>
    <w:multiLevelType w:val="hybridMultilevel"/>
    <w:lvl w:ilvl="0">
      <w:lvlJc w:val="left"/>
      <w:lvlText w:val="•"/>
      <w:numFmt w:val="bullet"/>
      <w:start w:val="1"/>
    </w:lvl>
  </w:abstractNum>
  <w:abstractNum w:abstractNumId="30">
    <w:nsid w:val="684A481A"/>
    <w:multiLevelType w:val="hybridMultilevel"/>
    <w:lvl w:ilvl="0">
      <w:lvlJc w:val="left"/>
      <w:lvlText w:val="•"/>
      <w:numFmt w:val="bullet"/>
      <w:start w:val="1"/>
    </w:lvl>
  </w:abstractNum>
  <w:abstractNum w:abstractNumId="31">
    <w:nsid w:val="579478FE"/>
    <w:multiLevelType w:val="hybridMultilevel"/>
    <w:lvl w:ilvl="0">
      <w:lvlJc w:val="left"/>
      <w:lvlText w:val="•"/>
      <w:numFmt w:val="bullet"/>
      <w:start w:val="1"/>
    </w:lvl>
  </w:abstractNum>
  <w:abstractNum w:abstractNumId="32">
    <w:nsid w:val="749ABB43"/>
    <w:multiLevelType w:val="hybridMultilevel"/>
    <w:lvl w:ilvl="0">
      <w:lvlJc w:val="left"/>
      <w:lvlText w:val="•"/>
      <w:numFmt w:val="bullet"/>
      <w:start w:val="1"/>
    </w:lvl>
  </w:abstractNum>
  <w:abstractNum w:abstractNumId="33">
    <w:nsid w:val="3DC240FB"/>
    <w:multiLevelType w:val="hybridMultilevel"/>
    <w:lvl w:ilvl="0">
      <w:lvlJc w:val="left"/>
      <w:lvlText w:val="•"/>
      <w:numFmt w:val="bullet"/>
      <w:start w:val="1"/>
    </w:lvl>
  </w:abstractNum>
  <w:abstractNum w:abstractNumId="34">
    <w:nsid w:val="1BA026FA"/>
    <w:multiLevelType w:val="hybridMultilevel"/>
    <w:lvl w:ilvl="0">
      <w:lvlJc w:val="left"/>
      <w:lvlText w:val="•"/>
      <w:numFmt w:val="bullet"/>
      <w:start w:val="1"/>
    </w:lvl>
  </w:abstractNum>
  <w:abstractNum w:abstractNumId="35">
    <w:nsid w:val="79A1DEAA"/>
    <w:multiLevelType w:val="hybridMultilevel"/>
    <w:lvl w:ilvl="0">
      <w:lvlJc w:val="left"/>
      <w:lvlText w:val="•"/>
      <w:numFmt w:val="bullet"/>
      <w:start w:val="1"/>
    </w:lvl>
  </w:abstractNum>
  <w:abstractNum w:abstractNumId="36">
    <w:nsid w:val="75C6C33A"/>
    <w:multiLevelType w:val="hybridMultilevel"/>
    <w:lvl w:ilvl="0">
      <w:lvlJc w:val="left"/>
      <w:lvlText w:val="%1."/>
      <w:numFmt w:val="lowerRoman"/>
      <w:start w:val="1"/>
    </w:lvl>
  </w:abstractNum>
  <w:abstractNum w:abstractNumId="37">
    <w:nsid w:val="12E685FB"/>
    <w:multiLevelType w:val="hybridMultilevel"/>
    <w:lvl w:ilvl="0">
      <w:lvlJc w:val="left"/>
      <w:lvlText w:val="*"/>
      <w:numFmt w:val="bullet"/>
      <w:start w:val="1"/>
    </w:lvl>
  </w:abstractNum>
  <w:abstractNum w:abstractNumId="38">
    <w:nsid w:val="70C6A529"/>
    <w:multiLevelType w:val="hybridMultilevel"/>
    <w:lvl w:ilvl="0">
      <w:lvlJc w:val="left"/>
      <w:lvlText w:val="•"/>
      <w:numFmt w:val="bullet"/>
      <w:start w:val="1"/>
    </w:lvl>
  </w:abstractNum>
  <w:abstractNum w:abstractNumId="39">
    <w:nsid w:val="520EEDD1"/>
    <w:multiLevelType w:val="hybridMultilevel"/>
    <w:lvl w:ilvl="0">
      <w:lvlJc w:val="left"/>
      <w:lvlText w:val="•"/>
      <w:numFmt w:val="bullet"/>
      <w:start w:val="1"/>
    </w:lvl>
  </w:abstractNum>
  <w:abstractNum w:abstractNumId="40">
    <w:nsid w:val="374A3FE6"/>
    <w:multiLevelType w:val="hybridMultilevel"/>
    <w:lvl w:ilvl="0">
      <w:lvlJc w:val="left"/>
      <w:lvlText w:val="•"/>
      <w:numFmt w:val="bullet"/>
      <w:start w:val="1"/>
    </w:lvl>
  </w:abstractNum>
  <w:abstractNum w:abstractNumId="41">
    <w:nsid w:val="4F4EF005"/>
    <w:multiLevelType w:val="hybridMultilevel"/>
    <w:lvl w:ilvl="0">
      <w:lvlJc w:val="left"/>
      <w:lvlText w:val="-"/>
      <w:numFmt w:val="bullet"/>
      <w:start w:val="1"/>
    </w:lvl>
  </w:abstractNum>
  <w:abstractNum w:abstractNumId="42">
    <w:nsid w:val="23F9C13C"/>
    <w:multiLevelType w:val="hybridMultilevel"/>
    <w:lvl w:ilvl="0">
      <w:lvlJc w:val="left"/>
      <w:lvlText w:val="(%1)"/>
      <w:numFmt w:val="lowerLetter"/>
      <w:start w:val="1"/>
    </w:lvl>
  </w:abstractNum>
  <w:abstractNum w:abstractNumId="43">
    <w:nsid w:val="649BB77C"/>
    <w:multiLevelType w:val="hybridMultilevel"/>
    <w:lvl w:ilvl="0">
      <w:lvlJc w:val="left"/>
      <w:lvlText w:val="%1."/>
      <w:numFmt w:val="decimal"/>
      <w:start w:val="1"/>
    </w:lvl>
  </w:abstractNum>
  <w:abstractNum w:abstractNumId="44">
    <w:nsid w:val="275AC794"/>
    <w:multiLevelType w:val="hybridMultilevel"/>
    <w:lvl w:ilvl="0">
      <w:lvlJc w:val="left"/>
      <w:lvlText w:val="%1."/>
      <w:numFmt w:val="decimal"/>
      <w:start w:val="3"/>
    </w:lvl>
  </w:abstractNum>
  <w:abstractNum w:abstractNumId="45">
    <w:nsid w:val="39386575"/>
    <w:multiLevelType w:val="hybridMultilevel"/>
    <w:lvl w:ilvl="0">
      <w:lvlJc w:val="left"/>
      <w:lvlText w:val="%1."/>
      <w:numFmt w:val="decimal"/>
      <w:start w:val="1"/>
    </w:lvl>
    <w:lvl w:ilvl="1">
      <w:lvlJc w:val="left"/>
      <w:lvlText w:val="%2."/>
      <w:numFmt w:val="lowerLetter"/>
      <w:start w:val="1"/>
    </w:lvl>
  </w:abstractNum>
  <w:abstractNum w:abstractNumId="46">
    <w:nsid w:val="1CF10FD8"/>
    <w:multiLevelType w:val="hybridMultilevel"/>
    <w:lvl w:ilvl="0">
      <w:lvlJc w:val="left"/>
      <w:lvlText w:val="%1."/>
      <w:numFmt w:val="decimal"/>
      <w:start w:val="5"/>
    </w:lvl>
    <w:lvl w:ilvl="1">
      <w:lvlJc w:val="left"/>
      <w:lvlText w:val="%2."/>
      <w:numFmt w:val="lowerLetter"/>
      <w:start w:val="1"/>
    </w:lvl>
  </w:abstractNum>
  <w:abstractNum w:abstractNumId="47">
    <w:nsid w:val="180115BE"/>
    <w:multiLevelType w:val="hybridMultilevel"/>
    <w:lvl w:ilvl="0">
      <w:lvlJc w:val="left"/>
      <w:lvlText w:val="%1"/>
      <w:numFmt w:val="decimal"/>
      <w:start w:val="1"/>
    </w:lvl>
    <w:lvl w:ilvl="1">
      <w:lvlJc w:val="left"/>
      <w:lvlText w:val="%2."/>
      <w:numFmt w:val="lowerLetter"/>
      <w:start w:val="5"/>
    </w:lvl>
  </w:abstractNum>
  <w:abstractNum w:abstractNumId="48">
    <w:nsid w:val="235BA861"/>
    <w:multiLevelType w:val="hybridMultilevel"/>
    <w:lvl w:ilvl="0">
      <w:lvlJc w:val="left"/>
      <w:lvlText w:val="%1."/>
      <w:numFmt w:val="decimal"/>
      <w:start w:val="7"/>
    </w:lvl>
    <w:lvl w:ilvl="1">
      <w:lvlJc w:val="left"/>
      <w:lvlText w:val="%2."/>
      <w:numFmt w:val="lowerLetter"/>
      <w:start w:val="1"/>
    </w:lvl>
  </w:abstractNum>
  <w:abstractNum w:abstractNumId="49">
    <w:nsid w:val="47398C89"/>
    <w:multiLevelType w:val="hybridMultilevel"/>
    <w:lvl w:ilvl="0">
      <w:lvlJc w:val="left"/>
      <w:lvlText w:val="%1."/>
      <w:numFmt w:val="decimal"/>
      <w:start w:val="10"/>
    </w:lvl>
  </w:abstractNum>
  <w:abstractNum w:abstractNumId="50">
    <w:nsid w:val="354FE9F9"/>
    <w:multiLevelType w:val="hybridMultilevel"/>
    <w:lvl w:ilvl="0">
      <w:lvlJc w:val="left"/>
      <w:lvlText w:val="%1."/>
      <w:numFmt w:val="decimal"/>
      <w:start w:val="14"/>
    </w:lvl>
    <w:lvl w:ilvl="1">
      <w:lvlJc w:val="left"/>
      <w:lvlText w:val="%2."/>
      <w:numFmt w:val="lowerLetter"/>
      <w:start w:val="1"/>
    </w:lvl>
  </w:abstractNum>
  <w:abstractNum w:abstractNumId="51">
    <w:nsid w:val="15B5AF5C"/>
    <w:multiLevelType w:val="hybridMultilevel"/>
    <w:lvl w:ilvl="0">
      <w:lvlJc w:val="left"/>
      <w:lvlText w:val="%1."/>
      <w:numFmt w:val="decimal"/>
      <w:start w:val="1"/>
    </w:lvl>
  </w:abstractNum>
  <w:abstractNum w:abstractNumId="52">
    <w:nsid w:val="741226BB"/>
    <w:multiLevelType w:val="hybridMultilevel"/>
    <w:lvl w:ilvl="0">
      <w:lvlJc w:val="left"/>
      <w:lvlText w:val="%1."/>
      <w:numFmt w:val="decimal"/>
      <w:start w:val="2"/>
    </w:lvl>
  </w:abstractNum>
  <w:abstractNum w:abstractNumId="53">
    <w:nsid w:val="D34B6A8"/>
    <w:multiLevelType w:val="hybridMultilevel"/>
    <w:lvl w:ilvl="0">
      <w:lvlJc w:val="left"/>
      <w:lvlText w:val="%1."/>
      <w:numFmt w:val="decimal"/>
      <w:start w:val="6"/>
    </w:lvl>
  </w:abstractNum>
  <w:abstractNum w:abstractNumId="54">
    <w:nsid w:val="10233C99"/>
    <w:multiLevelType w:val="hybridMultilevel"/>
    <w:lvl w:ilvl="0">
      <w:lvlJc w:val="left"/>
      <w:lvlText w:val="•"/>
      <w:numFmt w:val="bullet"/>
      <w:start w:val="1"/>
    </w:lvl>
  </w:abstractNum>
  <w:abstractNum w:abstractNumId="55">
    <w:nsid w:val="3F6AB60F"/>
    <w:multiLevelType w:val="hybridMultilevel"/>
    <w:lvl w:ilvl="0">
      <w:lvlJc w:val="left"/>
      <w:lvlText w:val="•"/>
      <w:numFmt w:val="bullet"/>
      <w:start w:val="1"/>
    </w:lvl>
  </w:abstractNum>
  <w:abstractNum w:abstractNumId="56">
    <w:nsid w:val="61574095"/>
    <w:multiLevelType w:val="hybridMultilevel"/>
    <w:lvl w:ilvl="0">
      <w:lvlJc w:val="left"/>
      <w:lvlText w:val="%1."/>
      <w:numFmt w:val="decimal"/>
      <w:start w:val="3"/>
    </w:lvl>
  </w:abstractNum>
  <w:abstractNum w:abstractNumId="57">
    <w:nsid w:val="7E0C57B1"/>
    <w:multiLevelType w:val="hybridMultilevel"/>
    <w:lvl w:ilvl="0">
      <w:lvlJc w:val="left"/>
      <w:lvlText w:val="%1."/>
      <w:numFmt w:val="decimal"/>
      <w:start w:val="1"/>
    </w:lvl>
  </w:abstractNum>
  <w:abstractNum w:abstractNumId="58">
    <w:nsid w:val="77AE35EB"/>
    <w:multiLevelType w:val="hybridMultilevel"/>
    <w:lvl w:ilvl="0">
      <w:lvlJc w:val="left"/>
      <w:lvlText w:val="%1."/>
      <w:numFmt w:val="decimal"/>
      <w:start w:val="2"/>
    </w:lvl>
  </w:abstractNum>
  <w:abstractNum w:abstractNumId="59">
    <w:nsid w:val="579BE4F1"/>
    <w:multiLevelType w:val="hybridMultilevel"/>
    <w:lvl w:ilvl="0">
      <w:lvlJc w:val="left"/>
      <w:lvlText w:val="(%1)"/>
      <w:numFmt w:val="lowerLetter"/>
      <w:start w:val="1"/>
    </w:lvl>
    <w:lvl w:ilvl="1">
      <w:lvlJc w:val="left"/>
      <w:lvlText w:val="%2."/>
      <w:numFmt w:val="lowerLetter"/>
      <w:start w:val="1"/>
    </w:lvl>
  </w:abstractNum>
  <w:abstractNum w:abstractNumId="60">
    <w:nsid w:val="310C50B3"/>
    <w:multiLevelType w:val="hybridMultilevel"/>
    <w:lvl w:ilvl="0">
      <w:lvlJc w:val="left"/>
      <w:lvlText w:val="%1."/>
      <w:numFmt w:val="decimal"/>
      <w:start w:val="3"/>
    </w:lvl>
  </w:abstractNum>
  <w:abstractNum w:abstractNumId="61">
    <w:nsid w:val="5FF87E05"/>
    <w:multiLevelType w:val="hybridMultilevel"/>
    <w:lvl w:ilvl="0">
      <w:lvlJc w:val="left"/>
      <w:lvlText w:val="%1."/>
      <w:numFmt w:val="decimal"/>
      <w:start w:val="1"/>
    </w:lvl>
    <w:lvl w:ilvl="1">
      <w:lvlJc w:val="left"/>
      <w:lvlText w:val="•"/>
      <w:numFmt w:val="bullet"/>
      <w:start w:val="1"/>
    </w:lvl>
  </w:abstractNum>
  <w:abstractNum w:abstractNumId="62">
    <w:nsid w:val="2F305DEF"/>
    <w:multiLevelType w:val="hybridMultilevel"/>
    <w:lvl w:ilvl="0">
      <w:lvlJc w:val="left"/>
      <w:lvlText w:val="%1."/>
      <w:numFmt w:val="decimal"/>
      <w:start w:val="1"/>
    </w:lvl>
  </w:abstractNum>
  <w:abstractNum w:abstractNumId="63">
    <w:nsid w:val="25A70BF7"/>
    <w:multiLevelType w:val="hybridMultilevel"/>
    <w:lvl w:ilvl="0">
      <w:lvlJc w:val="left"/>
      <w:lvlText w:val="%1."/>
      <w:numFmt w:val="decimal"/>
      <w:start w:val="1"/>
    </w:lvl>
    <w:lvl w:ilvl="1">
      <w:lvlJc w:val="left"/>
      <w:lvlText w:val="%2)"/>
      <w:numFmt w:val="lowerLetter"/>
      <w:start w:val="1"/>
    </w:lvl>
  </w:abstractNum>
  <w:abstractNum w:abstractNumId="64">
    <w:nsid w:val="1DBABF00"/>
    <w:multiLevelType w:val="hybridMultilevel"/>
    <w:lvl w:ilvl="0">
      <w:lvlJc w:val="left"/>
      <w:lvlText w:val="%1."/>
      <w:numFmt w:val="decimal"/>
      <w:start w:val="1"/>
    </w:lvl>
    <w:lvl w:ilvl="1">
      <w:lvlJc w:val="left"/>
      <w:lvlText w:val="%2)"/>
      <w:numFmt w:val="lowerLetter"/>
      <w:start w:val="1"/>
    </w:lvl>
  </w:abstractNum>
  <w:abstractNum w:abstractNumId="65">
    <w:nsid w:val="4AD084E9"/>
    <w:multiLevelType w:val="hybridMultilevel"/>
    <w:lvl w:ilvl="0">
      <w:lvlJc w:val="left"/>
      <w:lvlText w:val="(%1)"/>
      <w:numFmt w:val="decimal"/>
      <w:start w:val="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99" Type="http://schemas.openxmlformats.org/officeDocument/2006/relationships/image" Target="media/image64.png"/><Relationship Id="rId100" Type="http://schemas.openxmlformats.org/officeDocument/2006/relationships/image" Target="media/image65.png"/><Relationship Id="rId111" Type="http://schemas.openxmlformats.org/officeDocument/2006/relationships/image" Target="media/image66.png"/><Relationship Id="rId112" Type="http://schemas.openxmlformats.org/officeDocument/2006/relationships/image" Target="media/image67.png"/><Relationship Id="rId113" Type="http://schemas.openxmlformats.org/officeDocument/2006/relationships/image" Target="media/image68.png"/><Relationship Id="rId114" Type="http://schemas.openxmlformats.org/officeDocument/2006/relationships/image" Target="media/image69.png"/><Relationship Id="rId115" Type="http://schemas.openxmlformats.org/officeDocument/2006/relationships/image" Target="media/image70.png"/><Relationship Id="rId116" Type="http://schemas.openxmlformats.org/officeDocument/2006/relationships/image" Target="media/image71.png"/><Relationship Id="rId122" Type="http://schemas.openxmlformats.org/officeDocument/2006/relationships/image" Target="media/image72.png"/><Relationship Id="rId123" Type="http://schemas.openxmlformats.org/officeDocument/2006/relationships/image" Target="media/image73.png"/><Relationship Id="rId127" Type="http://schemas.openxmlformats.org/officeDocument/2006/relationships/image" Target="media/image74.png"/><Relationship Id="rId128" Type="http://schemas.openxmlformats.org/officeDocument/2006/relationships/image" Target="media/image75.png"/><Relationship Id="rId129" Type="http://schemas.openxmlformats.org/officeDocument/2006/relationships/image" Target="media/image76.png"/><Relationship Id="rId130" Type="http://schemas.openxmlformats.org/officeDocument/2006/relationships/image" Target="media/image77.png"/><Relationship Id="rId141" Type="http://schemas.openxmlformats.org/officeDocument/2006/relationships/image" Target="media/image78.png"/><Relationship Id="rId142" Type="http://schemas.openxmlformats.org/officeDocument/2006/relationships/image" Target="media/image79.png"/><Relationship Id="rId157" Type="http://schemas.openxmlformats.org/officeDocument/2006/relationships/image" Target="media/image80.png"/><Relationship Id="rId158" Type="http://schemas.openxmlformats.org/officeDocument/2006/relationships/image" Target="media/image81.png"/><Relationship Id="rId159" Type="http://schemas.openxmlformats.org/officeDocument/2006/relationships/image" Target="media/image82.png"/><Relationship Id="rId160" Type="http://schemas.openxmlformats.org/officeDocument/2006/relationships/image" Target="media/image83.png"/><Relationship Id="rId161" Type="http://schemas.openxmlformats.org/officeDocument/2006/relationships/image" Target="media/image84.png"/><Relationship Id="rId162" Type="http://schemas.openxmlformats.org/officeDocument/2006/relationships/image" Target="media/image85.png"/><Relationship Id="rId163" Type="http://schemas.openxmlformats.org/officeDocument/2006/relationships/image" Target="media/image86.png"/><Relationship Id="rId164" Type="http://schemas.openxmlformats.org/officeDocument/2006/relationships/image" Target="media/image87.png"/><Relationship Id="rId165" Type="http://schemas.openxmlformats.org/officeDocument/2006/relationships/image" Target="media/image88.png"/><Relationship Id="rId166" Type="http://schemas.openxmlformats.org/officeDocument/2006/relationships/image" Target="media/image89.png"/><Relationship Id="rId167" Type="http://schemas.openxmlformats.org/officeDocument/2006/relationships/image" Target="media/image90.png"/><Relationship Id="rId168" Type="http://schemas.openxmlformats.org/officeDocument/2006/relationships/image" Target="media/image91.png"/><Relationship Id="rId169" Type="http://schemas.openxmlformats.org/officeDocument/2006/relationships/image" Target="media/image92.png"/><Relationship Id="rId170" Type="http://schemas.openxmlformats.org/officeDocument/2006/relationships/image" Target="media/image93.png"/><Relationship Id="rId171" Type="http://schemas.openxmlformats.org/officeDocument/2006/relationships/image" Target="media/image94.png"/><Relationship Id="rId175" Type="http://schemas.openxmlformats.org/officeDocument/2006/relationships/image" Target="media/image95.png"/><Relationship Id="rId176" Type="http://schemas.openxmlformats.org/officeDocument/2006/relationships/image" Target="media/image96.png"/><Relationship Id="rId177" Type="http://schemas.openxmlformats.org/officeDocument/2006/relationships/image" Target="media/image97.png"/><Relationship Id="rId178" Type="http://schemas.openxmlformats.org/officeDocument/2006/relationships/image" Target="media/image98.png"/><Relationship Id="rId179" Type="http://schemas.openxmlformats.org/officeDocument/2006/relationships/image" Target="media/image99.png"/><Relationship Id="rId180" Type="http://schemas.openxmlformats.org/officeDocument/2006/relationships/image" Target="media/image100.png"/><Relationship Id="rId181" Type="http://schemas.openxmlformats.org/officeDocument/2006/relationships/image" Target="media/image101.png"/><Relationship Id="rId182" Type="http://schemas.openxmlformats.org/officeDocument/2006/relationships/image" Target="media/image102.png"/><Relationship Id="rId183" Type="http://schemas.openxmlformats.org/officeDocument/2006/relationships/image" Target="media/image103.png"/><Relationship Id="rId185" Type="http://schemas.openxmlformats.org/officeDocument/2006/relationships/image" Target="media/image104.png"/><Relationship Id="rId186" Type="http://schemas.openxmlformats.org/officeDocument/2006/relationships/image" Target="media/image105.png"/><Relationship Id="rId187" Type="http://schemas.openxmlformats.org/officeDocument/2006/relationships/image" Target="media/image106.png"/><Relationship Id="rId188" Type="http://schemas.openxmlformats.org/officeDocument/2006/relationships/image" Target="media/image107.png"/><Relationship Id="rId189" Type="http://schemas.openxmlformats.org/officeDocument/2006/relationships/image" Target="media/image108.png"/><Relationship Id="rId190" Type="http://schemas.openxmlformats.org/officeDocument/2006/relationships/image" Target="media/image109.png"/><Relationship Id="rId191" Type="http://schemas.openxmlformats.org/officeDocument/2006/relationships/image" Target="media/image110.png"/><Relationship Id="rId192" Type="http://schemas.openxmlformats.org/officeDocument/2006/relationships/image" Target="media/image111.png"/><Relationship Id="rId193" Type="http://schemas.openxmlformats.org/officeDocument/2006/relationships/image" Target="media/image112.png"/><Relationship Id="rId194" Type="http://schemas.openxmlformats.org/officeDocument/2006/relationships/image" Target="media/image113.png"/><Relationship Id="rId195" Type="http://schemas.openxmlformats.org/officeDocument/2006/relationships/image" Target="media/image114.png"/><Relationship Id="rId196" Type="http://schemas.openxmlformats.org/officeDocument/2006/relationships/image" Target="media/image115.png"/><Relationship Id="rId197" Type="http://schemas.openxmlformats.org/officeDocument/2006/relationships/image" Target="media/image116.png"/><Relationship Id="rId198" Type="http://schemas.openxmlformats.org/officeDocument/2006/relationships/image" Target="media/image117.png"/><Relationship Id="rId199" Type="http://schemas.openxmlformats.org/officeDocument/2006/relationships/image" Target="media/image118.png"/><Relationship Id="rId200" Type="http://schemas.openxmlformats.org/officeDocument/2006/relationships/image" Target="media/image119.png"/><Relationship Id="rId201" Type="http://schemas.openxmlformats.org/officeDocument/2006/relationships/image" Target="media/image120.png"/><Relationship Id="rId202" Type="http://schemas.openxmlformats.org/officeDocument/2006/relationships/image" Target="media/image121.png"/><Relationship Id="rId203" Type="http://schemas.openxmlformats.org/officeDocument/2006/relationships/image" Target="media/image122.png"/><Relationship Id="rId204" Type="http://schemas.openxmlformats.org/officeDocument/2006/relationships/image" Target="media/image123.png"/><Relationship Id="rId205" Type="http://schemas.openxmlformats.org/officeDocument/2006/relationships/image" Target="media/image124.png"/><Relationship Id="rId206" Type="http://schemas.openxmlformats.org/officeDocument/2006/relationships/image" Target="media/image125.png"/><Relationship Id="rId207" Type="http://schemas.openxmlformats.org/officeDocument/2006/relationships/image" Target="media/image126.png"/><Relationship Id="rId208" Type="http://schemas.openxmlformats.org/officeDocument/2006/relationships/image" Target="media/image127.png"/><Relationship Id="rId209" Type="http://schemas.openxmlformats.org/officeDocument/2006/relationships/image" Target="media/image128.png"/><Relationship Id="rId210" Type="http://schemas.openxmlformats.org/officeDocument/2006/relationships/image" Target="media/image129.png"/><Relationship Id="rId211" Type="http://schemas.openxmlformats.org/officeDocument/2006/relationships/image" Target="media/image130.png"/><Relationship Id="rId212" Type="http://schemas.openxmlformats.org/officeDocument/2006/relationships/image" Target="media/image131.png"/><Relationship Id="rId213" Type="http://schemas.openxmlformats.org/officeDocument/2006/relationships/image" Target="media/image132.png"/><Relationship Id="rId214" Type="http://schemas.openxmlformats.org/officeDocument/2006/relationships/image" Target="media/image133.png"/><Relationship Id="rId215" Type="http://schemas.openxmlformats.org/officeDocument/2006/relationships/image" Target="media/image134.png"/><Relationship Id="rId216" Type="http://schemas.openxmlformats.org/officeDocument/2006/relationships/image" Target="media/image135.png"/><Relationship Id="rId217" Type="http://schemas.openxmlformats.org/officeDocument/2006/relationships/image" Target="media/image136.png"/><Relationship Id="rId218" Type="http://schemas.openxmlformats.org/officeDocument/2006/relationships/image" Target="media/image137.png"/><Relationship Id="rId219" Type="http://schemas.openxmlformats.org/officeDocument/2006/relationships/image" Target="media/image138.png"/><Relationship Id="rId220" Type="http://schemas.openxmlformats.org/officeDocument/2006/relationships/image" Target="media/image139.png"/><Relationship Id="rId221" Type="http://schemas.openxmlformats.org/officeDocument/2006/relationships/image" Target="media/image140.png"/><Relationship Id="rId222" Type="http://schemas.openxmlformats.org/officeDocument/2006/relationships/image" Target="media/image141.png"/><Relationship Id="rId223" Type="http://schemas.openxmlformats.org/officeDocument/2006/relationships/image" Target="media/image142.png"/><Relationship Id="rId224" Type="http://schemas.openxmlformats.org/officeDocument/2006/relationships/image" Target="media/image143.png"/><Relationship Id="rId225" Type="http://schemas.openxmlformats.org/officeDocument/2006/relationships/image" Target="media/image144.png"/><Relationship Id="rId226" Type="http://schemas.openxmlformats.org/officeDocument/2006/relationships/image" Target="media/image145.png"/><Relationship Id="rId227" Type="http://schemas.openxmlformats.org/officeDocument/2006/relationships/image" Target="media/image146.png"/><Relationship Id="rId228" Type="http://schemas.openxmlformats.org/officeDocument/2006/relationships/image" Target="media/image147.png"/><Relationship Id="rId229" Type="http://schemas.openxmlformats.org/officeDocument/2006/relationships/image" Target="media/image148.png"/><Relationship Id="rId230" Type="http://schemas.openxmlformats.org/officeDocument/2006/relationships/image" Target="media/image149.png"/><Relationship Id="rId231" Type="http://schemas.openxmlformats.org/officeDocument/2006/relationships/image" Target="media/image150.png"/><Relationship Id="rId232" Type="http://schemas.openxmlformats.org/officeDocument/2006/relationships/image" Target="media/image151.png"/><Relationship Id="rId233" Type="http://schemas.openxmlformats.org/officeDocument/2006/relationships/image" Target="media/image152.png"/><Relationship Id="rId234" Type="http://schemas.openxmlformats.org/officeDocument/2006/relationships/image" Target="media/image153.png"/><Relationship Id="rId235" Type="http://schemas.openxmlformats.org/officeDocument/2006/relationships/image" Target="media/image154.png"/><Relationship Id="rId236" Type="http://schemas.openxmlformats.org/officeDocument/2006/relationships/image" Target="media/image155.png"/><Relationship Id="rId237" Type="http://schemas.openxmlformats.org/officeDocument/2006/relationships/image" Target="media/image156.png"/><Relationship Id="rId238" Type="http://schemas.openxmlformats.org/officeDocument/2006/relationships/image" Target="media/image157.png"/><Relationship Id="rId239" Type="http://schemas.openxmlformats.org/officeDocument/2006/relationships/image" Target="media/image158.png"/><Relationship Id="rId240" Type="http://schemas.openxmlformats.org/officeDocument/2006/relationships/image" Target="media/image159.png"/><Relationship Id="rId241" Type="http://schemas.openxmlformats.org/officeDocument/2006/relationships/image" Target="media/image160.png"/><Relationship Id="rId242" Type="http://schemas.openxmlformats.org/officeDocument/2006/relationships/image" Target="media/image161.png"/><Relationship Id="rId243" Type="http://schemas.openxmlformats.org/officeDocument/2006/relationships/image" Target="media/image162.png"/><Relationship Id="rId244" Type="http://schemas.openxmlformats.org/officeDocument/2006/relationships/image" Target="media/image163.png"/><Relationship Id="rId245" Type="http://schemas.openxmlformats.org/officeDocument/2006/relationships/image" Target="media/image164.png"/><Relationship Id="rId246" Type="http://schemas.openxmlformats.org/officeDocument/2006/relationships/image" Target="media/image165.png"/><Relationship Id="rId247" Type="http://schemas.openxmlformats.org/officeDocument/2006/relationships/image" Target="media/image166.png"/><Relationship Id="rId248" Type="http://schemas.openxmlformats.org/officeDocument/2006/relationships/image" Target="media/image167.png"/><Relationship Id="rId249" Type="http://schemas.openxmlformats.org/officeDocument/2006/relationships/image" Target="media/image168.png"/><Relationship Id="rId250" Type="http://schemas.openxmlformats.org/officeDocument/2006/relationships/image" Target="media/image169.png"/><Relationship Id="rId251" Type="http://schemas.openxmlformats.org/officeDocument/2006/relationships/image" Target="media/image170.png"/><Relationship Id="rId252" Type="http://schemas.openxmlformats.org/officeDocument/2006/relationships/image" Target="media/image171.png"/><Relationship Id="rId253" Type="http://schemas.openxmlformats.org/officeDocument/2006/relationships/image" Target="media/image172.png"/><Relationship Id="rId254" Type="http://schemas.openxmlformats.org/officeDocument/2006/relationships/image" Target="media/image173.png"/><Relationship Id="rId255" Type="http://schemas.openxmlformats.org/officeDocument/2006/relationships/image" Target="media/image174.png"/><Relationship Id="rId256" Type="http://schemas.openxmlformats.org/officeDocument/2006/relationships/image" Target="media/image175.png"/><Relationship Id="rId257" Type="http://schemas.openxmlformats.org/officeDocument/2006/relationships/image" Target="media/image176.png"/><Relationship Id="rId258" Type="http://schemas.openxmlformats.org/officeDocument/2006/relationships/image" Target="media/image177.png"/><Relationship Id="rId259" Type="http://schemas.openxmlformats.org/officeDocument/2006/relationships/image" Target="media/image178.png"/><Relationship Id="rId260" Type="http://schemas.openxmlformats.org/officeDocument/2006/relationships/image" Target="media/image179.png"/><Relationship Id="rId261" Type="http://schemas.openxmlformats.org/officeDocument/2006/relationships/image" Target="media/image180.png"/><Relationship Id="rId262" Type="http://schemas.openxmlformats.org/officeDocument/2006/relationships/image" Target="media/image181.png"/><Relationship Id="rId263" Type="http://schemas.openxmlformats.org/officeDocument/2006/relationships/image" Target="media/image182.png"/><Relationship Id="rId264" Type="http://schemas.openxmlformats.org/officeDocument/2006/relationships/image" Target="media/image183.png"/><Relationship Id="rId265" Type="http://schemas.openxmlformats.org/officeDocument/2006/relationships/image" Target="media/image184.png"/><Relationship Id="rId266" Type="http://schemas.openxmlformats.org/officeDocument/2006/relationships/image" Target="media/image185.png"/><Relationship Id="rId267" Type="http://schemas.openxmlformats.org/officeDocument/2006/relationships/image" Target="media/image186.png"/><Relationship Id="rId268" Type="http://schemas.openxmlformats.org/officeDocument/2006/relationships/image" Target="media/image187.png"/><Relationship Id="rId269" Type="http://schemas.openxmlformats.org/officeDocument/2006/relationships/image" Target="media/image188.png"/><Relationship Id="rId270" Type="http://schemas.openxmlformats.org/officeDocument/2006/relationships/image" Target="media/image189.png"/><Relationship Id="rId271" Type="http://schemas.openxmlformats.org/officeDocument/2006/relationships/image" Target="media/image190.png"/><Relationship Id="rId272" Type="http://schemas.openxmlformats.org/officeDocument/2006/relationships/image" Target="media/image191.png"/><Relationship Id="rId273" Type="http://schemas.openxmlformats.org/officeDocument/2006/relationships/image" Target="media/image192.png"/><Relationship Id="rId274" Type="http://schemas.openxmlformats.org/officeDocument/2006/relationships/image" Target="media/image193.png"/><Relationship Id="rId275" Type="http://schemas.openxmlformats.org/officeDocument/2006/relationships/image" Target="media/image194.png"/><Relationship Id="rId276" Type="http://schemas.openxmlformats.org/officeDocument/2006/relationships/image" Target="media/image195.png"/><Relationship Id="rId277" Type="http://schemas.openxmlformats.org/officeDocument/2006/relationships/image" Target="media/image196.png"/><Relationship Id="rId278" Type="http://schemas.openxmlformats.org/officeDocument/2006/relationships/image" Target="media/image197.png"/><Relationship Id="rId279" Type="http://schemas.openxmlformats.org/officeDocument/2006/relationships/image" Target="media/image198.png"/><Relationship Id="rId280" Type="http://schemas.openxmlformats.org/officeDocument/2006/relationships/image" Target="media/image199.png"/><Relationship Id="rId281" Type="http://schemas.openxmlformats.org/officeDocument/2006/relationships/image" Target="media/image200.png"/><Relationship Id="rId282" Type="http://schemas.openxmlformats.org/officeDocument/2006/relationships/image" Target="media/image201.png"/><Relationship Id="rId283" Type="http://schemas.openxmlformats.org/officeDocument/2006/relationships/image" Target="media/image202.png"/><Relationship Id="rId284" Type="http://schemas.openxmlformats.org/officeDocument/2006/relationships/image" Target="media/image203.png"/><Relationship Id="rId285" Type="http://schemas.openxmlformats.org/officeDocument/2006/relationships/image" Target="media/image204.png"/><Relationship Id="rId286" Type="http://schemas.openxmlformats.org/officeDocument/2006/relationships/image" Target="media/image205.png"/><Relationship Id="rId287" Type="http://schemas.openxmlformats.org/officeDocument/2006/relationships/image" Target="media/image206.png"/><Relationship Id="rId288" Type="http://schemas.openxmlformats.org/officeDocument/2006/relationships/image" Target="media/image207.png"/><Relationship Id="rId289" Type="http://schemas.openxmlformats.org/officeDocument/2006/relationships/image" Target="media/image208.png"/><Relationship Id="rId290" Type="http://schemas.openxmlformats.org/officeDocument/2006/relationships/image" Target="media/image209.png"/><Relationship Id="rId291" Type="http://schemas.openxmlformats.org/officeDocument/2006/relationships/image" Target="media/image210.png"/><Relationship Id="rId292" Type="http://schemas.openxmlformats.org/officeDocument/2006/relationships/image" Target="media/image211.png"/><Relationship Id="rId293" Type="http://schemas.openxmlformats.org/officeDocument/2006/relationships/image" Target="media/image212.png"/><Relationship Id="rId294" Type="http://schemas.openxmlformats.org/officeDocument/2006/relationships/image" Target="media/image213.png"/><Relationship Id="rId295" Type="http://schemas.openxmlformats.org/officeDocument/2006/relationships/image" Target="media/image214.png"/><Relationship Id="rId296" Type="http://schemas.openxmlformats.org/officeDocument/2006/relationships/image" Target="media/image215.png"/><Relationship Id="rId297" Type="http://schemas.openxmlformats.org/officeDocument/2006/relationships/image" Target="media/image216.png"/><Relationship Id="rId298" Type="http://schemas.openxmlformats.org/officeDocument/2006/relationships/image" Target="media/image217.png"/><Relationship Id="rId299" Type="http://schemas.openxmlformats.org/officeDocument/2006/relationships/image" Target="media/image218.png"/><Relationship Id="rId300" Type="http://schemas.openxmlformats.org/officeDocument/2006/relationships/image" Target="media/image219.png"/><Relationship Id="rId301" Type="http://schemas.openxmlformats.org/officeDocument/2006/relationships/image" Target="media/image220.png"/><Relationship Id="rId302" Type="http://schemas.openxmlformats.org/officeDocument/2006/relationships/image" Target="media/image221.png"/><Relationship Id="rId303" Type="http://schemas.openxmlformats.org/officeDocument/2006/relationships/image" Target="media/image222.png"/><Relationship Id="rId304" Type="http://schemas.openxmlformats.org/officeDocument/2006/relationships/image" Target="media/image223.png"/><Relationship Id="rId305" Type="http://schemas.openxmlformats.org/officeDocument/2006/relationships/image" Target="media/image224.png"/><Relationship Id="rId306" Type="http://schemas.openxmlformats.org/officeDocument/2006/relationships/image" Target="media/image225.png"/><Relationship Id="rId307" Type="http://schemas.openxmlformats.org/officeDocument/2006/relationships/image" Target="media/image226.png"/><Relationship Id="rId308" Type="http://schemas.openxmlformats.org/officeDocument/2006/relationships/image" Target="media/image227.png"/><Relationship Id="rId309" Type="http://schemas.openxmlformats.org/officeDocument/2006/relationships/image" Target="media/image228.png"/><Relationship Id="rId310" Type="http://schemas.openxmlformats.org/officeDocument/2006/relationships/image" Target="media/image229.png"/><Relationship Id="rId311" Type="http://schemas.openxmlformats.org/officeDocument/2006/relationships/image" Target="media/image230.png"/><Relationship Id="rId312" Type="http://schemas.openxmlformats.org/officeDocument/2006/relationships/image" Target="media/image231.png"/><Relationship Id="rId313" Type="http://schemas.openxmlformats.org/officeDocument/2006/relationships/image" Target="media/image232.png"/><Relationship Id="rId314" Type="http://schemas.openxmlformats.org/officeDocument/2006/relationships/image" Target="media/image233.png"/><Relationship Id="rId315" Type="http://schemas.openxmlformats.org/officeDocument/2006/relationships/image" Target="media/image234.png"/><Relationship Id="rId316" Type="http://schemas.openxmlformats.org/officeDocument/2006/relationships/image" Target="media/image235.png"/><Relationship Id="rId317" Type="http://schemas.openxmlformats.org/officeDocument/2006/relationships/image" Target="media/image236.png"/><Relationship Id="rId318" Type="http://schemas.openxmlformats.org/officeDocument/2006/relationships/image" Target="media/image237.png"/><Relationship Id="rId319" Type="http://schemas.openxmlformats.org/officeDocument/2006/relationships/image" Target="media/image238.png"/><Relationship Id="rId320" Type="http://schemas.openxmlformats.org/officeDocument/2006/relationships/image" Target="media/image239.png"/><Relationship Id="rId321" Type="http://schemas.openxmlformats.org/officeDocument/2006/relationships/image" Target="media/image240.png"/><Relationship Id="rId322" Type="http://schemas.openxmlformats.org/officeDocument/2006/relationships/image" Target="media/image241.png"/><Relationship Id="rId323" Type="http://schemas.openxmlformats.org/officeDocument/2006/relationships/image" Target="media/image242.png"/><Relationship Id="rId324" Type="http://schemas.openxmlformats.org/officeDocument/2006/relationships/image" Target="media/image243.png"/><Relationship Id="rId325" Type="http://schemas.openxmlformats.org/officeDocument/2006/relationships/image" Target="media/image244.png"/><Relationship Id="rId326" Type="http://schemas.openxmlformats.org/officeDocument/2006/relationships/image" Target="media/image245.png"/><Relationship Id="rId327" Type="http://schemas.openxmlformats.org/officeDocument/2006/relationships/image" Target="media/image246.png"/><Relationship Id="rId328" Type="http://schemas.openxmlformats.org/officeDocument/2006/relationships/image" Target="media/image247.png"/><Relationship Id="rId329" Type="http://schemas.openxmlformats.org/officeDocument/2006/relationships/image" Target="media/image248.png"/><Relationship Id="rId330" Type="http://schemas.openxmlformats.org/officeDocument/2006/relationships/image" Target="media/image249.png"/><Relationship Id="rId331" Type="http://schemas.openxmlformats.org/officeDocument/2006/relationships/image" Target="media/image250.png"/><Relationship Id="rId332" Type="http://schemas.openxmlformats.org/officeDocument/2006/relationships/image" Target="media/image251.png"/><Relationship Id="rId333" Type="http://schemas.openxmlformats.org/officeDocument/2006/relationships/image" Target="media/image252.png"/><Relationship Id="rId334" Type="http://schemas.openxmlformats.org/officeDocument/2006/relationships/image" Target="media/image253.png"/><Relationship Id="rId335" Type="http://schemas.openxmlformats.org/officeDocument/2006/relationships/image" Target="media/image254.png"/><Relationship Id="rId336" Type="http://schemas.openxmlformats.org/officeDocument/2006/relationships/image" Target="media/image255.png"/><Relationship Id="rId337" Type="http://schemas.openxmlformats.org/officeDocument/2006/relationships/image" Target="media/image256.png"/><Relationship Id="rId338" Type="http://schemas.openxmlformats.org/officeDocument/2006/relationships/image" Target="media/image257.png"/><Relationship Id="rId339" Type="http://schemas.openxmlformats.org/officeDocument/2006/relationships/image" Target="media/image258.png"/><Relationship Id="rId340" Type="http://schemas.openxmlformats.org/officeDocument/2006/relationships/image" Target="media/image259.png"/><Relationship Id="rId341" Type="http://schemas.openxmlformats.org/officeDocument/2006/relationships/image" Target="media/image260.png"/><Relationship Id="rId342" Type="http://schemas.openxmlformats.org/officeDocument/2006/relationships/image" Target="media/image261.png"/><Relationship Id="rId343" Type="http://schemas.openxmlformats.org/officeDocument/2006/relationships/image" Target="media/image262.png"/><Relationship Id="rId344" Type="http://schemas.openxmlformats.org/officeDocument/2006/relationships/image" Target="media/image263.png"/><Relationship Id="rId345" Type="http://schemas.openxmlformats.org/officeDocument/2006/relationships/image" Target="media/image264.png"/><Relationship Id="rId346" Type="http://schemas.openxmlformats.org/officeDocument/2006/relationships/image" Target="media/image265.png"/><Relationship Id="rId347" Type="http://schemas.openxmlformats.org/officeDocument/2006/relationships/image" Target="media/image266.png"/><Relationship Id="rId348" Type="http://schemas.openxmlformats.org/officeDocument/2006/relationships/image" Target="media/image267.png"/><Relationship Id="rId349" Type="http://schemas.openxmlformats.org/officeDocument/2006/relationships/image" Target="media/image268.png"/><Relationship Id="rId350" Type="http://schemas.openxmlformats.org/officeDocument/2006/relationships/image" Target="media/image269.png"/><Relationship Id="rId351" Type="http://schemas.openxmlformats.org/officeDocument/2006/relationships/image" Target="media/image270.png"/><Relationship Id="rId352" Type="http://schemas.openxmlformats.org/officeDocument/2006/relationships/image" Target="media/image271.png"/><Relationship Id="rId353" Type="http://schemas.openxmlformats.org/officeDocument/2006/relationships/image" Target="media/image272.png"/><Relationship Id="rId354" Type="http://schemas.openxmlformats.org/officeDocument/2006/relationships/image" Target="media/image273.png"/><Relationship Id="rId355" Type="http://schemas.openxmlformats.org/officeDocument/2006/relationships/image" Target="media/image274.png"/><Relationship Id="rId356" Type="http://schemas.openxmlformats.org/officeDocument/2006/relationships/image" Target="media/image275.png"/><Relationship Id="rId357" Type="http://schemas.openxmlformats.org/officeDocument/2006/relationships/image" Target="media/image276.png"/><Relationship Id="rId358" Type="http://schemas.openxmlformats.org/officeDocument/2006/relationships/image" Target="media/image277.png"/><Relationship Id="rId359" Type="http://schemas.openxmlformats.org/officeDocument/2006/relationships/image" Target="media/image278.png"/><Relationship Id="rId360" Type="http://schemas.openxmlformats.org/officeDocument/2006/relationships/image" Target="media/image279.png"/><Relationship Id="rId361" Type="http://schemas.openxmlformats.org/officeDocument/2006/relationships/image" Target="media/image280.png"/><Relationship Id="rId362" Type="http://schemas.openxmlformats.org/officeDocument/2006/relationships/image" Target="media/image281.png"/><Relationship Id="rId363" Type="http://schemas.openxmlformats.org/officeDocument/2006/relationships/image" Target="media/image282.png"/><Relationship Id="rId61" Type="http://schemas.openxmlformats.org/officeDocument/2006/relationships/hyperlink" Target="https://www.sec.gov/Archives/edgar/data/34956/000135448813005858/oxbt_ex21.htm" TargetMode="External"/><Relationship Id="rId62" Type="http://schemas.openxmlformats.org/officeDocument/2006/relationships/hyperlink" Target="https://www.sec.gov/Archives/edgar/data/34956/000165495421000585/tenx_ex21.htm" TargetMode="External"/><Relationship Id="rId63" Type="http://schemas.openxmlformats.org/officeDocument/2006/relationships/hyperlink" Target="https://www.sec.gov/Archives/edgar/data/34956/000102048808000077/oxybiocertif_ex301.htm" TargetMode="External"/><Relationship Id="rId64" Type="http://schemas.openxmlformats.org/officeDocument/2006/relationships/hyperlink" Target="https://www.sec.gov/Archives/edgar/data/34956/000102048809000083/oxybex31-certamend.htm" TargetMode="External"/><Relationship Id="rId65" Type="http://schemas.openxmlformats.org/officeDocument/2006/relationships/hyperlink" Target="https://www.sec.gov/Archives/edgar/data/34956/000135448813002880/oxbt_ex31.htm" TargetMode="External"/><Relationship Id="rId66" Type="http://schemas.openxmlformats.org/officeDocument/2006/relationships/hyperlink" Target="https://www.sec.gov/Archives/edgar/data/34956/000135448814006182/tenx_ex34.htm" TargetMode="External"/><Relationship Id="rId67" Type="http://schemas.openxmlformats.org/officeDocument/2006/relationships/hyperlink" Target="https://www.sec.gov/Archives/edgar/data/34956/000165495418001818/tenx_ex31.htm" TargetMode="External"/><Relationship Id="rId68" Type="http://schemas.openxmlformats.org/officeDocument/2006/relationships/hyperlink" Target="https://www.sec.gov/Archives/edgar/data/34956/000165495424000269/tenx_ex31.htm" TargetMode="External"/><Relationship Id="rId79" Type="http://schemas.openxmlformats.org/officeDocument/2006/relationships/hyperlink" Target="https://www.sec.gov/Archives/edgar/data/34956/000165495418013810/tnx_ex41.htm" TargetMode="External"/><Relationship Id="rId80" Type="http://schemas.openxmlformats.org/officeDocument/2006/relationships/hyperlink" Target="https://www.sec.gov/Archives/edgar/data/34956/000135448815004246/tenx_ex31.htm" TargetMode="External"/><Relationship Id="rId81" Type="http://schemas.openxmlformats.org/officeDocument/2006/relationships/hyperlink" Target="https://www.sec.gov/Archives/edgar/data/34956/000119312510165026/dex41.htm" TargetMode="External"/><Relationship Id="rId82" Type="http://schemas.openxmlformats.org/officeDocument/2006/relationships/hyperlink" Target="https://www.sec.gov/Archives/edgar/data/34956/000165495418013810/tenx_ex42.htm" TargetMode="External"/><Relationship Id="rId83" Type="http://schemas.openxmlformats.org/officeDocument/2006/relationships/hyperlink" Target="https://www.sec.gov/Archives/edgar/data/34956/000165495420002581/tenx_ex42.htm" TargetMode="External"/><Relationship Id="rId84" Type="http://schemas.openxmlformats.org/officeDocument/2006/relationships/hyperlink" Target="https://www.sec.gov/Archives/edgar/data/34956/000165495420002581/tenx_ex43.htm" TargetMode="External"/><Relationship Id="rId85" Type="http://schemas.openxmlformats.org/officeDocument/2006/relationships/hyperlink" Target="https://www.sec.gov/Archives/edgar/data/34956/000165495420007444/tenx_ex42.htm" TargetMode="External"/><Relationship Id="rId86" Type="http://schemas.openxmlformats.org/officeDocument/2006/relationships/hyperlink" Target="https://www.sec.gov/Archives/edgar/data/34956/000165495420007444/tenx_ex43.htm" TargetMode="External"/><Relationship Id="rId87" Type="http://schemas.openxmlformats.org/officeDocument/2006/relationships/hyperlink" Target="https://www.sec.gov/Archives/edgar/data/34956/000165495421007745/tenx_ex42.htm" TargetMode="External"/><Relationship Id="rId88" Type="http://schemas.openxmlformats.org/officeDocument/2006/relationships/hyperlink" Target="https://www.sec.gov/Archives/edgar/data/34956/000165495421007745/tenx_ex43.htm" TargetMode="External"/><Relationship Id="rId89" Type="http://schemas.openxmlformats.org/officeDocument/2006/relationships/hyperlink" Target="https://www.sec.gov/Archives/edgar/data/34956/000165495422007316/tenx_ex41.htm" TargetMode="External"/><Relationship Id="rId90" Type="http://schemas.openxmlformats.org/officeDocument/2006/relationships/hyperlink" Target="https://www.sec.gov/Archives/edgar/data/34956/000165495422007316/tenx_ex42.htm" TargetMode="External"/><Relationship Id="rId91" Type="http://schemas.openxmlformats.org/officeDocument/2006/relationships/hyperlink" Target="https://www.sec.gov/Archives/edgar/data/34956/000165495423001434/tenx_ex41.htm" TargetMode="External"/><Relationship Id="rId92" Type="http://schemas.openxmlformats.org/officeDocument/2006/relationships/hyperlink" Target="https://www.sec.gov/Archives/edgar/data/34956/000165495422007316/tenx_ex43.htm" TargetMode="External"/><Relationship Id="rId93" Type="http://schemas.openxmlformats.org/officeDocument/2006/relationships/hyperlink" Target="https://www.sec.gov/Archives/edgar/data/34956/000165495424001591/tenx_ex41.htm" TargetMode="External"/><Relationship Id="rId94" Type="http://schemas.openxmlformats.org/officeDocument/2006/relationships/hyperlink" Target="https://www.sec.gov/Archives/edgar/data/34956/000165495423001434/tenx_ex43.htm" TargetMode="External"/><Relationship Id="rId95" Type="http://schemas.openxmlformats.org/officeDocument/2006/relationships/hyperlink" Target="https://www.sec.gov/Archives/edgar/data/34956/000165495424009988/tenx_ex41.htm" TargetMode="External"/><Relationship Id="rId96" Type="http://schemas.openxmlformats.org/officeDocument/2006/relationships/hyperlink" Target="https://www.sec.gov/ix?doc=/Archives/edgar/data/0000034956/000165495424009988/tenx_8k.htm" TargetMode="External"/><Relationship Id="rId97" Type="http://schemas.openxmlformats.org/officeDocument/2006/relationships/hyperlink" Target="https://www.sec.gov/Archives/edgar/data/34956/000165495424003827/tenx_ex420.htm" TargetMode="External"/><Relationship Id="rId98" Type="http://schemas.openxmlformats.org/officeDocument/2006/relationships/hyperlink" Target="https://www.sec.gov/Archives/edgar/data/34956/000165495425002385/tenx_ex41.htm" TargetMode="External"/><Relationship Id="rId101" Type="http://schemas.openxmlformats.org/officeDocument/2006/relationships/hyperlink" Target="https://www.sec.gov/Archives/edgar/data/34956/000119312508176263/dex1015.htm" TargetMode="External"/><Relationship Id="rId102" Type="http://schemas.openxmlformats.org/officeDocument/2006/relationships/hyperlink" Target="https://www.sec.gov/Archives/edgar/data/34956/000135448814003782/oxbt_ex1019.htm" TargetMode="External"/><Relationship Id="rId103" Type="http://schemas.openxmlformats.org/officeDocument/2006/relationships/hyperlink" Target="https://www.sec.gov/Archives/edgar/data/34956/000135448814003782/oxbt_ex1020.htm" TargetMode="External"/><Relationship Id="rId104" Type="http://schemas.openxmlformats.org/officeDocument/2006/relationships/hyperlink" Target="https://www.sec.gov/Archives/edgar/data/34956/000119312504140189/dex105.htm" TargetMode="External"/><Relationship Id="rId105" Type="http://schemas.openxmlformats.org/officeDocument/2006/relationships/hyperlink" Target="https://www.sec.gov/Archives/edgar/data/34956/000119312504140189/dex106.htm" TargetMode="External"/><Relationship Id="rId106" Type="http://schemas.openxmlformats.org/officeDocument/2006/relationships/hyperlink" Target="https://www.sec.gov/Archives/edgar/data/34956/000165495417002098/tenx_ex109.htm" TargetMode="External"/><Relationship Id="rId107" Type="http://schemas.openxmlformats.org/officeDocument/2006/relationships/hyperlink" Target="https://www.sec.gov/Archives/edgar/data/34956/000135448811002180/oxbt_ex1036.htm" TargetMode="External"/><Relationship Id="rId108" Type="http://schemas.openxmlformats.org/officeDocument/2006/relationships/hyperlink" Target="https://www.sec.gov/Archives/edgar/data/34956/000135448814001188/oxbt_103.htm" TargetMode="External"/><Relationship Id="rId109" Type="http://schemas.openxmlformats.org/officeDocument/2006/relationships/hyperlink" Target="https://www.sec.gov/Archives/edgar/data/0000034956/000165495420011170/tenx_ex101.htm" TargetMode="External"/><Relationship Id="rId110" Type="http://schemas.openxmlformats.org/officeDocument/2006/relationships/hyperlink" Target="https://www.sec.gov/Archives/edgar/data/34956/000165495422000860/tenx_ex101.htm" TargetMode="External"/><Relationship Id="rId117" Type="http://schemas.openxmlformats.org/officeDocument/2006/relationships/hyperlink" Target="https://www.sec.gov/Archives/edgar/data/34956/000165495424001923/tenx_ex101.htm" TargetMode="External"/><Relationship Id="rId118" Type="http://schemas.openxmlformats.org/officeDocument/2006/relationships/hyperlink" Target="https://www.sec.gov/Archives/edgar/data/34956/000135448815004246/tenx_ex101.htm" TargetMode="External"/><Relationship Id="rId119" Type="http://schemas.openxmlformats.org/officeDocument/2006/relationships/hyperlink" Target="https://www.sec.gov/Archives/edgar/data/34956/000165495416001314/tenx_ex101.htm" TargetMode="External"/><Relationship Id="rId120" Type="http://schemas.openxmlformats.org/officeDocument/2006/relationships/hyperlink" Target="https://www.sec.gov/Archives/edgar/data/34956/000165495419009589/tenx_ex101.htm" TargetMode="External"/><Relationship Id="rId121" Type="http://schemas.openxmlformats.org/officeDocument/2006/relationships/hyperlink" Target="https://www.sec.gov/Archives/edgar/data/34956/000165495421009088/tenx_ex101.htm" TargetMode="External"/><Relationship Id="rId124" Type="http://schemas.openxmlformats.org/officeDocument/2006/relationships/hyperlink" Target="https://www.sec.gov/Archives/edgar/data/34956/000165495418009137/tenx_ex102.htm" TargetMode="External"/><Relationship Id="rId125" Type="http://schemas.openxmlformats.org/officeDocument/2006/relationships/hyperlink" Target="https://www.sec.gov/Archives/edgar/data/34956/000165495418009137/tenx_ex104.htm" TargetMode="External"/><Relationship Id="rId126" Type="http://schemas.openxmlformats.org/officeDocument/2006/relationships/hyperlink" Target="https://www.sec.gov/Archives/edgar/data/0000034956/000165495420002581/tenx_ex101.htm" TargetMode="External"/><Relationship Id="rId131" Type="http://schemas.openxmlformats.org/officeDocument/2006/relationships/hyperlink" Target="https://www.sec.gov/Archives/edgar/data/0000034956/000165495420007444/tenx_ex101.htm" TargetMode="External"/><Relationship Id="rId132" Type="http://schemas.openxmlformats.org/officeDocument/2006/relationships/hyperlink" Target="https://www.sec.gov/Archives/edgar/data/0000034956/000165495420007444/tenx_ex102.htm" TargetMode="External"/><Relationship Id="rId133" Type="http://schemas.openxmlformats.org/officeDocument/2006/relationships/hyperlink" Target="https://www.sec.gov/Archives/edgar/data/34956/000165495422008452/tenx_101.htm" TargetMode="External"/><Relationship Id="rId134" Type="http://schemas.openxmlformats.org/officeDocument/2006/relationships/hyperlink" Target="https://www.sec.gov/Archives/edgar/data/0000034956/000165495420007444/tenx_ex103.htm" TargetMode="External"/><Relationship Id="rId135" Type="http://schemas.openxmlformats.org/officeDocument/2006/relationships/hyperlink" Target="https://www.sec.gov/Archives/edgar/data/34956/000165495421000585/tenx_ex101.htm" TargetMode="External"/><Relationship Id="rId136" Type="http://schemas.openxmlformats.org/officeDocument/2006/relationships/hyperlink" Target="https://www.sec.gov/Archives/edgar/data/34956/000165495424007727/tenx_ex102.htm" TargetMode="External"/><Relationship Id="rId137" Type="http://schemas.openxmlformats.org/officeDocument/2006/relationships/hyperlink" Target="https://www.sec.gov/Archives/edgar/data/34956/000165495421007745/tenx_ex101.htm" TargetMode="External"/><Relationship Id="rId138" Type="http://schemas.openxmlformats.org/officeDocument/2006/relationships/hyperlink" Target="https://www.sec.gov/Archives/edgar/data/34956/000165495421007745/tenx_ex102.htm" TargetMode="External"/><Relationship Id="rId139" Type="http://schemas.openxmlformats.org/officeDocument/2006/relationships/hyperlink" Target="https://www.sec.gov/Archives/edgar/data/34956/000165495421007745/tenx_ex104.htm" TargetMode="External"/><Relationship Id="rId140" Type="http://schemas.openxmlformats.org/officeDocument/2006/relationships/hyperlink" Target="https://www.sec.gov/Archives/edgar/data/34956/000165495421007745/tenx_ex105.htm" TargetMode="External"/><Relationship Id="rId143" Type="http://schemas.openxmlformats.org/officeDocument/2006/relationships/hyperlink" Target="https://www.sec.gov/Archives/edgar/data/34956/000165495422004036/tenx_ex1020.htm" TargetMode="External"/><Relationship Id="rId144" Type="http://schemas.openxmlformats.org/officeDocument/2006/relationships/hyperlink" Target="https://www.sec.gov/Archives/edgar/data/34956/000165495422007316/tenx_ex101.htm" TargetMode="External"/><Relationship Id="rId145" Type="http://schemas.openxmlformats.org/officeDocument/2006/relationships/hyperlink" Target="https://www.sec.gov/Archives/edgar/data/34956/000165495422007316/tenx_ex102.htm" TargetMode="External"/><Relationship Id="rId146" Type="http://schemas.openxmlformats.org/officeDocument/2006/relationships/hyperlink" Target="https://www.sec.gov/Archives/edgar/data/34956/000165495422008221/tenx_ex101.htm" TargetMode="External"/><Relationship Id="rId147" Type="http://schemas.openxmlformats.org/officeDocument/2006/relationships/hyperlink" Target="https://www.sec.gov/Archives/edgar/data/34956/000165495424007727/tenx_ex101.htm" TargetMode="External"/><Relationship Id="rId148" Type="http://schemas.openxmlformats.org/officeDocument/2006/relationships/hyperlink" Target="https://www.sec.gov/Archives/edgar/data/34956/000165495424013505/tenx_ex101.htm" TargetMode="External"/><Relationship Id="rId149" Type="http://schemas.openxmlformats.org/officeDocument/2006/relationships/hyperlink" Target="https://www.sec.gov/Archives/edgar/data/34956/000165495422008221/tenx_ex102.htm" TargetMode="External"/><Relationship Id="rId150" Type="http://schemas.openxmlformats.org/officeDocument/2006/relationships/hyperlink" Target="https://www.sec.gov/Archives/edgar/data/34956/000165495423001434/tenx_ex101.htm" TargetMode="External"/><Relationship Id="rId151" Type="http://schemas.openxmlformats.org/officeDocument/2006/relationships/hyperlink" Target="https://www.sec.gov/Archives/edgar/data/34956/000165495423001434/tenx_ex102.htm" TargetMode="External"/><Relationship Id="rId152" Type="http://schemas.openxmlformats.org/officeDocument/2006/relationships/hyperlink" Target="https://www.sec.gov/Archives/edgar/data/34956/000165495423001434/tenx_ex103.htm" TargetMode="External"/><Relationship Id="rId153" Type="http://schemas.openxmlformats.org/officeDocument/2006/relationships/hyperlink" Target="https://www.sec.gov/Archives/edgar/data/34956/000165495424001591/tenx_ex101.htm" TargetMode="External"/><Relationship Id="rId154" Type="http://schemas.openxmlformats.org/officeDocument/2006/relationships/hyperlink" Target="https://www.sec.gov/Archives/edgar/data/34956/000165495424001591/tenx_ex102.htm" TargetMode="External"/><Relationship Id="rId155" Type="http://schemas.openxmlformats.org/officeDocument/2006/relationships/hyperlink" Target="https://www.sec.gov/Archives/edgar/data/34956/000165495424009988/tenx_ex101.htm" TargetMode="External"/><Relationship Id="rId156" Type="http://schemas.openxmlformats.org/officeDocument/2006/relationships/hyperlink" Target="https://www.sec.gov/Archives/edgar/data/34956/000165495424009988/tenx_ex102.htm" TargetMode="External"/><Relationship Id="rId172" Type="http://schemas.openxmlformats.org/officeDocument/2006/relationships/hyperlink" Target="https://www.sec.gov/Archives/edgar/data/34956/000165495425002385/tenx_ex101.htm" TargetMode="External"/><Relationship Id="rId173" Type="http://schemas.openxmlformats.org/officeDocument/2006/relationships/hyperlink" Target="https://www.sec.gov/Archives/edgar/data/34956/000165495425002385/tenx_ex102.htm" TargetMode="External"/><Relationship Id="rId174" Type="http://schemas.openxmlformats.org/officeDocument/2006/relationships/hyperlink" Target="https://www.sec.gov/Archives/edgar/data/34956/000165495423003945/tenx_ex211.htm" TargetMode="External"/><Relationship Id="rId184" Type="http://schemas.openxmlformats.org/officeDocument/2006/relationships/hyperlink" Target="https://www.sec.gov/Archives/edgar/data/34956/000165495424003827/tenx_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2025-03-25T15:36:40Z</dcterms:created>
  <dcterms:modified xsi:type="dcterms:W3CDTF">2025-03-25T15:36:40Z</dcterms:modified>
</cp:coreProperties>
</file>