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57" w:lineRule="exact"/>
        <w:rPr>
          <w:sz w:val="24"/>
          <w:szCs w:val="24"/>
          <w:color w:val="auto"/>
        </w:rPr>
      </w:pPr>
    </w:p>
    <w:p>
      <w:pPr>
        <w:ind w:left="4100" w:right="2820" w:hanging="4092"/>
        <w:spacing w:after="0" w:line="309" w:lineRule="auto"/>
        <w:tabs>
          <w:tab w:leader="none" w:pos="51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5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OR</w:t>
      </w:r>
    </w:p>
    <w:p>
      <w:pPr>
        <w:spacing w:after="0" w:line="57" w:lineRule="exact"/>
        <w:rPr>
          <w:sz w:val="24"/>
          <w:szCs w:val="24"/>
          <w:color w:val="auto"/>
        </w:rPr>
      </w:pPr>
    </w:p>
    <w:p>
      <w:pPr>
        <w:ind w:left="4080" w:right="2480" w:hanging="4072"/>
        <w:spacing w:after="0" w:line="316" w:lineRule="auto"/>
        <w:tabs>
          <w:tab w:leader="none" w:pos="50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6"/>
          <w:szCs w:val="16"/>
          <w:color w:val="auto"/>
        </w:rPr>
      </w:pPr>
    </w:p>
    <w:p>
      <w:pPr>
        <w:ind w:left="45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No. 001-34600</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TENAX THERAPEUTICS, INC.</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380" w:type="dxa"/>
            <w:vAlign w:val="bottom"/>
            <w:vMerge w:val="restart"/>
          </w:tcPr>
          <w:p>
            <w:pPr>
              <w:jc w:val="center"/>
              <w:ind w:left="221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040" w:type="dxa"/>
            <w:vAlign w:val="bottom"/>
            <w:gridSpan w:val="5"/>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26-2593535</w:t>
            </w:r>
          </w:p>
        </w:tc>
        <w:tc>
          <w:tcPr>
            <w:tcW w:w="0" w:type="dxa"/>
            <w:vAlign w:val="bottom"/>
          </w:tcPr>
          <w:p>
            <w:pPr>
              <w:spacing w:after="0"/>
              <w:rPr>
                <w:sz w:val="1"/>
                <w:szCs w:val="1"/>
                <w:color w:val="auto"/>
              </w:rPr>
            </w:pPr>
          </w:p>
        </w:tc>
      </w:tr>
      <w:tr>
        <w:trPr>
          <w:trHeight w:val="154"/>
        </w:trPr>
        <w:tc>
          <w:tcPr>
            <w:tcW w:w="3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7880" w:type="dxa"/>
            <w:vAlign w:val="bottom"/>
            <w:gridSpan w:val="6"/>
          </w:tcPr>
          <w:p>
            <w:pPr>
              <w:jc w:val="center"/>
              <w:ind w:right="3310"/>
              <w:spacing w:after="0" w:line="157" w:lineRule="exact"/>
              <w:rPr>
                <w:sz w:val="20"/>
                <w:szCs w:val="20"/>
                <w:color w:val="auto"/>
              </w:rPr>
            </w:pPr>
            <w:r>
              <w:rPr>
                <w:rFonts w:ascii="Times New Roman" w:cs="Times New Roman" w:eastAsia="Times New Roman" w:hAnsi="Times New Roman"/>
                <w:sz w:val="14"/>
                <w:szCs w:val="14"/>
                <w:b w:val="1"/>
                <w:bCs w:val="1"/>
                <w:color w:val="auto"/>
              </w:rPr>
              <w:t>101 Glen Lennox Drive, Suite 300, Chapel Hill, North Carolina 27517</w:t>
            </w:r>
          </w:p>
        </w:tc>
        <w:tc>
          <w:tcPr>
            <w:tcW w:w="0" w:type="dxa"/>
            <w:vAlign w:val="bottom"/>
          </w:tcPr>
          <w:p>
            <w:pPr>
              <w:spacing w:after="0"/>
              <w:rPr>
                <w:sz w:val="1"/>
                <w:szCs w:val="1"/>
                <w:color w:val="auto"/>
              </w:rPr>
            </w:pPr>
          </w:p>
        </w:tc>
      </w:tr>
      <w:tr>
        <w:trPr>
          <w:trHeight w:val="141"/>
        </w:trPr>
        <w:tc>
          <w:tcPr>
            <w:tcW w:w="3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00" w:type="dxa"/>
            <w:vAlign w:val="bottom"/>
            <w:gridSpan w:val="4"/>
          </w:tcPr>
          <w:p>
            <w:pPr>
              <w:jc w:val="center"/>
              <w:ind w:right="320"/>
              <w:spacing w:after="0" w:line="141" w:lineRule="exact"/>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7880" w:type="dxa"/>
            <w:vAlign w:val="bottom"/>
            <w:gridSpan w:val="6"/>
          </w:tcPr>
          <w:p>
            <w:pPr>
              <w:jc w:val="center"/>
              <w:ind w:right="331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(919) 855-2100</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4040" w:type="dxa"/>
            <w:vAlign w:val="bottom"/>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380" w:type="dxa"/>
            <w:vAlign w:val="bottom"/>
            <w:tcBorders>
              <w:left w:val="single" w:sz="8" w:color="auto"/>
              <w:bottom w:val="single" w:sz="8" w:color="auto"/>
            </w:tcBorders>
          </w:tcPr>
          <w:p>
            <w:pPr>
              <w:jc w:val="center"/>
              <w:ind w:left="670"/>
              <w:spacing w:after="0" w:line="139"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740" w:type="dxa"/>
            <w:vAlign w:val="bottom"/>
            <w:tcBorders>
              <w:bottom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gridSpan w:val="3"/>
          </w:tcPr>
          <w:p>
            <w:pPr>
              <w:jc w:val="center"/>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Trading Symbol(s)</w:t>
            </w:r>
          </w:p>
        </w:tc>
        <w:tc>
          <w:tcPr>
            <w:tcW w:w="600" w:type="dxa"/>
            <w:vAlign w:val="bottom"/>
            <w:tcBorders>
              <w:bottom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ind w:left="180"/>
              <w:spacing w:after="0" w:line="139"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22"/>
        </w:trPr>
        <w:tc>
          <w:tcPr>
            <w:tcW w:w="3380" w:type="dxa"/>
            <w:vAlign w:val="bottom"/>
            <w:tcBorders>
              <w:left w:val="single" w:sz="8" w:color="auto"/>
              <w:bottom w:val="single" w:sz="8" w:color="auto"/>
            </w:tcBorders>
          </w:tcPr>
          <w:p>
            <w:pPr>
              <w:jc w:val="center"/>
              <w:ind w:left="670"/>
              <w:spacing w:after="0" w:line="122" w:lineRule="exact"/>
              <w:rPr>
                <w:sz w:val="20"/>
                <w:szCs w:val="20"/>
                <w:color w:val="auto"/>
              </w:rPr>
            </w:pPr>
            <w:r>
              <w:rPr>
                <w:rFonts w:ascii="Times New Roman" w:cs="Times New Roman" w:eastAsia="Times New Roman" w:hAnsi="Times New Roman"/>
                <w:sz w:val="13"/>
                <w:szCs w:val="13"/>
                <w:color w:val="auto"/>
              </w:rPr>
              <w:t>Common Stock, $0.0001 par value per share</w:t>
            </w:r>
          </w:p>
        </w:tc>
        <w:tc>
          <w:tcPr>
            <w:tcW w:w="740" w:type="dxa"/>
            <w:vAlign w:val="bottom"/>
            <w:tcBorders>
              <w:bottom w:val="single" w:sz="8" w:color="auto"/>
              <w:right w:val="single" w:sz="8" w:color="auto"/>
            </w:tcBorders>
          </w:tcPr>
          <w:p>
            <w:pPr>
              <w:spacing w:after="0"/>
              <w:rPr>
                <w:sz w:val="10"/>
                <w:szCs w:val="10"/>
                <w:color w:val="auto"/>
              </w:rPr>
            </w:pPr>
          </w:p>
        </w:tc>
        <w:tc>
          <w:tcPr>
            <w:tcW w:w="2700" w:type="dxa"/>
            <w:vAlign w:val="bottom"/>
            <w:tcBorders>
              <w:bottom w:val="single" w:sz="8" w:color="auto"/>
              <w:right w:val="single" w:sz="8" w:color="auto"/>
            </w:tcBorders>
            <w:gridSpan w:val="3"/>
          </w:tcPr>
          <w:p>
            <w:pPr>
              <w:jc w:val="center"/>
              <w:ind w:right="20"/>
              <w:spacing w:after="0" w:line="122" w:lineRule="exact"/>
              <w:rPr>
                <w:sz w:val="20"/>
                <w:szCs w:val="20"/>
                <w:color w:val="auto"/>
              </w:rPr>
            </w:pPr>
            <w:r>
              <w:rPr>
                <w:rFonts w:ascii="Times New Roman" w:cs="Times New Roman" w:eastAsia="Times New Roman" w:hAnsi="Times New Roman"/>
                <w:sz w:val="13"/>
                <w:szCs w:val="13"/>
                <w:color w:val="auto"/>
              </w:rPr>
              <w:t>TENX</w:t>
            </w:r>
          </w:p>
        </w:tc>
        <w:tc>
          <w:tcPr>
            <w:tcW w:w="600" w:type="dxa"/>
            <w:vAlign w:val="bottom"/>
            <w:tcBorders>
              <w:bottom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ind w:left="740"/>
              <w:spacing w:after="0" w:line="122"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9" w:lineRule="exact"/>
        <w:rPr>
          <w:sz w:val="24"/>
          <w:szCs w:val="24"/>
          <w:color w:val="auto"/>
        </w:rPr>
      </w:pPr>
    </w:p>
    <w:p>
      <w:pPr>
        <w:ind w:right="4520"/>
        <w:spacing w:after="0" w:line="192"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jc w:val="both"/>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1"/>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0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Accelerated filer</w:t>
            </w:r>
          </w:p>
        </w:tc>
        <w:tc>
          <w:tcPr>
            <w:tcW w:w="1120" w:type="dxa"/>
            <w:vAlign w:val="bottom"/>
          </w:tcPr>
          <w:p>
            <w:pPr>
              <w:ind w:left="10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0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20" w:type="dxa"/>
            <w:vAlign w:val="bottom"/>
          </w:tcPr>
          <w:p>
            <w:pPr>
              <w:ind w:left="10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2"/>
        </w:trPr>
        <w:tc>
          <w:tcPr>
            <w:tcW w:w="2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4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120" w:type="dxa"/>
            <w:vAlign w:val="bottom"/>
          </w:tcPr>
          <w:p>
            <w:pPr>
              <w:ind w:left="1000"/>
              <w:spacing w:after="0" w:line="131" w:lineRule="exact"/>
              <w:rPr>
                <w:sz w:val="20"/>
                <w:szCs w:val="20"/>
                <w:color w:val="auto"/>
              </w:rPr>
            </w:pPr>
            <w:r>
              <w:rPr>
                <w:rFonts w:ascii="MS PGothic" w:cs="MS PGothic" w:eastAsia="MS PGothic" w:hAnsi="MS PGothic"/>
                <w:sz w:val="13"/>
                <w:szCs w:val="13"/>
                <w:color w:val="auto"/>
                <w:w w:val="76"/>
              </w:rPr>
              <w:t>☐</w:t>
            </w:r>
          </w:p>
        </w:tc>
      </w:tr>
    </w:tbl>
    <w:p>
      <w:pPr>
        <w:jc w:val="both"/>
        <w:ind w:right="20"/>
        <w:spacing w:after="0" w:line="15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jc w:val="both"/>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6"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The aggregate market value of the common equity held by non-affiliates computed by reference to the price at which the common equity was last sold as of June 30, 2025, the last business day of the registrant’s most recently completed second fiscal quarter, was $23,840,749.</w:t>
      </w: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class of $0.0001 par value common stock as of March 6, 2026 was 17,197,613.</w:t>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15"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3"/>
          <w:szCs w:val="13"/>
          <w:color w:val="auto"/>
        </w:rPr>
        <w:t>Portions of the registrant’s proxy statement to be filed with the Securities and Exchange Commission pursuant to Regulation 14A in connection with the registrant’s 2026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1052195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80" w:type="dxa"/>
            <w:vAlign w:val="bottom"/>
            <w:gridSpan w:val="11"/>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0000FF"/>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PART I</w:t>
            </w:r>
          </w:p>
        </w:tc>
        <w:tc>
          <w:tcPr>
            <w:tcW w:w="9960" w:type="dxa"/>
            <w:vAlign w:val="bottom"/>
            <w:tcBorders>
              <w:bottom w:val="single" w:sz="8" w:color="CFF0FC"/>
            </w:tcBorders>
            <w:gridSpan w:val="27"/>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1—BUSINESS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 w:type="dxa"/>
            <w:vAlign w:val="bottom"/>
            <w:tcBorders>
              <w:right w:val="single" w:sz="8" w:color="CFF0FC"/>
            </w:tcBorders>
            <w:shd w:val="clear" w:color="auto" w:fill="CFF0FC"/>
          </w:tcPr>
          <w:p>
            <w:pPr>
              <w:spacing w:after="0"/>
              <w:rPr>
                <w:sz w:val="15"/>
                <w:szCs w:val="15"/>
                <w:color w:val="auto"/>
              </w:rPr>
            </w:pPr>
          </w:p>
        </w:tc>
        <w:tc>
          <w:tcPr>
            <w:tcW w:w="10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1A—RISK FACTORS</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1B—UNRESOLVED STAFF COMMENTS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Borders>
              <w:right w:val="single" w:sz="8" w:color="CFF0FC"/>
            </w:tcBorders>
            <w:shd w:val="clear" w:color="auto" w:fill="CFF0FC"/>
          </w:tcPr>
          <w:p>
            <w:pPr>
              <w:spacing w:after="0"/>
              <w:rPr>
                <w:sz w:val="15"/>
                <w:szCs w:val="15"/>
                <w:color w:val="auto"/>
              </w:rPr>
            </w:pPr>
          </w:p>
        </w:tc>
        <w:tc>
          <w:tcPr>
            <w:tcW w:w="10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1C—CYBERSECURITY</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2—PROPERTIES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 w:type="dxa"/>
            <w:vAlign w:val="bottom"/>
            <w:tcBorders>
              <w:right w:val="single" w:sz="8" w:color="CFF0FC"/>
            </w:tcBorders>
            <w:shd w:val="clear" w:color="auto" w:fill="CFF0FC"/>
          </w:tcPr>
          <w:p>
            <w:pPr>
              <w:spacing w:after="0"/>
              <w:rPr>
                <w:sz w:val="15"/>
                <w:szCs w:val="15"/>
                <w:color w:val="auto"/>
              </w:rPr>
            </w:pPr>
          </w:p>
        </w:tc>
        <w:tc>
          <w:tcPr>
            <w:tcW w:w="10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3—LEGAL PROCEEDINGS</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FF"/>
            </w:tcBorders>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PART II</w:t>
            </w:r>
          </w:p>
        </w:tc>
        <w:tc>
          <w:tcPr>
            <w:tcW w:w="9900" w:type="dxa"/>
            <w:vAlign w:val="bottom"/>
            <w:tcBorders>
              <w:bottom w:val="single" w:sz="8" w:color="CFF0FC"/>
            </w:tcBorders>
            <w:gridSpan w:val="26"/>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5—MARKET FOR REGISTRANT’S COMMON EQUITY, RELATED STOCKHOLDER MATTERS AND ISSUER PURCHASES</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OF EQUITY SECURITIES</w:t>
            </w:r>
          </w:p>
        </w:tc>
        <w:tc>
          <w:tcPr>
            <w:tcW w:w="7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 w:type="dxa"/>
            <w:vAlign w:val="bottom"/>
            <w:tcBorders>
              <w:right w:val="single" w:sz="8" w:color="CFF0FC"/>
            </w:tcBorders>
            <w:shd w:val="clear" w:color="auto" w:fill="CFF0FC"/>
          </w:tcPr>
          <w:p>
            <w:pPr>
              <w:spacing w:after="0"/>
              <w:rPr>
                <w:sz w:val="15"/>
                <w:szCs w:val="15"/>
                <w:color w:val="auto"/>
              </w:rPr>
            </w:pPr>
          </w:p>
        </w:tc>
        <w:tc>
          <w:tcPr>
            <w:tcW w:w="10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6—RESERVED</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7—MANAGEMENT’S DISCUSSION AND ANALYSIS OF FINANCIAL CONDITION AND RESULTS OF OPERATIONS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 w:type="dxa"/>
            <w:vAlign w:val="bottom"/>
            <w:tcBorders>
              <w:right w:val="single" w:sz="8" w:color="CFF0FC"/>
            </w:tcBorders>
            <w:shd w:val="clear" w:color="auto" w:fill="CFF0FC"/>
          </w:tcPr>
          <w:p>
            <w:pPr>
              <w:spacing w:after="0"/>
              <w:rPr>
                <w:sz w:val="15"/>
                <w:szCs w:val="15"/>
                <w:color w:val="auto"/>
              </w:rPr>
            </w:pPr>
          </w:p>
        </w:tc>
        <w:tc>
          <w:tcPr>
            <w:tcW w:w="10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7A—QUANTITATIVE AND QUALITATIVE DISCLOSURES ABOUT MARKET RISK</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112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1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8—FINANCIAL STATEMENTS AND SUPPLEMENTARY DATA</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Borders>
              <w:right w:val="single" w:sz="8" w:color="CFF0FC"/>
            </w:tcBorders>
            <w:shd w:val="clear" w:color="auto" w:fill="CFF0FC"/>
          </w:tcPr>
          <w:p>
            <w:pPr>
              <w:spacing w:after="0"/>
              <w:rPr>
                <w:sz w:val="15"/>
                <w:szCs w:val="15"/>
                <w:color w:val="auto"/>
              </w:rPr>
            </w:pPr>
          </w:p>
        </w:tc>
        <w:tc>
          <w:tcPr>
            <w:tcW w:w="10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9—CHANGES IN AND DISAGREEMENTS WITH ACCOUNTANTS ON ACCOUNTING AND FINANCIAL DISCLOSURE</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112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1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660" w:type="dxa"/>
            <w:vAlign w:val="bottom"/>
            <w:tcBorders>
              <w:top w:val="single" w:sz="8" w:color="0000FF"/>
            </w:tcBorders>
            <w:shd w:val="clear" w:color="auto" w:fill="CFF0FC"/>
          </w:tcPr>
          <w:p>
            <w:pPr>
              <w:spacing w:after="0" w:line="20" w:lineRule="exact"/>
              <w:rPr>
                <w:sz w:val="1"/>
                <w:szCs w:val="1"/>
                <w:color w:val="auto"/>
              </w:rPr>
            </w:pPr>
          </w:p>
        </w:tc>
        <w:tc>
          <w:tcPr>
            <w:tcW w:w="11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9A—CONTROLS AND PROCEDURES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 w:type="dxa"/>
            <w:vAlign w:val="bottom"/>
            <w:tcBorders>
              <w:right w:val="single" w:sz="8" w:color="CFF0FC"/>
            </w:tcBorders>
            <w:shd w:val="clear" w:color="auto" w:fill="CFF0FC"/>
          </w:tcPr>
          <w:p>
            <w:pPr>
              <w:spacing w:after="0"/>
              <w:rPr>
                <w:sz w:val="15"/>
                <w:szCs w:val="15"/>
                <w:color w:val="auto"/>
              </w:rPr>
            </w:pPr>
          </w:p>
        </w:tc>
        <w:tc>
          <w:tcPr>
            <w:tcW w:w="10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9B—OTHER INFORMATION</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PART III</w:t>
            </w:r>
          </w:p>
        </w:tc>
        <w:tc>
          <w:tcPr>
            <w:tcW w:w="9840" w:type="dxa"/>
            <w:vAlign w:val="bottom"/>
            <w:tcBorders>
              <w:bottom w:val="single" w:sz="8" w:color="CFF0FC"/>
            </w:tcBorders>
            <w:gridSpan w:val="25"/>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10—DIRECTORS, EXECUTIVE OFFICERS AND CORPORATE GOVERNANCE</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Borders>
              <w:right w:val="single" w:sz="8" w:color="CFF0FC"/>
            </w:tcBorders>
            <w:shd w:val="clear" w:color="auto" w:fill="CFF0FC"/>
          </w:tcPr>
          <w:p>
            <w:pPr>
              <w:spacing w:after="0"/>
              <w:rPr>
                <w:sz w:val="15"/>
                <w:szCs w:val="15"/>
                <w:color w:val="auto"/>
              </w:rPr>
            </w:pPr>
          </w:p>
        </w:tc>
        <w:tc>
          <w:tcPr>
            <w:tcW w:w="10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11—EXECUTIVE COMPENSATION</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12—SECURITY OWNERSHIP OF CERTAIN BENEFICIAL OWNERS AND MANAGEMENT AND RELATED STOCKHOLDER</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gridSpan w:val="8"/>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MATTERS</w:t>
            </w:r>
          </w:p>
        </w:tc>
        <w:tc>
          <w:tcPr>
            <w:tcW w:w="7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Borders>
              <w:right w:val="single" w:sz="8" w:color="CFF0FC"/>
            </w:tcBorders>
            <w:shd w:val="clear" w:color="auto" w:fill="CFF0FC"/>
          </w:tcPr>
          <w:p>
            <w:pPr>
              <w:spacing w:after="0"/>
              <w:rPr>
                <w:sz w:val="15"/>
                <w:szCs w:val="15"/>
                <w:color w:val="auto"/>
              </w:rPr>
            </w:pPr>
          </w:p>
        </w:tc>
        <w:tc>
          <w:tcPr>
            <w:tcW w:w="10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13—CERTAIN RELATIONSHIPS AND RELATED TRANSACTIONS, AND DIRECTOR INDEPENDENCE</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112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116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860" w:type="dxa"/>
            <w:vAlign w:val="bottom"/>
            <w:tcBorders>
              <w:top w:val="single" w:sz="8" w:color="0000FF"/>
            </w:tcBorders>
            <w:shd w:val="clear" w:color="auto" w:fill="CFF0FC"/>
          </w:tcPr>
          <w:p>
            <w:pPr>
              <w:spacing w:after="0" w:line="20" w:lineRule="exact"/>
              <w:rPr>
                <w:sz w:val="1"/>
                <w:szCs w:val="1"/>
                <w:color w:val="auto"/>
              </w:rPr>
            </w:pPr>
          </w:p>
        </w:tc>
        <w:tc>
          <w:tcPr>
            <w:tcW w:w="660" w:type="dxa"/>
            <w:vAlign w:val="bottom"/>
            <w:tcBorders>
              <w:top w:val="single" w:sz="8" w:color="0000FF"/>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14—PRINCIPAL ACCOUNTANT FEES AND SERVICES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40" w:type="dxa"/>
            <w:vAlign w:val="bottom"/>
            <w:gridSpan w:val="2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PART IV</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0000FF"/>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10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ITEM 15—EXHIBIT AND FINANCIAL STATEMENT SCHEDULES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right w:val="single" w:sz="8" w:color="CFF0FC"/>
            </w:tcBorders>
            <w:shd w:val="clear" w:color="auto" w:fill="CFF0FC"/>
          </w:tcPr>
          <w:p>
            <w:pPr>
              <w:spacing w:after="0"/>
              <w:rPr>
                <w:sz w:val="17"/>
                <w:szCs w:val="17"/>
                <w:color w:val="auto"/>
              </w:rPr>
            </w:pPr>
          </w:p>
        </w:tc>
        <w:tc>
          <w:tcPr>
            <w:tcW w:w="10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16—FORM 10-K SUMMARY</w:t>
            </w:r>
          </w:p>
        </w:tc>
        <w:tc>
          <w:tcPr>
            <w:tcW w:w="7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240" w:type="dxa"/>
            <w:vAlign w:val="bottom"/>
            <w:tcBorders>
              <w:top w:val="single" w:sz="8" w:color="CFF0FC"/>
            </w:tcBorders>
          </w:tcPr>
          <w:p>
            <w:pPr>
              <w:spacing w:after="0"/>
              <w:rPr>
                <w:sz w:val="24"/>
                <w:szCs w:val="24"/>
                <w:color w:val="auto"/>
              </w:rPr>
            </w:pPr>
          </w:p>
        </w:tc>
        <w:tc>
          <w:tcPr>
            <w:tcW w:w="2740" w:type="dxa"/>
            <w:vAlign w:val="bottom"/>
            <w:tcBorders>
              <w:top w:val="single" w:sz="8" w:color="0000FF"/>
            </w:tcBorders>
            <w:gridSpan w:val="12"/>
          </w:tcPr>
          <w:p>
            <w:pPr>
              <w:spacing w:after="0"/>
              <w:rPr>
                <w:sz w:val="24"/>
                <w:szCs w:val="24"/>
                <w:color w:val="auto"/>
              </w:rPr>
            </w:pPr>
          </w:p>
        </w:tc>
        <w:tc>
          <w:tcPr>
            <w:tcW w:w="2760" w:type="dxa"/>
            <w:vAlign w:val="bottom"/>
            <w:tcBorders>
              <w:top w:val="single" w:sz="8" w:color="CFF0FC"/>
            </w:tcBorders>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various forward-looking statements within the meaning of Section 27A of the Securities Act of 1933, as amended (the “Securities Act”) and Section 21E of the Securities Exchange Act of 1934, as amended (the “Exchange Act”), which represent our expectations or beliefs concerning future events. Forward-looking statements include statements that are predictive in nature, which depend upon or refer to future events or conditions, and/or which include words such as “believes,” “plans,” “intends,” “anticipates,” “estimates,” “expects,” “may,” “will” or similar expressions. In addition, any statements concerning future financial performance, ongoing strategies or prospects, and possible future actions, including any potential strategic transaction involving us, which may be provided by our management, are also forward-looking statements. These statements are not guarantees of future performance, and we undertake no obligation to publicly update any forward-looking statements, whether as a result of new information, future events, or otherwise, except as required by law.</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projections about future events, actual events and results may differ materially from those expressed or forecasted in forward-looking statements due to a number of factors. You should understand that the following important factors, in addition to those discussed in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Item 1A of Part I of this Annual Report on Form 10-K and in any of our filings with the U.S. Securities and Exchange Commission (the “SEC”) pursuant to Sections 13(a), 13(c), 14 or 15(d) of the Exchange Act, could affect our stock price or future results and could cause those results to differ materially from those expressed in such forward-looking statements:</w:t>
      </w:r>
    </w:p>
    <w:p>
      <w:pPr>
        <w:spacing w:after="0" w:line="143" w:lineRule="exact"/>
        <w:rPr>
          <w:sz w:val="20"/>
          <w:szCs w:val="20"/>
          <w:color w:val="auto"/>
        </w:rPr>
      </w:pPr>
    </w:p>
    <w:p>
      <w:pPr>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ultimately commercialize our current product candidates, and any product candidate which we may develop or in-license in the future;</w:t>
      </w: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completion of clinical testing, as well as the analysis and reporting of results from such clinical testing;</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our partners’ abilities, and third parties’ abilities to protect and assert intellectual property rights;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nonclinical and clinical studies of our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obtain regulatory approval of our product candidates and any delays in such regulatory review;</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any collaborations we may enter into for our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effective sales and marketing infrastructure;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 candidates that could delay or prevent commercialization;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and adverse events;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associated with hazardous materials;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policies;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manufacturers and clinical research organizations (“CROs”);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licensing or other arrangements;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and outcomes of potential litigation;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obligations under intellectual property licenses with third parties;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personnel, including our executive team, advisors and members of our Board of Directors;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uncertainties, including in the Middle East and the Russian invasion of and war against the country of Ukraine.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represent our views as of the date such statements are made. These forward-looking statements should not be relied upon as representing our views as of any date subsequent to the date such statements are made.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in this Annual Report on Form 10-K to the “Company,” “Tenax”, “we”, “our” and “us” means Tenax Therapeutics, Inc.</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and uncertainties that make an investment in us speculative and risky. Below we summarize what we believe are the principal risk factors, but these are not the only risks we face, and you should carefully review and consider the full discussion of our risk factors in the section titled “Risk Factors”, together with the other information in this Annual Report on Form 10-K. If any of the following risks materializes (or if any of those listed elsewhere in this Annual Report on Form 10-K materialize),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Operations</w:t>
      </w:r>
    </w:p>
    <w:p>
      <w:pPr>
        <w:spacing w:after="0" w:line="187" w:lineRule="exact"/>
        <w:rPr>
          <w:sz w:val="20"/>
          <w:szCs w:val="20"/>
          <w:color w:val="auto"/>
        </w:rPr>
      </w:pPr>
    </w:p>
    <w:p>
      <w:pPr>
        <w:ind w:left="760" w:right="2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limited in the number of products we can simultaneously pursue and therefore our survival depends on our success with a small number of product opportunities, and in particular, oral levosimendan as our prioritized product candidate.</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approved drug products for sale, and we cannot guarantee that we will ever have marketable drug products.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enrollment and completion of clinical testing could result in increased costs to us and delay or limit our ability to obtain regulatory approval of our product candidates.</w:t>
      </w:r>
    </w:p>
    <w:p>
      <w:pPr>
        <w:ind w:left="760" w:right="2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conducting two Phase 3 clinical trials, LEVEL and LEVEL-2 for oral levosimendan, which are expensive and time consuming, and the outcomes of the clinical trials are uncertain.</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accept our products.</w:t>
      </w:r>
    </w:p>
    <w:p>
      <w:pPr>
        <w:spacing w:after="0" w:line="9"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Nonfinal results from our clinical trials announced or published from time to time on an interim, top-line, or preliminary basis, and conclusions that may be drawn from such results, may change as more patient data or analysis of this data become available, and these results are subject to audit and verification procedures that could result in material changes in the final data. Similarly, discrete observations during clinical trials may not reflect the general response to the products that will be revealed at the conclusion of the clinical trials or in future, widespread use of the product once marketed.</w:t>
      </w:r>
    </w:p>
    <w:p>
      <w:pPr>
        <w:spacing w:after="0" w:line="1" w:lineRule="exact"/>
        <w:rPr>
          <w:rFonts w:ascii="Times New Roman" w:cs="Times New Roman" w:eastAsia="Times New Roman" w:hAnsi="Times New Roman"/>
          <w:sz w:val="18"/>
          <w:szCs w:val="18"/>
          <w:color w:val="auto"/>
        </w:rPr>
      </w:pPr>
    </w:p>
    <w:p>
      <w:pPr>
        <w:ind w:left="760" w:right="20" w:hanging="378"/>
        <w:spacing w:after="0" w:line="26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Financial Position and Need for Additional Capital</w:t>
      </w:r>
    </w:p>
    <w:p>
      <w:pPr>
        <w:spacing w:after="0" w:line="227" w:lineRule="exact"/>
        <w:rPr>
          <w:sz w:val="20"/>
          <w:szCs w:val="20"/>
          <w:color w:val="auto"/>
        </w:rPr>
      </w:pPr>
    </w:p>
    <w:p>
      <w:pPr>
        <w:jc w:val="both"/>
        <w:ind w:left="760" w:hanging="378"/>
        <w:spacing w:after="0" w:line="257"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further develop, file marketing authorization applications, and if approved, commercialize our product candidates, including to complete the open label extension stage of our ongoing Phase 3 LEVEL and LEVEL-2 trials of levosimendan; as well as to initiate or complete any future imatinib Phase 3 trial.</w:t>
      </w:r>
    </w:p>
    <w:p>
      <w:pPr>
        <w:spacing w:after="0" w:line="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this necessary capital when needed on acceptable terms, or at all, or execute on an alternative strategic path, could force us to delay, limit, reduce or terminate our clinical trials, product development and marketing efforts, and business operations.</w:t>
      </w:r>
    </w:p>
    <w:p>
      <w:pPr>
        <w:ind w:left="7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make milestone and royalty payments to the licensor of the levosimendan intellectual property in connection with the development and commercialization of levosimendan, which could adversely affect the profitability of levosimendan, if approved.</w:t>
      </w:r>
    </w:p>
    <w:p>
      <w:pPr>
        <w:ind w:left="760" w:right="20" w:hanging="378"/>
        <w:spacing w:after="0" w:line="26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a number of factors to cause our operating results to fluctuate on a quarterly and annual basis, which may make it difficult to predict our future performance.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our inception, expect to continue to incur losses in the foreseeable future, and may never become profitable.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Industry</w:t>
      </w:r>
    </w:p>
    <w:p>
      <w:pPr>
        <w:spacing w:after="0" w:line="200"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might render our product candidates noncompetitive or obsolete.</w:t>
      </w:r>
    </w:p>
    <w:p>
      <w:pPr>
        <w:spacing w:after="0" w:line="27"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are, and will continue to be, subject to extensive government regulation, which is difficult to predict, expensive and time consuming, and we will not be able to sell our products without regulatory approval.</w:t>
      </w:r>
    </w:p>
    <w:p>
      <w:pPr>
        <w:ind w:left="76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all of the anticipated market exclusivity benefits of imatinib’s orphan drug designation, if we prioritize imatinib’s development in the future.</w:t>
      </w:r>
    </w:p>
    <w:p>
      <w:pPr>
        <w:ind w:left="760" w:right="2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after products are commercialized, we would expect to spend considerable time and money complying with federal, state, and foreign laws and regulations governing their sale, and, if we are unable to fully comply with such laws and regulations, we could face substantial penalties.</w:t>
      </w:r>
    </w:p>
    <w:p>
      <w:pPr>
        <w:ind w:left="760" w:right="2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uncertainty relating to healthcare reform measures and reimbursement policies that, if not favorable to our products, could hinder or prevent our products’ commercial success, if any of our product candidates are approved.</w:t>
      </w:r>
    </w:p>
    <w:p>
      <w:pPr>
        <w:ind w:left="76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outside the United States tend to impose strict price controls and reimbursement approval policies, which may adversely affect our prospects for generating revenue outside the United States.</w:t>
      </w:r>
    </w:p>
    <w:p>
      <w:pPr>
        <w:ind w:left="760" w:right="2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limit commercialization of any products that we may develop.</w:t>
      </w: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computer system failures, cyber-attacks or deficiencies in our cybersecurity.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Dependence on Third Parties</w:t>
      </w:r>
    </w:p>
    <w:p>
      <w:pPr>
        <w:spacing w:after="0" w:line="187" w:lineRule="exact"/>
        <w:rPr>
          <w:sz w:val="20"/>
          <w:szCs w:val="20"/>
          <w:color w:val="auto"/>
        </w:rPr>
      </w:pPr>
    </w:p>
    <w:p>
      <w:pPr>
        <w:jc w:val="both"/>
        <w:ind w:left="760" w:hanging="378"/>
        <w:spacing w:after="0" w:line="25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relied on and we will continue to rely on third parties substantially to conduct our nonclinical testing and clinical studies and other aspects of our development programs. If those third parties do not satisfactorily perform their contractual obligations or meet anticipated deadlines, the development of our product candidates could be adversely affected.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formulate and manufacture our products.</w:t>
      </w:r>
    </w:p>
    <w:p>
      <w:pPr>
        <w:spacing w:after="0" w:line="9"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senior management and key scientific and operational personnel, we may be unable to successfully develop and commercialize our product candidates.</w:t>
      </w:r>
    </w:p>
    <w:p>
      <w:pPr>
        <w:ind w:left="760" w:hanging="378"/>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need to increase the size of our organization to further develop our product candidates, and we may experience difficulties in managing growth.</w:t>
      </w:r>
    </w:p>
    <w:p>
      <w:pPr>
        <w:ind w:left="760" w:hanging="378"/>
        <w:spacing w:after="0" w:line="26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very little marketing capabilities and no sales organization. If we are unable to establish sales and marketing capabilities on our own or through third parties, we will be unable to successfully commercialize our products, if approved, or generate product revenue.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Intellectual Property</w:t>
      </w:r>
    </w:p>
    <w:p>
      <w:pPr>
        <w:spacing w:after="0" w:line="187" w:lineRule="exact"/>
        <w:rPr>
          <w:sz w:val="20"/>
          <w:szCs w:val="20"/>
          <w:color w:val="auto"/>
        </w:rPr>
      </w:pPr>
    </w:p>
    <w:p>
      <w:pPr>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in part on obtaining and maintaining effective patent and other intellectual property protection for our product candidates and proprietary technology.</w:t>
      </w:r>
    </w:p>
    <w:p>
      <w:pPr>
        <w:ind w:left="76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confidentiality agreements that, if breached, may be difficult to enforce and could have a material adverse effect on our business and competitive position.</w:t>
      </w:r>
    </w:p>
    <w:p>
      <w:pPr>
        <w:ind w:left="76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 and we may be unable to protect our rights to, or use, our technology.</w:t>
      </w: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current law, we may not be able to enforce all employees’ covenants not to compete.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infringe or be alleged to infringe intellectual property rights of third parties.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Owning Our Common Stock</w:t>
      </w:r>
    </w:p>
    <w:p>
      <w:pPr>
        <w:spacing w:after="0" w:line="200"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has been volatile, and may continue to be volatile, which may subject us to securities class action litigation in the future.</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may experience dilution of their ownership interests because of the future issuance of additional shares of our common stock or securities convertible into common stock.</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right="20" w:hanging="378"/>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corporate charter documents and under Delaware law could make an acquisition of us more difficult, which could discourage takeover attempts and lead to management entrenchment, and the market price of our common stock may be lower as a result.</w:t>
      </w:r>
    </w:p>
    <w:p>
      <w:pPr>
        <w:ind w:left="76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an exclusive forum provision for certain disputes, which could limit our stockholders’ ability to obtain a favorable judicial forum for disputes with us or our directors, officers, employees, or agents.</w:t>
      </w:r>
    </w:p>
    <w:p>
      <w:pPr>
        <w:ind w:left="76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cash dividends in the past and do not expect to pay dividends in the future. Any return on investment may be limited to the value of our common stock.</w:t>
      </w:r>
    </w:p>
    <w:p>
      <w:pPr>
        <w:ind w:left="760" w:hanging="378"/>
        <w:spacing w:after="0" w:line="26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to offset future taxable income may be subject to certain limitations.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Tenax Therapeutics is a Phase 3, development-stage pharmaceutical company using clinical insights to develop novel cardiopulmonary therapies. We employ a clinician-driven drug development approach, led by key opinion leaders and heart failure experts and informed by their clinical insights to precisely target disease pathophysiology. We are currently actively conducting the LEVEL and LEVEL-2 clinical trials to evaluate levosimendan as our prioritized product candidate and have deprioritized a Phase 3 clinical trial of imatinib, two drugs supported by promising evidence that they may significantly improve the lives of patients with pulmonary hypertension. Importantly, both levosimendan and imatinib have already been approved in other indications and prescribed around the world for more than 20 years, and we believe their mechanisms of action are uniquely suitable to target and treat pulmonary hypertension. We believe this derisked approach of using already-approved drugs that provide well-established safety profiles from millions of patients, combined with a development path led by preeminent cardiovascular and pulmonary hypertension experts, puts us in a strong position to deliver breakthrough cardiopulmonary therapies designed to improve patients’ functioning and quality of life.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2025, we closed a private placement financing (the “March 2025 Offering”) raising gross proceeds of $25.0 million. We intend to use the net proceeds from the March 2025 Offering, in addition to the approximately $100.0 million raised in August 2024, to advance our Phase 3 oral levosimendan program. Specifically, we plan to complete our ongoing Phase 3 LEVEL study of TNX-103 in pulmonary hypertension in heart failure with preserved ejection fraction (“PH-HFpEF”). We also plan to advance our second global Phase 3 study, LEVEL-2, which was initiated in December 2025. Following completion of the two Phase 3 levosimendan trials, we intend to submit marketing authorization applications. We also plan to submit an application for imatinib following a single Phase 3 trial, when appropriate.</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with the commencement of our focus on developing and ultimately commercializing levosimendan, we changed the Company name to Tenax Therapeutics,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business strategy are outlined below.</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Efficiently conduct clinical development to establish clinical proof of principle in new indications, refine dosage levels and dosing strategies, conduct other required clinical and nonclinical testing as U.S. Federal Drug Administration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FDA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 and other regulators may require, and continue Phase 3 testing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of oral levosimendan, as our prioritized product candidate.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Levosimendan and imatinib have already been approved and prescribed in other indications in many countries around the world. We are conducting clinical development with the intent to establish proof of beneficial activity in cardiopulmonary diseases in which these therapeutics would be expected to provide benefit to patients with diseases for which either no pharmaceutical therapies are approved at all, or in the case of pulmonary arterial hypertension, where numerous, expensive therapies generally offer a modest reduction of symptoms. Our focus is primarily on designing and executing formulation and dosing regimen improvements, protecting these innovations with patents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forms of exclusivity, and employing innovative clinical trial science to establish a robust foundation for subsequent development, product approval, and commercialization. We intend to submit marketing authorization applications following the second Phase 3 trial of levosimendan, which we commenced in December 2025, as our prioritized drug candidate.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preclinical and clinical testing organizations to help expedite development, and continue expanding into complementary areas when opportunities arise through our development, research, and discoveries. We also intend to continue outsourcing to clinical research organizations, and seeking and acting upon the advice of preeminent scientists focused on cardiovascular and pulmonary drug development, when designing and executing our research.</w:t>
      </w:r>
    </w:p>
    <w:p>
      <w:pPr>
        <w:spacing w:after="0" w:line="12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Efficiently explore new high-potential therapeutic applications, in particular where expedited regulatory pathways are available, leveraging third-party research collaborations and our results from related areas.</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Levosimendan has shown promise in multiple disease areas during its development and in the more than two decades following its approval. Our own Phase 2 study and open-label extension has demonstrated that levosimendan’s property of relaxing the venous circulation, a formerly under-appreciated mechanism of action of levosimendan, brings durable improvements in exercise capacity and quality of life, as well as other clinical assessments, in patients with PH-HFpEF. The FDA has not approved a therapy for this disease. We are committed to exploring potential clinical indications in which our therapies may achieve best-in-class profile, demonstrate novelty, and where we can address significant unmet medical needs and maintain market exclusivity.</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these factors will support approval by the FDA of this product candidate based on positive Phase 3 data. Through our agreement with our licensor, Orion Corporation, we have access to a library of ongoing and completed trials and research projects, including certain documentation, which we believe, in combination with positive Phase 3 data we hope to generate in at least one indication, will support FDA approval of levosimendan. In order to achieve our objective of developing this medicine for new groups of patients, we have established collaborative research relationships with investigators from leading research and clinical institutions, and our strategic partners. These collaborative relationships have enabled us to explore where our product candidate may have therapeutic relevance, gain the advice and support of key opinion leaders in medicine and clinical trial science, and invest in development efforts to exploit opportunities to advance beyond current clinical care.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Continue to expand our intellectual property portfolio.</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intellectual property, as more fully described below,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uses of our existing technologies, alone or in combination with existing therapies, as well as other product candidates.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Enter into licensing or product co-development arrangements.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develop a portfolio of high-quality product development opportunities, enhance our clinical development and commercialization capabilities, and increase our ability to generate value from our proprietary technologies.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continue to position ourselves to execute upon licensing and other partnering opportunities. To do so, we need to continue to maintain our strategic direction, manage and deploy our available cash efficiently, and strengthen our collaborative research development and partner relationships.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and Drug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PH-HFpEF</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Pulmonary hypertension in heart failure with preserved ejection fraction is the most common form of pulmonary hypertension in the world, according to the World Health Organization. Prevalence in the United States is currently estimated to be greater than 1.5 million, although PH-HFpEF may be significantly underdiagnosed because diagnosis typically requires catheterization. Currently, there are no therapies approved for treatment of PH-HFpEF. Even though many therapies have been studied in this indication in the past, none have proven to be effective in treating patients with the disease.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Levosimendan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Levosimendan is a novel, first-in-class K-ATP activator and calcium sensitizer developed for intravenous use in hospitalized patients with acutely decompensated heart failure. It has been granted market authorization in 60 countries for use in this indication, although it is not available in the United States or Canada. It is estimated that over 2.2 million patients have been treated worldwide with levosimendan to date.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countries where it is marketed, intravenous levosimendan is indicated for the short-term treatment of acutely decompensated heart failure in situations where conventional therapy is not sufficient, and in cases where inotropic support is considered appropriate. In acute decompensated heart failure patients, levosimendan has been shown to significantly improve patient symptoms as well as acute hemodynamic measurements such as increased cardiac output, reduced pulmonary capillary wedge pressure, reduced preload and reduced afterload.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therapeutic effects of levosimendan are mediated through:</w:t>
      </w:r>
    </w:p>
    <w:p>
      <w:pPr>
        <w:spacing w:after="0" w:line="15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potassium-ATP channels in the vasculature smooth muscle, resulting in a vasodilatory effect on vascular beds;</w:t>
      </w:r>
    </w:p>
    <w:p>
      <w:pPr>
        <w:spacing w:after="0" w:line="14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cardiac contractility by calcium sensitization of troponin C, resulting in a positive inotropic effect which is not associated with substantial increases in oxygen demand; and</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mitochondrial potassium channels in cardiomyocytes, resulting in a cardioprotective effect.</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Several studies have demonstrated that levosimendan protects the heart and improves tissue perfusion while minimizing tissue damage during cardiac surgery.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Importantly, several published studies provide evidence that levosimendan may improve right ventricular dysfunction, a common comorbidity in patients with pulmonary hypertension. While none of these studies focused specifically on PH-HFpEF patients, the general hemodynamic improvements in these published studies of various types of pulmonary hypertension provide a basis for further evaluation of potential clinical benefit in PH-HFpEF.</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 HELP Study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Insights from published studies led us to initiate the HELP Study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Hemodynamic Evaluation of Levosimendan in PH-HFpEF”), a Phase 2, double-blind, randomized, placebo-controlled clinical study to evaluate the efficacy and safety of intravenous levosimendan (“TNX-101”) in patients with PH-HFpEF. The primary endpoint of the HELP Study was change from baseline in pulmonary capillary wedge pressure (“PCWP”) during exercise, along with various other secondary endpoints. The first patient was enrolled in the study in March 2019, and the enrollment and dosing of 44 patients was completed in March 2020.</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HELP Study design was novel in several respects. To date, no other multi-center study has evaluated levosimendan in PH-HFpEF patients, or any patients with an ejection fraction greater than 40%. Instead, all previous levosimendan heart failure studies have enrolled patients with heart failure with reduced ejection fraction (“HFrEF”), thereby excluding HFpEF patients from the study. Also, the HELP Study utilized a unique 24-hour weekly infusion regimen of 0.075- 0.1µm/kg/min. Finally, the HELP Study employed a unique home-based intravenous infusion administration via an ambulatory infusion pump. This home-based weekly intravenous administration is unlike all other chronic dosing studies of levosimendan that have typically employed a shorter duration and less frequent infusion regimen administered in a hospital setting.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2020, we announced preliminary, top-line data from the HELP study. Hemodynamic measurements were made at rest (supine), after leg raise on a supine bicycle (a test of rapid increase in ventricular filling) and during exercise (25 watts for three minutes or until the patient tired). In the initial open-label phase, 84% of the patients responded to the degree required by the protocol in order to be randomized (including reduction of PCWP of at least 4mm Hg during exercise). In the randomized, placebo-controlled, double-blinded 6-week trial stage, levosimendan did not demonstrate a statistically significant reduction from baseline in PCWP during exercise, the primary endpoint. However, patients receiving levosimendan had statistically significant reductions from baseline at Week 6 in PCWP and PAP at rest or after leg raise (p&lt;0.05). Furthermore, the study demonstrated a statistically significant reduction in PCWP compared to baseline (p=&lt;0.0017) and placebo (p=&lt;0.0475) when the three patient measurements (i.e., at rest, with legs up, and during exercise) were combined.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Levosimendan also demonstrated a statistically significant improvement in the change in 6-minute walk distance (“6MWD”), a secondary end-point commonly used in many pulmonary hypertension registration trials. Clinical efficacy was confirmed by a statistically significant improvement in 6-minute walk distance of 29 meters (p=0.0329).</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incidence rate of adverse events or serious adverse events between the treatment and placebo groups was similar. In addition, there were no arrhythmias observed, atrial or ventricular, when comparing baseline electrocardiographic monitoring with 72-hour monitoring after five weeks of treatment.</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Detailed results from HELP were presented at the Heart Failure Society of America Virtual Annual Scientific Meeting in October 2020, at the American Heart Association Scientific Sessions in November 2020, and several subsequent scientific congresses.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Open-Label Extension Study of Oral Levosimendan (TNX-103)</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completion of the randomized treatment phase of the HELP Study, patients were able to enter an open-label extension study (“OLE”) to remain on intravenous therapy and to facilitate the continued evaluation of safety. Later, the HELP study protocol was modified to introduce a substudy within this open-label extension stage that allowed the investigators and Tenax to evaluate the safety and efficacy of an oral formulation of levosimendan (“TNX-103”). Patients who agreed to participate in the OLE substudy were safely transitioned from intravenous to oral formulation in late 2021, and the study was continued by the Company and our HELP investigators for over two years, concluding in the first half of 2023. Positive signs of efficacy were observed across all measured parameters during the OLE, which provided us with sufficient data to discuss further development of oral levosimendan with the FDA.</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transition of patients in the OLE from intravenous to oral formulation occurred safely. Improvements in all measures of efficacy taken in the transition from intravenous to 3mg daily oral levosimendan were observed.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these findings from the HELP Study and the OLE IV-to-oral substudy represent important discoveries related to the use of levosimendan in PH-HFpEF patients. Not only is HELP the first study to evaluate levosimendan in PH-HFpEF patients, but to our knowledge it is also the first study conducted of any therapy in PH-HFpEF patients to show such positive improvements in hemodynamics and 6MWD. Taken together, the encouraging data to date demonstrate that levosimendan’s property of relaxing the venous circulation, a formerly under-appreciated mechanism of action of levosimendan, brings durable improvements in exercise capacity and quality of life, as well as other clinical assessments, in patients with PH-HFpEF.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LEVEL and LEVEL-2 Studies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2020, we met with the FDA for an End-of-Phase 2 Meeting to discuss the Phase 2 clinical data and further development of levosimendan in PH-HFpEF. Subsequently, a path to registration was agreed upon involving two confirmatory Phase 3 studies, as well as a plan to replace weekly intravenous levosimendan dosing with daily oral levosimendan doses in the upcoming clinical trials. In February 2022, the FDA provided a written response advising that the safety database required for filing a New Drug Application (“NDA”) only needs to meet two of the three minimum International Clinical Harmonization (“ICH”) standards for a chronic medication in treating a non-life-threatening condition: 300 patients treated for 6 months, and 100 patients treated for 12 months. Subsequently, based on the below-described continuing dialogue with FDA, Tenax introduced into the LEVEL-2 certain study design features intended to ensure 100 patients assigned to levosimendan are treated for 12 months with their treatment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assignment double-blinded. Tenax plans to continue to discuss with the FDA and other global regulators this requirement and other requirements that will determine the size and timing of its completed Phase 3 program, throughout the execution of its Phase 3 program.</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13, 2023, we announced that the FDA had reviewed and cleared our Investigational New Drug (“IND”) application for oral levosimendan for the treatment PH-HFpEF, enabling us to proceed with the first of two Phase 3 studies.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2023, we initiated the LEVEL Study (LEVosimendan to Improve Exercise Limitation in PH-HFpEF Patients), an ongoing, registrational Phase 3, randomized, double-blind, placebo-controlled clinical trial to evaluate TNX-103 in patients with PH-HFpEF in the United States and Canada. The primary endpoint is change in 6MWD from baseline to Week 12.</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17, 2025, we announced that the prespecified Blinded Sample Size Re-estimation (BSSR) of the LEVEL Study, demonstrated the trial is powered at well over 90% to detect a 25 meter change in 6MWD, the primary endpoint. Based on these results, we confirmed the previously announced target enrollment number and expected enrollment completion timeframe as well as topline data timeframe.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17, 2025, we also announced that we initiated LEVEL-2 (NCT07288398), the second registrational study of TNX-103 in patients with PH-HFpEF. LEVEL-2 (NCT07288398) in a global, Phase 3, double-blind, randomized, placebo-controlled study of TNX-103. Tenax plans to enroll approximately 540 PH-HFpEF patients in LEVEL-2, randomized 2:1 to receive TNX-103 or placebo. The primary endpoint of the study is change from baseline in 6MWD at Week 26. Secondary endpoints include change from baseline in Kansas City Cardiomyopathy Questionnaire and New York Heart Association Functional Class.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LEVEL-2, like LEVEL, includes an OLE phase following the completion of the randomized phase to treat patients under protocol can receive open label levosimendan, allowing for additional weeks of safety observation that will contribute to the safety data on TNX-103.</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Patients who complete a total study duration of 104 weeks in both protocols can continue to receive oral levosimendan by subscribing in an open-level study to bridge them from LEVEL or LEVEL-2 to commercialized product. This protocol will begin to enroll subjects from LEVEL in the first half of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PAH</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Pulmonary arterial hypertension (“PAH”) is a type of pulmonary hypertension and a rare, progressive, and serious disease. Although several therapies are now available, none are cures for the disease and patients remain symptomatic with high morbidity and mortality. Importantly, all currently approved PAH therapies are pulmonary vasodilators, and there is no data supporting that these types of treatments halt progression or induce regression of the disease.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Imatinib</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Imatinib (marketed in the United States as Gleevec®) is a tyrosine kinase inhibitor. It is the first curative treatment for chronic myeloid leukemia (“CML”) and has significantly impacted patients since receiving FDA approval in 2001.</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imatinib has been shown in animal models of pulmonary hypertension to induce disease reversal by affecting platelet derived growth factor, which may be causal in the disease. Several case reports and small case series of patients with advanced PAH failing combination pulmonary vasodilator therapy that were treated with imatinib were subsequently published, showing dramatic effects on disease stabilization and improvements in symptom and function.</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results led Novartis to develop imatinib as a treatment of PAH. Novartis sponsored a Phase 2 proof-of-concept trial to evaluate the safety, tolerability, and efficacy of imatinib as an adjunct to PAH-specific therapy in patients with PAH. Novartis then sponsored a Phase 3 trial (IMPRES) which met its primary endpoint of significant increase in 6MWD (32 meters, p=0.002), an effect maintained in an extension study in patients remaining on imatinib. However, the data were confounded by a high rate of dropouts in the patients randomized to imatinib, attributed largely to gastric intolerance during the first eight weeks in the study. Consequently, Novartis chose to withdraw the IND application.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30, 2019, PHPrecisionMed Inc. (“PHPM”) met with the FDA to discuss a proposal for a Phase 3 trial of imatinib in PAH using change in 6MWD as the primary endpoint. PHPM received agreement for submission under the 505(b)(2) regulatory pathway, and thereafter received orphan designation. In July 2020, PHPM received agreement from the FDA for the development of a modified release formulation that would require only a small comparative pharmacokinetic and bioavailability study.</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2021, Tenax acquired PHPM and renamed the modified release formulation of imatinib TNX-201. Given our prioritization of the LEVEL trials, we have suspended plans to launch an imatinib Phase 3 trial.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combination of patent applications, patents, trade secrets, proprietary know-how, trademarks, and contractual provisions to protect our proprietary rights. We believe that to have a competitive advantage, we must develop and maintain the proprietary aspects of our technologies. Currently, we require our officers, employees, consultants, contractors, manufacturers, outside scientific collaborators and sponsored researchers, and other advisors to execute confidentiality agreements in connection with their employment, consulting, or advisory relationships with us, where appropriate. We also require employees, consultants, and advisors whom we expect to work on our products to agree to disclose and assign to us all inventions conceived during the workday, developed using our property, or which relate to our business.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filing, we have been granted four U.S. patents, and have been notified of the impending granting of a Canadian, a European, and a fifth U.S. patent, all related to product candidates and proprietary process, method and technology. Our issued levosimendan patents expire in 2039 and December 2040.</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January 4, 2022, we received a patent from the United States Patent and Trademark Office </w:t>
      </w:r>
      <w:r>
        <w:rPr>
          <w:rFonts w:ascii="Times New Roman" w:cs="Times New Roman" w:eastAsia="Times New Roman" w:hAnsi="Times New Roman"/>
          <w:sz w:val="18"/>
          <w:szCs w:val="18"/>
          <w:u w:val="single" w:color="auto"/>
          <w:color w:val="auto"/>
        </w:rPr>
        <w:t>(“USPTO”)</w:t>
      </w:r>
      <w:r>
        <w:rPr>
          <w:rFonts w:ascii="Times New Roman" w:cs="Times New Roman" w:eastAsia="Times New Roman" w:hAnsi="Times New Roman"/>
          <w:sz w:val="18"/>
          <w:szCs w:val="18"/>
          <w:color w:val="auto"/>
        </w:rPr>
        <w:t xml:space="preserve"> for the subcutaneous administration of levosimendan (TNX-102), whether through the prototype formulation we have developed in collaboration with a formulation development partner, or other subcutaneous formulations meeting certain broad characteristics defined in the patent. This patent expires in 2039. On March 21, 2023, we were granted a patent for the use of IV levosimendan in the treatment of PH-HFpEF patients. This patent expires in 2040. On July 19, 2023, we announced the USPTO issuance of another patent, this one including claims covering the use of oral levosimendan in patients with PH-HFpEF. This issued patent provides exclusivity through December 2040. On February 6, 2024, we announced the fourth levosimendan USPTO patent broadening IP protection for oral, I.V., and subcutaneous use of levosimendan and its active metabolites in PH-HFpEF, at all therapeutic doses and in combination with various cardiovascular drugs.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2025, we announced that the European Patent Office (EPO) notified the Company of its Intention to Grant a patent to us that will provide intellectual property protection for TNX-103 and other formulations of levosimendan, as well as its active metabolites, for use in PH-HFpEF.This new patent will have a patent term until December 2040, and it may qualify for European patent supplementary protection certificates (SPC) that would extend the period of patent protection beyond 2040. Similarly, in 2025, the Canadian government notified us that it will issue a patent for the use of oral levosimendan for the treatment of PH-HFpEF. We also have multiple patent applications pending in Europe and other countries for the treatment of PH-HFpEF, for oral and combination products.</w:t>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 trademark registration for Simdax® is owned by Orion Corporation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Orion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and is licensed to us for sales and marketing purposes for any intravenous pharmaceutical products containing levosimendan that are commercialized in the United States and Canada.</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in part depend on the ability to obtain and maintain patent and other proprietary rights in commercially important technology, inventions and know-how related to our business, the validity and enforceability of our patents, the continued confidentiality of our trade secrets and our ability to operate without infringing the valid and enforceable patents and proprietary rights of third parties. We also rely on continuing technological innovation and in-licensing opportunities to develop and maintain our proprietary position.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 and products.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risks related to our intellectual property are described under the heading “Risk Factors - Risks Related to Our Intellectual Property” included elsewhere in this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Simdax License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13, 2013, we acquired certain assets of Phyxius Pharma, Inc. (“Phyxius”) pursuant to an asset purchase agreement by and among the Company, Phyxius and the stockholders of Phyxius, dated October 21, 2013. Among these assets was a license with Orion Corporation (“Orion”) for the exclusive, sublicensable right to develop and commercialize pharmaceutical products containing levosimendan, 2.5 mg/ml concentrate for solution for infusion / 5ml vial in the United States and Canada (as amended from time to time, the “License”). On October 9, 2020 and January 25, 2022, we entered into amendments to the License to include in the scope of the License two new product formulations containing levosimendan, in capsule and solid dosage form (TNX-103) and a subcutaneously administered dosage form (TNX-102), subject to specified limitations (together, the “Product”).</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19, 2024, we entered into an amendment to the License providing global rights to oral and subcutaneous formulations of levosimendan used in the treatment of PH-HFpEF. The amendment also reduced the tiered royalties based on worldwide net sales of the product by the Company and its sublicensees, increased the License’s existing milestone payment due to Orion upon the grant of FDA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yet-to-be-negotiated supply agreement, for the commercial supply of oral levosimendan-based product. Pursuant to the License, the Company and Orion will agree to a new trademark when commercializing levosimendan in either of the dosage forms.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 2025, we entered into an amendment License providing exclusive worldwide rights to develop, commercialize, manufacture, and have manufactured any orally-administered pharmaceutical product containing levosimendan and, in addition to the Company’s existing rights to develop and commercialize subcutaneously administered products containing levosimendan, to manufacture or have manufactured such products. The amendment also calls for Orion to supply the Company with levosimendan to the extent reasonably necessary or useful to manufacture orally-administered products containing levosimendan for purposes of developing such products, and sets forth the terms for such supply, including the price of levosimendan ordered by the Company of low triple-digit thousands in Euros per kilogram, payment terms, and active pharmaceutical ingredient specifications.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not met any of the developmental milestones under the License and, accordingly, has not recorded any liability for the contingent payments due to Orion.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contract with third parties for the manufacturing of all of our product candidates and for pre-clinical and clinical studies and intend to continue to do so in the future. We do not own or operate any manufacturing facilities and we have no plans to build any owned clinical or commercial scale manufacturing capabilities. We believe that the use of third-party manufacturers and contract drug manufacturing organizations (“CMOs”) eliminates the need to directly invest in manufacturing facilities, equipment and additional employees.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the License, Orion is contractually our sole manufacturing source for TNX-103. We may engage other third-party suppliers and CMOs for the supply and manufacture of TNX-102, or other formulations we may develop.</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engaged various third-party suppliers and CMOs for the supply and manufacture of imatinib for potential future clinical trials and relied on such contractors for material contributing to TNX-201, for testing in our two completed Phase 1 trials.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further develop our product pipeline, we expect to consider secondary or back-up manufacturers for both active pharmaceutical ingredient and drug product manufacturing. To date, our third-party manufacturers have met the manufacturing requirements for our product candidates. We expect third-party manufacturers to be capable of providing sufficient quantities of our product candidates to meet anticipated full-scale commercial demands, but we have not assessed these capabilities beyond the supply of clinical materials to date.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alternate sources of manufacturing will be available to satisfy our clinical and future commercial requirements however, we cannot guarantee that identifying and establishing alternative relationships with such sources will be successful, cost effective, or completed on a timely basis without significant delay in the development or commercialization of our product candidates. All of the vendors we use are required to conduct their operations under current Good Manufacturing Practices, a regulatory standard for the manufacture of pharmaceuticals.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Many companies, including biotechnology, chemical, and pharmaceutical companies, are actively engaged in activities similar to ours, including research and development of drugs for the treatment of cardiovascular, pulmonary, and related medical conditions, both rare and common. Many of these companies have substantially greater financial and other resources, larger research and development staff and more extensive marketing and manufacturing organizations than we do. In addition, many of them have considerable experience in preclinical testing, clinical trials and other regulatory approval procedures. There are also academic institutions, governmental agencies and other research organizations that are conducting research in areas in which we are working. Our success will be based in part on our ability to identify, develop and manage a portfolio of product candidates that are safer and more effective than any competing products.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the concept of using TNX-101/102/103 (levosimendan) to treat patients with PH-HFpEF is novel, and the patent granted for this use in March 2023 demonstrates the USPTO’s concurrence. Because no therapies are approved to treat PH-HFpEF, we believe our ability to succeed in the market is primarily dependent on our ability to change the established practice paradigm, which could be difficult. Key factors on which we will compete with regards to the development and marketing of levosimendan for the treatment of pulmonary hypertension in these patients include, among others, the ability to obtain adequate efficacy data, safety data, cost effectiveness data and hospital formulary approval, marketing exclusivity, and sufficient distribution and handling. Furthermore, while we believe the mechanism of action of levosimendan is novel, other low-priced, generically available products possess some similar qualities, which could present competition in the form of therapeutic substitution. Other companies, including for example Astra Zeneca, Tectonic, and Merck, are currently conducting Phase 1 and Phase 2 clinical trials of potential new therapies to treat PH-HFpEF. Merck’s sotatercept is approved for PAH and is being tested in a subset of PH patients with HFpEF, with a Phase 2 data readout predicted in the first quarter of 2026. Merck executives have confirmed their intention to conduct a Phase 3 program testing this product in PH-HFpEF patients with combined pre-capillary and post-capillary PH, among other characteristics to be shared with the public in future. GSK recently acquired a private company with a sotatercept-like compound that may in future be developed in Group 2 PH. These companies may be successful in their efforts to gain market approval for a product in some of the same patients we aim to treat with levosimendan, whether before or after we could do so. Some classes of medical therapy such as SGLT-2 inhibitors and GLP-1 agonists are or may be approved for use in patients with heart failure, and may or may not be developed specifically for PH-HFpEF, creating competition in the future. Some approved products to treat common conditions such as diabetes and obesity are theorized, or proven, to provide benefit in patients with heart failure, and are sometimes used in these patients, including off-label. Products approved for PAH, including endothelin receptor agonists (ERAs) and phosphodiesterase type 5 (PDE5) inhibitors, even though trials have not shown benefit and have sometimes demonstrated harm, and manufacturers of which have not sought approval in patients with PH-HFpEF by filing an NDA or BLA, are nevertheless prescribed off-label by some physician who care for patients with</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PH associated with HFpEF, and who state in our own market research that they do so out of a desire to provide something helpful for patients with this disease.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TNX-201 (imatinib) has the potential to be the first disease-modifying treatment of PAH, a fatal orphan disease. Pulmonary vasodilators, the only approved medications for PAH, do not have disease modifying properties. We do not expect these products, other than one which is not widely used today, to be contraindicated in patients taking TNX-201, and our intended protocol design tests TNX-201 as an additional therapy to one or more of these vasodilators.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compete successfully, we must develop proprietary positions in patented drugs for therapeutic markets that have not been satisfactorily addressed by conventional research strategies. Our product candidates, even if successfully tested and developed, may not be adopted by physicians over other products and may not offer economically feasible alternatives to other therapies.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manufacture and distribution of levosimendan will require the approval of U.S. government authorities as well as those of other countries. In the United States, the FDA regulates medical products. The Federal Food, Drug and Cosmetic Act and the Public Health Service Act govern the testing, manufacture, safety, effectiveness, labeling, storage, record keeping, approval, advertising and promotion of our medical products. In addition to FDA regulations, we are also subject to other federal and state regulations, such as the Occupational Safety and Health Act and the Environmental Protection Act. Product development and approval within this regulatory framework requires a number of years and involves the expenditure of substantial funds.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Preclinical tests include evaluation of product chemistry and studies to assess the safety and effectiveness of the product and its formulation. The results of the preclinical tests are submitted to the FDA as part of the application. The goal of clinical testing is the demonstration in adequate and well-controlled studies of substantial evidence of the safety and effectiveness of the product in the setting of its intended use. The results of preclinical and clinical testing are submitted to the FDA from time to time throughout the trial process. In addition, before approval for the commercial sale of a product can be obtained, results of the preclinical and clinical studies must be submitted to the FDA. The testing and approval process requires substantial time and effort and there can be no assurance that any approval will be granted on a timely basis, if at all. The approval process is affected by a number of factors, including the severity of the condition being treated, the availability of alternative treatments and the risks and benefits demonstrated in clinical trials. Additional preclinical studies or clinical trials may be requested during the FDA review process and may delay product approval. After FDA approval for its initial indications, further clinical trials may be necessary to gain approval for the use of a product for additional indications. The FDA may also require post-marketing testing to monitor for adverse effects, which can involve significant expense.</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government regulations on our business are discussed under the heading “Risk Factors - Risks Relating to Our Industry” included elsewhere in this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assembled a high-quality team of clinical development managers and executives with significant experience in the biotechnology and pharmaceutical industries.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14 full-time employees and two part-time employees. In addition to our employees, we also rely on the service and support of outside consultants and advisors. None of our employees are represented by a union, and we believe relationships with our employees are good.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www.tenaxthera.com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i w:val="1"/>
          <w:iCs w:val="1"/>
          <w:color w:val="auto"/>
        </w:rPr>
        <w:t>http://investors.tenaxthera.com</w:t>
      </w:r>
      <w:r>
        <w:rPr>
          <w:rFonts w:ascii="Times New Roman" w:cs="Times New Roman" w:eastAsia="Times New Roman" w:hAnsi="Times New Roman"/>
          <w:sz w:val="18"/>
          <w:szCs w:val="18"/>
          <w:color w:val="auto"/>
        </w:rPr>
        <w:t>. Information on our website is not incorporated by reference herein. Copies of our annual reports on Form 10-K, quarterly reports on Form 10-Q, current reports on Form 8-K and our proxy statements for our meetings of stockholders, and any amendments to those reports, as well as Section 13 and 16 reports filed by our insiders, are available free of charge on our website as soon as reasonably practicable after we file the reports with, or furnish the reports to, the SEC. Our SEC filings are also publicly available on the SEC’s website located at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which contains reports, proxy and information statements, and other information regarding issuers that file electronically with the SEC.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financial condition and operating results may be affected by a number of factors, including but not limited to those described below. Any one or more of such factors could directly or indirectly cause our actual results of operations and financial condition to vary materially from our past or anticipated future results of operations and financial condition. The following information should be read in conjunction with Part II, Item 7, “Management’s Discussion and Analysis of Financial Condition and Results of Operations” and the accompanying financial statements and related notes in Part II, Item 8, “Financial Statements and Supplementary Data” of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Operations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limited in the number of products we can simultaneously pursue and therefore our survival depends on our success with a small number of product opportunities.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present we are focusing our resources on developing levosimendan for the treatment of PH-HFpEF, while imatinib for the treatment of PAH remains part of our portfolio. We intend to commit most of our resources to advancing levosimendan for regulatory approval for the treatment of pulmonary hypertension in patients with HFpEF. Depending on whether we raise additional funds in the future, as well as on decisions made by the USPTO, clinical trial results and other information revealed by competitors, and other factors, we will prioritize our funding and other resources accordingly. If as a consequence of the results of our planned Phase 3 trials for levosimendan, or the results of prior clinical trials performed using levosimendan or imatinib, we are unable to receive regulatory approval of one or both of our existing product candidates, then we may not have resources to pursue development of any other products and our business could terminate.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approved drug products for sale, and we cannot guarantee that we will ever have marketable drug products.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no approved drug products for sale and our business depends on the successful development and commercialization of our product candidates. The research, testing, manufacturing, labeling, approval, selling, marketing, and distribution of drug products are extensively regulated by the FDA and other regulatory authorities in the United States and other countries, with regulations differing from country to country. We are not permitted to market our product candidates in the United States until we receive approval of a New Drug Application (“NDA”) from the FDA for each product candidate. We have not submitted an NDA or received marketing approval for any of our product candidates. In addition, markets outside of the United States also have requirements for approval of drug candidates which we must comply with prior to marketing. Accordingly, we cannot guarantee that we will ever have marketable drug products.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developing new drugs and/or therapeutic products is inherently complex, unpredictable, time-consuming, expensive and uncertain. We must make long-term investments and commit significant resources before knowing whether our development programs will result in products that will receive regulatory approval and achieve market acceptance. Product candidates that appear to be promising at some or all stages of development may not receive approval or reach the market for reasons that may not be predictable based on results and data of the clinical program. Product candidates may be found ineffective or may cause harmful side effects during clinical trials, may take longer to progress through clinical trials than had been anticipated, may not be able to achieve the pre-defined clinical endpoints due to statistical anomalies even though clinical benefit may have been achieved, may fail to receive necessary regulatory approvals, may prove impracticable to manufacture in commercial quantities at reasonable cost and with acceptable quality, or may fail to achieve market acceptance. Even if we believe the preclinical or clinical data for our product candidates are favorable, such data may not be sufficient to support approval by the FDA and other regulatory authorities. Additionally, the FDA may require us to conduct additional preclinical studies or clinical trials for our product candidates either prior to or post-approval, or it may object to elements of our clinical development program.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enrollment and completion of clinical testing could result in increased costs to us and delay or limit our ability to obtain regulatory approval for our product candidates.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Delays in the enrollment and completion of clinical testing could significantly affect our ability to gain FDA approval of current product candidates, and to gain this approval in the timeline planned, and could significantly increase our future product development costs. The completion of clinical trials requires us to identify and maintain a sufficient number of trial sites, many of which might already be engaged in other clinical trial programs for the same indication as our product candidates, might be required to withdraw from our clinical trial as a result of changing standards of care, might suffer from staff shortages at the institutional or clinic level that impact their ability to enroll and treat patients under our protocols, or might become ineligible to participate in clinical studies. The enrollment and completion of clinical trials can be delayed for a variety of other reasons, including delays related to:</w:t>
      </w:r>
    </w:p>
    <w:p>
      <w:pPr>
        <w:spacing w:after="0" w:line="147" w:lineRule="exact"/>
        <w:rPr>
          <w:sz w:val="20"/>
          <w:szCs w:val="20"/>
          <w:color w:val="auto"/>
        </w:rPr>
      </w:pPr>
    </w:p>
    <w:p>
      <w:pPr>
        <w:ind w:left="76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prospective trial sites, the terms of which can be subject to extensive negotiation and may vary significantly among trial sites;</w:t>
      </w: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to conduct a clinical trial at numerous prospective sites;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clinical trials for a variety of reasons, including meeting the enrollment criteria for our study and competition from other clinical trial programs for the same indication as our product candidates;</w:t>
      </w: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supplying clinical trial material on a timely basis;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collecting, analyzing and reporting final data from the clinical trials.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clinical trial may be suspended or terminated by us, the FDA or other regulatory authorities due to a number of factors, including:</w:t>
      </w:r>
    </w:p>
    <w:p>
      <w:pPr>
        <w:spacing w:after="0" w:line="198"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regulatory authorities resulting in the imposition of a clinical hold;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any determination that a trial presents unacceptable health risks; and</w:t>
      </w:r>
    </w:p>
    <w:p>
      <w:pPr>
        <w:spacing w:after="0" w:line="9" w:lineRule="exact"/>
        <w:rPr>
          <w:rFonts w:ascii="Times New Roman" w:cs="Times New Roman" w:eastAsia="Times New Roman" w:hAnsi="Times New Roman"/>
          <w:sz w:val="18"/>
          <w:szCs w:val="18"/>
          <w:color w:val="auto"/>
        </w:rPr>
      </w:pPr>
    </w:p>
    <w:p>
      <w:pPr>
        <w:ind w:left="760" w:right="20" w:hanging="378"/>
        <w:spacing w:after="0" w:line="26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unforeseen costs due to enrollment delays, requirements to conduct additional trials and studies, and increased expenses associated with the services of our CROs and other third parties.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regulatory requirements and guidance may occur and we may need to amend clinical trial protocols to reflect these changes with appropriate regulatory authorities. Amendments may require us to resubmit our clinical trial protocols to IRBs for re-examination, which may impact the costs, design, timing or successful completion of a clinical trial. If we experience delays in the completion of, or if we terminate, our clinical trials, the commercial prospects for our product candidates will be harmed, and our ability to generate product revenues will be delayed. In addition, many of the factors that cause, or lead to, a delay in the commencement or completion of clinical trials may also ultimately lead to the denial of regulatory approval of a product candidate. Even if we are ultimately able to commercialize our product candidates, other therapies for the same or similar indications may have been introduced to the market and established a competitive advantage.</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two Phase 3 clinical trials, LEVEL and LEVEL-2 for oral levosimendan, which are expensive and time consuming, and the outcome of the clinical trials is uncertain.</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commit a substantial portion of our financial and business resources for the foreseeable future to completing the LEVEL and LEVEL-2 trials and advancing this product through to regulatory approval for use in PH-HFpEF, and potentially other indications. We may in the future commit resources to clinical trials for our other product candidates, including imatinib. All of these clinical trials and product testing efforts will be expensive and time consuming and the timing of the regulatory review process is uncertain. The applicable regulatory agencies may suspend clinical trials at any time if they believe that the subjects participating in such trials are being exposed to unacceptable health risks. We cannot assure you that we will be able to complete our clinical trials successfully or obtain FDA or other governmental or regulatory approval of our product candidates, or that such approval, if obtained, will not include limitations on the indicated uses for which our product candidates may be marketed. Our business, financial condition and results of operations are critically dependent on obtaining capital to advance our testing program and receiving FDA and other governmental and regulatory approvals of our products. A significant delay 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failure of our planned clinical trials or a failure to achieve these approvals would have a material adverse effect on us and could result in major business and financial setbacks.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may not accept our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139"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of our product candidates and alternative treatments, if any;</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 and the availability of third-party coverage and adequate reimbursement;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 if any;</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 or elsewhere;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manufacturing, marketing and distribution support;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Nonfinal results from our clinical trials announced or published from time to time on an interim, top-line, or preliminary basis, and conclusions that may be drawn from such results, may change as more patient data become available, and these results are subject to audit and verification procedures that could result in material changes in the final data.</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or reference interim, top-line, or preliminary results from our clinical trials, including from blinded or unblinded data. Interim or top-line results from clinical trials that we may complete are subject to the risk that one or more of the clinical outcome measurements may materially change as patient enrollment and treatment extends and more patient experience is observed. Top-line or preliminary results also remain subject to audit and verification procedures that may result in the final data being materially different from the data we previously published. As a result, interim, top-line and preliminary data should be viewed with caution until the final and complete data are available. Differences between interim, top-line or preliminary data and final data could significantly harm our business prospects and may cause the trading price of our common stock to fluctuate significantly.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Likewise, statements made by investigators, patients, or others participating in our clinical trials as to the effect or effects of therapy they may have observed, should not be relied upon as applicable generally to all patients with the disease, or all or most patients participating in the trials. Statements made on social media or in scientific discussions of an ongoing clinical trial should not be reviewed as company statements. Such observations, made by an individual who by design is unaware of a patient’s treatment assignment, or who is observing a patient’s reaction outside the setting of controlled study, e.g. in an open-label setting, may not be reliable as predictors of a population’s response. Such statements, while factual, should not be understood to be predictive of a larger population’s eventual response to the therapy once study data from all participants is analyzed.</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enter into collaborations with third parties to develop and commercialize future product candidates. Our dependence on future partners for development and commercialization of our product candidates would subject us to a number of risks, including the following: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6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partners may devote to the development or commercialization of our product candidates or to their marketing and distribution;</w:t>
      </w:r>
    </w:p>
    <w:p>
      <w:pPr>
        <w:ind w:left="76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ind w:left="76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partners that result in the delay or termination of the research, development or commercialization of our product candidates or that result in costly litigation or arbitration that diverts management’s attention and resources;</w:t>
      </w: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experience financial difficulties;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not properly maintain or defend our intellectual property rights, or may use our proprietary information, in such a way as to invite litigation that could jeopardize or invalidate our intellectual property rights or proprietary information or expose us to potential litigation;</w:t>
      </w:r>
    </w:p>
    <w:p>
      <w:pPr>
        <w:ind w:left="76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partner’s business strategy may adversely affect a partner’s willingness or ability to meet its obligations under any arrangement;</w:t>
      </w:r>
    </w:p>
    <w:p>
      <w:pPr>
        <w:ind w:left="76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could independently move forward with a competing product candidate developed either independently or in collaboration with others, including our competitors; and</w:t>
      </w:r>
    </w:p>
    <w:p>
      <w:pPr>
        <w:ind w:left="760" w:hanging="378"/>
        <w:spacing w:after="0" w:line="26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collaborations with our partners may be terminated or allowed to expire, which would delay the development and may increase the cost of developing our product candidates.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further develop, file marketing authorization applications, and if approved, commercialize our product candidates, including to complete the open label extension stage of our ongoing Phase 3 LEVEL and LEVEL-2 trials of levosimendan; as well as to initiate or complete any future imatinib Phase 3 trial. Failure to obtain this necessary capital when needed on acceptable terms, or at all, or execute on an alternative strategic path, could force us to delay, limit, reduce or terminate our clinical trials, product development efforts and business operations.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and establishing manufacturing and sales and marketing capabilities, is expensive. We expect our research and development expenses to continue to increase in connection with our ongoing activities, including the completion of the LEVEL and LEVEL-2 trials. In addition, our expenses could increase beyond expectations if applicable regulatory authorities, including the FDA, require that we perform studies additional to those we currently anticipate, in which case the timing of any potential product approval may be delayed.</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$97.6 million of cash and cash equivalents on hand and subsequent to year end, as of March 9, 2026 we have raised an additional $14.5 million of gross proceeds from the exercises of outstanding warrants and pre-funded warrants. We will need substantial additional capital in order to develop our product candidates, including to complete the LEVEL and LEVEL-2 trials, to complete the regulatory approval process and commercialization of levosimendan, and, potentially, imatinib, or any future product candidates. We continue to evaluate pursuing additional public or private equity offerings, debt financings or corporate collaboration and licensing arrangements. Such funding may not be available on favorable terms, if at all.</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extent that we raise additional funds by issuing equity securities, our stockholders may experience additional significant dilution; debt financing, if available, may involve restrictive covenants. To the extent that we raise additional funds through collaboration and licensing arrangements, it may be necessary to relinquish some rights to our technologies or our product candidates or to grant licenses on terms that may not be favorable to us. We may seek to access the public or private capital markets whenever conditions are favorable, even if we do not have an immediate need for additional capital at that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85"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trials and other research and development activities;</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investigator sites and patients who participate and the impact that factors such as the rate of patient recruitment, the standard deviation of treatment effect, and the number of patients who have events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8"/>
          <w:szCs w:val="18"/>
          <w:color w:val="auto"/>
        </w:rPr>
        <w:t>or withdraw from therapy, and evolving FDA and other regulator input and guidance, have on the expected timelines and the eventual required number of patients enrolled for each of our clinical programs;</w:t>
      </w: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licensing or other arrangements that we may establish;</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clinical and commercial-scale manufacturing activities;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sales, marketing and distribution capabilities for any product candidates for which we may receive regulatory approval.</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we are unable to obtain additional capital as needed or execute on an alternative strategic path, we may further delay, limit, reduce or terminate our current development efforts and business operations.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make milestone and royalty payments to the licensor of the levosimendan intellectual property in connection with the development and commercialization of levosimendan, which could adversely affect the profitability of levosimendan, if approved.</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our license agreement with Orion, we are required to pay to Orion tiered royalties based on worldwide net sales of the product by the Company and any sublicensees, a $10.0 million milestone payment upon the grant of FDA approval of a levosimendan-based product, a $5.0 milestone payment upon the grant of regulatory approval for a levosimendan-based product in Japan, as well as certain non-refundable commercialization milestone payments, aggregating to up to $45.0 million, contingent upon achievement of certain cumulative worldwide sales of the product by the Company. In the event that no regulatory approval for a product containing levosimendan has been granted in the United States on or before September 20, 2030, however, either party will have the right to terminate the license with immediate effect.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development and milestone obligations and royalties could impose substantial additional costs on us, divert resources from other aspects of the business, and adversely affect the overall profitability of levosimendan, if approved. We may need to obtain additional financing to satisfy these milestone and royalty payments, and cannot be sure that any additional funding, if needed, will be available on favorable terms, or at all.</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a number of factors to cause our operating results to fluctuate on a quarterly and annual basis, which may make it difficult to predict our future performance.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have varied significantly in the past and will continue to fluctuate from quarter-to-quarter and year-to-year in the future due to a variety of factors, many of which are beyond our control. Factors relating to our business that may contribute to these fluctuations include the following factors, among others:</w:t>
      </w:r>
    </w:p>
    <w:p>
      <w:pPr>
        <w:spacing w:after="0" w:line="351" w:lineRule="exact"/>
        <w:rPr>
          <w:sz w:val="20"/>
          <w:szCs w:val="20"/>
          <w:color w:val="auto"/>
        </w:rPr>
      </w:pPr>
    </w:p>
    <w:p>
      <w:pPr>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our current product candidates, and any product candidate which we may develop or in-license in the future;</w:t>
      </w:r>
    </w:p>
    <w:p>
      <w:pPr>
        <w:ind w:left="760" w:hanging="378"/>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of a trial, recruitment and initiation of sites, enrollment of patients, and completion of clinical testing, as well as the analysis and reporting of results from such clinical testing;</w:t>
      </w: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 if any;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clinical trials of our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money to complete the development and commercialization of our current or future product candidates and support our operations;</w:t>
      </w: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effective sales and marketing infrastructure;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or adverse events of our product candidates that could delay or prevent commercialization;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associated with hazardous materials;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policies;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third-party manufacturers and CROs;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licensing or other arrangements and risks related thereto;</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our partners’ abilities, and third parties’ abilities to protect and assert intellectual property rights;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and outcomes of potential litigation, including any product liability claims;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obligations under intellectual property licenses with third parties, including milestone payments and royalties;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personnel, including our executive team, advisors and members of our Board of Directors; and</w:t>
      </w:r>
    </w:p>
    <w:p>
      <w:pPr>
        <w:spacing w:after="0" w:line="9"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uncertainty in the global economy and financial markets in light of the possibility of pandemics, global financial and geopolitical uncertainties, including in the Middle East and the Russian invasion of and war against the country of Ukraine, and fluctuations in biotechnology investor sentiment.</w:t>
      </w:r>
    </w:p>
    <w:p>
      <w:pPr>
        <w:spacing w:after="0" w:line="1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since our inception, expect to continue to incur losses in the foreseeable future, and may never become profitable.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losses since inception. For the years ended December 31, 2025 and 2024, we incurred net operating losses of $56.4 million and $19.5 million, respectively. We have funded our operations since 2013 principally through the issuance of equity securities.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pulmonary hypertension and other potential indications, imatinib for PAH, as well as identifying and developing other potential product candidates, and as a result, we will need to generate significant net product sales, royalty and other revenues to achieve profitability.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might render our cardiovascular and pulmonary product candidates noncompetitive or obsolete.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Competition in the pharmaceutical industry in general and in our therapeutic areas is intense and characterized by extensive research efforts and rapid technological progress. Technological developments by competitors, regulatory approval for marketing competitive products, including potential generic or over-the-counter products, or superior marketing resources possessed by competitors could adversely affect the commercial potential of our cardiovascular and pulmonary disease product candidates and could have a material adverse effect on our future revenue and results of operations. We believe that there are numerous pharmaceutical and biotechnology companies, as well as academic research groups throughout the world, engaged in research and development efforts with respect to pharmaceutical products targeted at cardiovascular and pulmonary diseases and conditions addressed by our product pipeline. Developments by others might render our product pipeline obsolete or noncompetitive. Competitors might be able to complete the development and regulatory approval process sooner and, therefore, market their cardiovascular and pulmonary disease products earlier than we can.</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current competitors have significant financial, marketing and personnel resources and development capabilities. For example, many large, well-capitalized companies already offer cardiovascular and pulmonary products and services in the United States and Europe that target the indications for which our product candidates are being developed, or related indications. Currently, as an example, at least twelve vasodilators are marketed in the U.S. for use in patients with PAH, and sales teams from Janssen, Pfizer, Bayer, United Therapeutics, and other large companies with marketing and sales capabilities represent these products in the specialized care centers where the disease is treated. While there are no products currently marketed to treat PH-HFpEF, specifically, some products such as sotatercept and relaxins under development by Astra Zeneca and others are under development to treat this prevalent disease, and some products marketed for other conditions or for HFpEF alone, are used in these patients and could constitute competition at the patient, payor, or overall market level in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activities are and will continue to be subject to extensive government regulation, which is difficult to predict, expensive and time-consuming, and we will not be able to sell our products without regulatory approval.</w:t>
      </w:r>
    </w:p>
    <w:p>
      <w:pPr>
        <w:spacing w:after="0" w:line="1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development, marketing, and distribution of levosimendan and, potentially in the future, imatinib, are, and will continue to be, subject to extensive regulation, monitoring and approval by the FDA and other regulatory agencies. There are significant risks at each stage of 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approval stage</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product approval stage, we study and attempt to prove the safety and efficacy of our product candidate for its indicated uses. There are numerous problems that could arise during this stage, including:</w:t>
      </w:r>
    </w:p>
    <w:p>
      <w:pPr>
        <w:spacing w:after="0" w:line="135" w:lineRule="exact"/>
        <w:rPr>
          <w:sz w:val="20"/>
          <w:szCs w:val="20"/>
          <w:color w:val="auto"/>
        </w:rPr>
      </w:pPr>
    </w:p>
    <w:p>
      <w:pPr>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obtained from laboratory testing and clinical trials are susceptible to varying interpretations, which could delay, limit, or prevent FDA and other regulatory approvals;</w:t>
      </w: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could cause the FDA and other regulatory authorities to halt trials;</w:t>
      </w:r>
    </w:p>
    <w:p>
      <w:pPr>
        <w:spacing w:after="0" w:line="9"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FDA and other regulatory agencies could change policies and regulations that could result in delay and perhaps rejection of our products;</w:t>
      </w:r>
    </w:p>
    <w:p>
      <w:pPr>
        <w:ind w:left="76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FDA and other regulatory agencies can provide evolving input into the design of our clinical program, and input from different regulators may be challenging to reconcile within an ongoing development program;</w:t>
      </w:r>
    </w:p>
    <w:p>
      <w:pPr>
        <w:jc w:val="both"/>
        <w:ind w:left="76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review division staff and senior leadership within FDA and other regulatory agencies may reverse their policy or change the application of a policy to a given drug development program, resulting in faster or slower than expected approval, and this internal discussion may be time consuming and effect the Company’s approach to study or applying for approval of a product;</w:t>
      </w:r>
    </w:p>
    <w:p>
      <w:pPr>
        <w:spacing w:after="0" w:line="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prolonged government shutdown occurs, reductions in staffing at the FDA, or similar impacts on medical review functions within global regulators, it could significantly impact the ability of the FDA to timely review and process our regulatory submissions; and</w:t>
      </w:r>
    </w:p>
    <w:p>
      <w:pPr>
        <w:jc w:val="both"/>
        <w:ind w:left="760" w:hanging="378"/>
        <w:spacing w:after="0" w:line="255"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after extensive testing and clinical trials, and receiving agreements and reassurances from the FDA, EMA, and others, as to their future position on a dataset or result to be generated from a trial the design of which they have weighed in on, there is no assurance that regulatory approval will ever be obtained for any of our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Post-commercialization stage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Discovery of previously unknown problems with our products, or unanticipated problems with our manufacturing arrangements, even after FDA and other regulatory approvals of our products for commercial sale, may result in the imposition of significant restrictions, including withdrawal of the product from the market.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laws and regulations may also be enacted that could prevent or delay regulatory approval of our products, including laws or regulations relating to the price or cost-effectiveness of medical products. Any delay or failure to achieve regulatory approval of commercial sales of our products is likely to have a material adverse effect on our financial condition, results of operations and cash flows.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continue to review products even after they receive agency approval. If the FDA or another regulatory agency outside the United States approves one of our products, its manufacture and marketing will be subject to ongoing regulation, which includes compliance with current good manufacturing practices, adverse event reporting requirements and general prohibitions against promoting products for unapproved or “off-label” uses. We are also subject to inspection and market surveillance by the FDA for compliance with these and other requirements. Any enforcement action resulting from failure, even by inadvertence, to comply with these requirements could affect the manufacture and marketing of any approved products. In addition, the FDA or other regulatory agencies could withdraw a previously approved product from the market upon receipt of newly discovered information. The FDA or another regulatory agency could also require us to conduct additional, and potentially expensive, studies in areas outside our approved indicated uses.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all of the anticipated market exclusivity benefits of imatinib’s orphan drug designation, if we prioritize imatinib development in the future.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TNX-201, our proprietary formulation of imatinib mesylate, a kinase inhibitor, received Orphan Drug Designation from the FDA in the second quarter of 2020. Orphan Drug Designation may provide market exclusivity in the United States for seven years if (i) imatinib receives market approval before a competitor using a similar mechanism for the same indication, (ii) we are able to produce sufficient supply to meet demand in the marketplace, and (iii) another product with the same active ingredient is not subsequently deemed clinically superior.</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Obtaining an Orphan Drug Designation from the FDA may not effectively protect our product candidates from competition because different drugs can be approved for the same condition, and orphan drug exclusivity does not prevent the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nor regulatory review time of a drug and does not give the drug any advantage in the regulatory review or approval process. Furthermore, U.S. law and the application of law to the exclusivity of approved therapies for orphan diseases, has evolved, including with the Consolidated Appropriations Act of 2026, and this evolution may continue to evolve, impairing our ability to be assured of the same exclusivity and the resulting reimbursement for TNX-201 for its intended use.</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after products are commercialized, we would expect to spend considerable time and money complying with federal, state, and foreign laws and regulations governing their sale, and, if we are unable to fully comply with such laws and regulations, we could face substantial penalties.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 care providers, physicians and others would play a primary role in the recommendation and prescription of our clinical products. Our arrangements with third-party payers and customers may expose us to broadly applicable fraud and abuse and other health care laws and regulations that may constrain the business or financial arrangements and relationships through which we will market, sell and distribute our products. Applicable federal and state health care laws and regulations are expected to include, but not be limited to, the following:</w:t>
      </w:r>
    </w:p>
    <w:p>
      <w:pPr>
        <w:spacing w:after="0" w:line="153" w:lineRule="exact"/>
        <w:rPr>
          <w:sz w:val="20"/>
          <w:szCs w:val="20"/>
          <w:color w:val="auto"/>
        </w:rPr>
      </w:pPr>
    </w:p>
    <w:p>
      <w:pPr>
        <w:jc w:val="both"/>
        <w:ind w:left="760" w:hanging="378"/>
        <w:spacing w:after="0" w:line="257"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is a criminal statute that makes it a felony for individuals or entities knowingly and willfully to offer or pay, or to solicit or receive, direct or indirect remuneration, in order to induce the purchase, order, lease, or recommendation of items or services, or the referral of patients for services, that are reimbursed under a federal health care program, including Medicare and Medicaid;</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liability on any person who knowingly submits, or causes another person or entity to submit, a false claim for payment of government funds, with penalties that include three times the government’s damages plus civil penalties for each false claim; in addition, the False Claims Act permits a person with knowledge of fraud, referred to as a qui tam plaintiff, to file a lawsuit on behalf of the government against the person or business that committed the fraud, and, if the action is successful, the qui tam plaintiff is rewarded with a percentage of the recovery;</w:t>
      </w:r>
    </w:p>
    <w:p>
      <w:pPr>
        <w:spacing w:after="0" w:line="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imposes obligations, including mandatory contractual terms, with respect to safeguarding the privacy, security and transmission of individually identifiable health information;</w:t>
      </w:r>
    </w:p>
    <w:p>
      <w:pPr>
        <w:ind w:left="760" w:hanging="378"/>
        <w:spacing w:after="0" w:line="25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Social Security Act contains numerous provisions allowing the imposition of a civil monetary penalty, a monetary assessment, exclusion from the Medicare and Medicaid programs, or some combination of these penalties; and</w:t>
      </w:r>
    </w:p>
    <w:p>
      <w:pPr>
        <w:jc w:val="both"/>
        <w:ind w:left="760" w:hanging="378"/>
        <w:spacing w:after="0" w:line="255"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states have analogous state laws and regulations, such as state anti-kickback and false claims laws, which, in some cases, impose more strict requirements than the federal laws and may require pharmaceutical companies to comply with certain price reporting and other compliance requirements.</w:t>
      </w:r>
    </w:p>
    <w:p>
      <w:pPr>
        <w:spacing w:after="0" w:line="1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failure to comply with any of these federal and state health care laws and regulations, or health care laws in foreign jurisdictions, as may be applicable, could have a material adverse effect on our business, financial condition, result of operations and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uncertainty relating to healthcare reform measures and reimbursement policies that, if not favorable to our products, could hinder or prevent our products’ commercial success, if any of our product candidates are approved.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successfully commercialize our products will depend in part on the extent to which governmental authorities, such as Medicare, private health insurers and other organizations establish what we believe to be appropriate coverage and reimbursement for our approved products. The unavailability or inadequacy of third-party payer coverage and reimbursement could negatively affect the market acceptance of our product candidates and the future revenues we may expect to receive from any approved products. The commercial success of our product candidates, if approved, will depend in part on the extent to which the costs of such products will be covered by third-party payers, such as government health programs, commercial insurance and other organizations. Third-party payers are increasingly challenging the prices and examining the medical necessity and cost-effectiveness of medical products and services, in addition to their safety and efficacy. If these third-party payers do not consider our products to be cost-effective compared to other therapies, we may not obtain coverage for our products after approval as a benefit under the third-party payers’ plans or, even if we do, the level of coverage or payment may not be sufficient to allow us to sell our products on a profitable basis.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reimbursement status for newly approved drug products, including coding, coverage and payment. There is no uniform policy requirement for coverage and reimbursement for drug products among third-party payers in the United States; therefore, coverage and reimbursement for drug products can differ significantly by payer. The coverage determination process is often a time-consuming and costly process that will require us to provide scientific and clinical support for the use of our products to each payer separately, with no assurance that coverage and adequate payment will be applied consistently or obtained. The process for determining whether a payer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healthcare providers or less profitable than alternative treatments or if administrative burdens make our products less desirable to use. Third-party payer reimbursement to providers of our products, if approved, may be subject to a bundled payment that also includes the procedure of administering our products or third-party payers may require providers to perform additional patient testing to justify the use of our products. To the extent there is no separate payment for our products, there may be further uncertainty as to the adequacy of reimbursement amounts.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containment of healthcare costs is a priority of federal, state and foreign governments and the prices of drug products have been a focus in this effort. The continuing efforts of government, private insurance companies and other organizations to contain or reduce costs of healthcare, including through such recent legislation as the Inflation Reduction Act in the United States, the effects of which are evolving over time, may adversely affect our ability to set as high a price for our products as we might otherwise and the rate and scope of adoption of our products by healthcare providers. We expect that federal, state and local governments in the United States, as well as governments in other countries, will continue to consider legislation directed at lowering the total cost of healthcare. In addition, in certain foreign markets, the pricing of drug products is subject to government control and reimbursement may in some cases be unavailable or insufficient. It is uncertain whether and how future legislation, whether domestic or abroad, could affect prospects for our product candidates or what actions governmental or private payers for healthcare treatment and services may take in response to any such healthcare reform proposals or legislation. Adoption of price controls and cost-containment measures, and adoption of more restrictive policies in jurisdictions with existing controls and measures, may prevent or limit our ability to generate revenue, attain profitability or commercialize our product candidates.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potential courses of action are unpredictable and the potential impact of new legislation on our operations and financial position is uncertain, but may result in more rigorous coverage criteria, lower reimbursement and additional downward pressure on the price we may receive for an approved product. Any reduction in reimbursement from Medicare or other government-funded programs may result in a similar reduction in payments from private payers. The implementation of cost containment measures or other healthcare reforms may prevent us from being able to generate revenue, attain profitability or commercialize our products, if approved.</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and reimbursement approval policies, which may adversely affect our prospects for generating revenue outside the United States.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worldwide distribution rights for levosimendan and our formulation of imatinib, and in some countries, particularly European Union countries and Canada,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To obtain or maintain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and results of operations. Further, if we achieve regulatory approval of any product, we must successfully negotiate product pricing for such product in individual countries. As a result, if our products are approved, the pricing of our products in different countries may vary widely, thus creating the potential for third-party trade in our products in an attempt to exploit price differences between countries. This third-party trade of our products could undermine our sales in markets with higher prices.</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limit sales of our existing products and limit commercialization of any products that we may develop.</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manufacturing, distribution, and sale of pharmaceutical products. We face an inherent risk of product liability exposure related to the testing of our product candidates in human clinical trials and an even greater risk when we commercially sell any products. If we cannot successfully defend ourselves against claims that our product candidates or products caused injuries, we could incur substantial liabilities. Regardless of merit or eventual outcome, liability claims may result in:</w:t>
      </w:r>
    </w:p>
    <w:p>
      <w:pPr>
        <w:spacing w:after="0" w:line="139"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and any product candidates that we may develop;</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maintain limited product liability insurance coverage for our clinical trials in the total amount of $10 million. However, our profitability will be adversely affected by a successful product liability claim in excess of our insurance coverage. There can be no assurance that product liability insurance will be available in the future or be available on reasonable terms.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deficiencies in our cybersecurity.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cyber-intrusion, including by computer hackers, foreign governments, and cyber-terrorists,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cyber-incidents in a timely manner and could have a material adverse effect on our financial position and value of our stock. For more information, see Item 1C. Cybersecurity.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relied on and we will continue to substantially rely on third parties to conduct our nonclinical testing and clinical studies and other aspects of our development programs. If those third parties do not satisfactorily perform their contractual obligations or meet anticipated deadlines, the development of our product candidates could be adversely affected.</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employ personnel or possess the facilities necessary to conduct many of the activities associated with our development programs. We have historically and we will continue to engage consultants, advisors, manufacturers, expert physicians and scientists, CROs, laboratories, and others to assist in the design and conduct of nonclinical and clinical studies of our product candidates, with interpretation of the results of those studies and with regulatory activities and expect to continue to outsource all or a significant amount of such activities. As a result, many important aspects of our development programs are and will continue to be outside our direct control and our third-party service providers may not perform their activities as required or expected, including the maintenance of Good Laboratory Practices (“GLP”) or Good Clinical Practices (“GCP”) compliance, which are ultimately our responsibility to ensure. Further, such third parties may not be as committed to the success of our programs as our own employees and, therefore, may not devote the same time, thoughtfulness, or creativity to completing projects or problem-solving as our own employees would. To the extent we are unable to successfully manage the performance of third-party service providers, our business may be adversely affected.</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CROs and other vendors we engage or may engage to execute our clinical studies play a significant role in the conduct of the studies, including the collection and analysis of study data, and we likely will depend on CROs and clinical investigators to conduct future clinical studies and to assist in analyzing data from completed studies and developing regulatory strategies for our product candidates. Individuals working at the CROs with which we contract, as well as investigators at the sites at which our studies are conducted, are not our employees, and we have limited control over the amount or timing of resources that they devote to their programs. If our CROs, study investigators, and/or third-party sponsors fail to devote sufficient time and resources to studies of our product candidates, if we and/or our CROs do not comply with all GLP and GCP regulatory and contractual requirements, or if their performance is substandard, it could adversely affect the development of our product candidates.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third parties we engage may have relationships with other commercial entities, some of which may compete with us. Through intentional or unintentional means, our competitors may benefit from lessons learned on the project that could ultimately harm our competitive position. Moreover, if a CRO fails to properly, or at all, perform our activities during a clinical study, we may not be able to enter into arrangements with alternative CROs on acceptable terms or in a timely manner, or at all. Switching CROs may increase costs and divert management time and attention. In addition, there likely would be a transition period before a new CRO commences work. These challenges could result in delays in the commencement or completion of our clinical studies, which could materially impact our ability to meet our desired and/or announced development timelines and have a material adverse impact on our business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to formulate and manufacture our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or operate any manufacturing facilities for the clinical- or commercial-scale production of our products.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our license for levosimendan, Orion is at present our sole manufacturing source for TNX-103; should they opt not to provide us the product, our license agreement requires 24 months’ notice to the Company in order to allow the Company to identify and engage an alternative manufacturer. We might engage other third-party suppliers and CMOs for the supply and manufacture of TNX-102, or other formulations we might develop.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our business is susceptible to disruption, and our results of operations can be adversely affected, by any disruption in supply or other adverse developments in our relationship with Orion. If supply from Orion is delayed or terminated, or if its facilities suffer any damage or disruption, we may need to successfully qualify an alternative supplier in a timely manner in order to avoid disruption of our business. If we cannot obtain an alternate manufacturer in a timely manner, we would experience a significant interruption in supply of levosimendan, which could negatively affect our clinical trial conduct and other product development efforts and timelines, financial condition, results of operations and cash flows.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potentially manufacture imatinib in the future, we have contracted with various third-party suppliers and CMOs making us highly dependent on these CMOs. We do not at present have alternative CMOs planned or contracted to back up our primary vendors of clinical trial material or, if approved, commercial supply material. Identification of and discussions with other CMOs may be protracted and/or unsuccessful, or these new CMOs may be unsuccessful in producing the same results as the current primary CMOs producing the material. Therefore, if our primary CMOs become unable or unwilling to perform their required activities, we could experience protracted delays or interruptions in the supply of clinical trial material and, ultimately, product for commercial sale, which would materially and adversely affect our development programs, commercial activities, operating results and financial condition. In addition, the FDA or regulatory authorities outside of the United States may require us to have an alternate manufacturer of a drug product before approving any product candidate for marketing and sale in the United States or abroad. Securing such alternate manufacturer, if possible, could result in considerable additional time and cost prior to approval.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scientific personnel, we may be unable to successfully develop and commercialize our product candidates.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operated with a limited number of employees. As of December 31, 2025, we had fourteen full-time employees and two part-time employees. Numerous additional contract staff, separate to the CROs and vendors with whom we contract, support our administrative and R&amp;D functions. Still, institutional knowledge is concentrated within this small group of employees and contract team members. Our success depends in part on our continued ability to attract, retain and motivate highly qualified management, clinical and scientific personnel to continue the development, regulatory approval and commercialization of our product candidates. We will need to hire or contract with additional qualified personnel with expertise in preclinical testing, clinical research and testing, government regulation, formulation and manufacturing, and sales and marketing. Additionally, our future success is highly dependent upon the contributions of our senior management team. The loss of services of any of these individuals could delay or prevent the successful development of our product pipeline, completion of our planned clinical trials or the commercialization of our product candidates.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competition from other companies and organizations for qualified personnel. Other companies and organizations with which we compete for personnel may have greater financial and other resources and different risk profiles than we do, and a history of successful development and commercialization of their product candidates. Replacing employees and attracting sufficiently skilled new employees may be difficult and costly, and we may not have other personnel with the capacity to assume all the responsibilities of an existing employee upon his or her departure or to take on the duties necessary to continue growing our company and pursuing our business strategy. If we cannot attract and retain skilled personnel, as needed, we may not achieve our development and other goals.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success of our business will depend on our ability to develop and maintain relationships with respected service providers and industry-leading consultants and advisors. If we cannot develop and maintain such relationships, as needed, the rate and success at which we can develop and commercialize product candidates may be limited. In addition, our insourcing and outsourcing strategies, which have included engaging consultants to manage core administrative and operational functions, may subject us to scrutiny under labor laws and regulations, which may divert management time and attention and have an adverse effect on our business and financial condition.</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need to increase the size of our organization to further develop our product candidates, and we may experience difficulties in managing growth.</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to manage our anticipated growth and increased operational activity, including as a result of the continuing development of levosimendan and any other product candidates. Our personnel, systems, and facilities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in place may not be adequate to support this future growth. Our need to effectively execute our growth strategy will require that we:</w:t>
      </w:r>
    </w:p>
    <w:p>
      <w:pPr>
        <w:spacing w:after="0" w:line="18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research and development activities and our regulatory trials effectively;</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motivate sufficient numbers of talented employees or consultants;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complying with our contractual obligations to licensors, licensees, contractors, collaborators and other third parties;</w:t>
      </w: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internal sales and marketing capabilities or establish collaborations with third parties with such capabilities;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reporting systems and procedures.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planned future growth could place a strain on our administrative and operational infrastructure and may require our management to divert a disproportionate amount of its attention away from our day-to-day activities. We may not be able to effectively manage the expansion of our operations or recruit and train additional qualified personnel, which may result in weaknesses in our infrastructure, and give rise to operational mistakes, loss of business opportunities, loss of employees and consultants and reduced productivity among remaining employees and consultants. We may not be able to make improvements to our management information and control systems in an efficient or timely manner and may discover deficiencies in existing systems and controls. If our management is unable to effectively manage our expected growth, our expenses may increase more than expected, our ability to generate or increase our revenues could be reduced and we may not be able to implement our business strategy. Our future financial performance and our ability to compete effectively will depend, in part, on our ability to effectively manage any future growth.</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very limited marketing capabilities and no sales organization. If we are unable to establish sales and marketing capabilities on our own or through third parties, we will be unable to successfully commercialize our products, if approved, or generate product revenue.</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commercialize our products, if approved, in the United States and other jurisdictions in which we may seek approvals, we must build our marketing, sales, managerial and other non-technical capabilities or make arrangements with third parties to perform these services, and we may not be successful in doing so. We have not decided upon a commercialization strategy in these areas. We have no experience in the sale and marketing of approved medical products and marketing the licensing of such products before FDA or other regulatory approval. We have not identified or engaged a third party that is prepared to distribute our products should they be approved. If we decide to establish our own commercialization capability, we will need to recruit, train and retain a marketing staff and sales force with sufficient technical expertise. We do not know whether we can establish a commercialization program at a cost that is acceptable in relation to revenue or whether we can be successful in commercializing our product. Factors that may inhibit our efforts to commercialize our products directly and without strategic partners include:</w:t>
      </w:r>
    </w:p>
    <w:p>
      <w:pPr>
        <w:spacing w:after="0" w:line="151"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our products;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and sustaining an independent sales and marketing organization.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we may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47" w:lineRule="exact"/>
        <w:rPr>
          <w:sz w:val="20"/>
          <w:szCs w:val="20"/>
          <w:color w:val="auto"/>
        </w:rPr>
      </w:pPr>
    </w:p>
    <w:p>
      <w:pPr>
        <w:ind w:left="5540" w:right="4140" w:hanging="5158"/>
        <w:spacing w:after="0" w:line="783" w:lineRule="auto"/>
        <w:tabs>
          <w:tab w:leader="none" w:pos="7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to our products or product candidates;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hanging="378"/>
        <w:spacing w:after="0" w:line="26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distributors or collaborators may devote to the marketing and commercialization of our product candidates;</w:t>
      </w: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experience financial difficulties; and</w:t>
      </w:r>
    </w:p>
    <w:p>
      <w:pPr>
        <w:spacing w:after="0" w:line="9"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a collaborator’s willingness or ability to complete its obligations under any arrangement.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implement our own sales and marketing capability or are unable to contract with one or more third parties for such services on acceptable terms or at all, we may not be able to successfully commercialize our products in certain markets. Any failure or delay in the development of our internal or external sales, marketing and distribution capabilities would adversely impact the commercialization of our products. If we are not successful in commercializing our products, either on our own or through collaborations with one or more third parties, our future product revenue will suffer and we would incur significant additional losses.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in part on obtaining and maintaining effective patent and other intellectual property protection for our product candidates and proprietary technology</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effective patent protection and other intellectual property protection of our product candidates and the methods used to manufacture them, as well as successfully defending these patents against third-party challenges. Our ability to stop third parties from making, using, selling, offering to sell or importing our products, if any, will be dependent upon the extent to which we have rights under valid and enforceable patents or trade secrets that cover these activities.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pursuing a multi-faceted IP strategy for levosimendan that includes filing patent applications in the U.S. and Canada, Europe, and multiple other countries that, if granted, could protect various uses and formulations of levosimendan In January 2022, the USPTO granted us a patent protecting claims for different uses of various cyclodextrin-based subcutaneous formulations of levosimendan, including a claim for its use in the treatment of PH-HFpEF patients. In 2026, the USPTO issued Tenax a Notice of Allowance for claims directed to the subcutaneous administration of levosimendan in a broad range of indications. The range of indications includes but is not limited to PH-HFpEF. In addition, we received in March 2023 another U.S. patent protecting the use of levosimendan in the treatment of PH-HFpEF. Two subsequent U.S. patents expanded these protections on the use of levosimendan in the treatment of PH-HFpEF. Other patent applications are pending globally, or will be granted in 2026 according to patent authorities in Canada in Europe.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strategy to maximize market exclusivity for imatinib relies on two forms of exclusivity. First, we have been granted Orphan Drug Designation for the treatment of PAH by the FDA which, depending on evolving law and policy in this arena, could provide seven years of regulatory exclusivity in the U.S. if our imatinib formulation is the first to receive FDA approval for PAH. In addition, we may file one or more patent applications to cover patentable subject matter that may result from our imatinib development. If granted, a patent would provide protection for 20 years from its filing date.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patent positions of pharmaceutical and biopharmaceutical companies can be highly uncertain and involve complex legal and factual questions for which important legal principles remain unresolved. No consistent policy regarding the breadth of claims allowed in biopharmaceutical patents has emerged to date in the United States. The biopharmaceutical patent situation outside the United States is less certain still. Changes in either the patent laws or in interpretations of patent laws in the United States and other countries may diminish the value of our intellectual property. Accordingly, we cannot predict the breadth of claims that may be allowed or enforced in the patents we own. Further, if any of our patents are deemed invalid and unenforceable, it could impact our ability to commercialize or license our technology.</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1" w:lineRule="exact"/>
        <w:rPr>
          <w:sz w:val="20"/>
          <w:szCs w:val="20"/>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compositions or formulations that are similar to our product candidates but that are not covered by the claims of our patents;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provide us with any competitive advantages, or may be held invalid or unenforceable as a result of legal challenges by third parties;</w:t>
      </w: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confidentiality agreements that, if breached, may be difficult to enforce and could have a material adverse effect on our business and competitive position.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policy is to enter into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spacing w:after="0" w:line="151"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be breached;</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not provide adequate remedies for the applicable type of breach; or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 secrets or proprietary know-how will otherwise become known.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breach of our confidentiality agreements or our failure to effectively enforce such agreements would have a material adverse effect on our business and competitive position.</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and we may be unable to protect our rights to, or use, our technology.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partners choose to go to court to stop someone else from using the inventions claimed in our patents,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to these patents.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a third party may claim that we or our manufacturing or commercialization partners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other party damages for having violated the other party’s patents. We have agreed to indemnify certain of our commercial partners against certain patent infringement claims brought by third parties. The biotechnology and pharmaceutical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patent claims of the relevant patent and/or that the patent claims are invalid, and we may not be able to do this. Proving invalidity, in particular, is difficult since it requires a showing of clear and convincing evidence to overcome the presumption of validity enjoyed by issued patents.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some patent applications in the United States may be maintained in secrecy until the patents are issued, because patent applications in the United States and many foreign jurisdictions are typically not published until 18 months after filing and because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or patents, which could further require us to obtain rights to issued patents by others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current law, we may not be able to enforce all employees’ covenants not to compete and therefore may be unable to prevent our competitors from benefiting from the expertise of some of our former employees.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non-competition agreements with certain of our employees. These agreements prohibit our employees, if they cease working for us, from competing directly with us or working for our competitors for a limited period. Under current law, we may be unable to enforce these agreements against certain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infringe or be alleged to infringe intellectual property rights of third parties.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or product candidates may infringe on, or be accused of infringing on, one or more claims of an issued patent or may fall within the scope of one or more claims in a published patent application that may be subsequently issued and to which we do not hold a license or other rights. Third parties may own or control these patents or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have been substantial litigation and other proceedings regarding patent and other intellectual property rights in the pharmaceutical and biotechnology industries. In addition to infringement claims against us, we may become a party to other patent litigation and other proceedings, including interference proceedings declared by the USPTO and opposition proceedings in the European Patent Office, regarding intellectual property rights with respect to our products. Our products, after commercial launch, may become subject to Paragraph IV certification under the Hatch-Waxman Act, thus forcing us to initiate infringement proceedings against such third-party filers.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employees were previously employed at universities or other biotechnology or pharmaceutical companies, including our competitors or potential competitors. 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Litigation may be necessary to defend against these claims and, even if we are successful in defending ourselves, could result in substantial costs to us or be distracting to our management. If we fail to defend any such claims, in addition to paying monetary damages, we may lose valuable intellectual property rights or personnel.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volatile, and may continue to be volatile, which may subject us to securities class action litigation in the future.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has in the past been, and is likely to be in the future, volatile. The stock market in general, and the market for biopharmaceutical companies in particular, has experienced extreme volatility that has often been unrelated to the operating performance of particular companies. As a result of this volatility, our existing stockholders may not be able to sell their stock at a favorable price. The market price for our common stock may be influenced by many factors, including:</w:t>
      </w:r>
    </w:p>
    <w:p>
      <w:pPr>
        <w:spacing w:after="0" w:line="139"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and/or results of our clinical trials;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litigation;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 or comments made on the observed results of their, or our, products;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by our collaborators or partners;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competitors’ operating results or changes in their growth rate;</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 or on which development work is terminated for safety, efficacy or other reasons;</w:t>
      </w: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for biopharmaceutical stocks in general;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our search and selection of future management and leadership; and</w:t>
      </w:r>
    </w:p>
    <w:p>
      <w:pPr>
        <w:spacing w:after="0" w:line="9"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as a result of disruptive events broadly affecting society, and as a result of geopolitical uncertainties, including in the Middle East and the Russian invasion of and war against the country of Ukraine.</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companies that have had volatile market prices for their securities have had securities class action lawsuits filed against them. Such lawsuits, should they be filed against us in the future, could result in substantial costs and a diversion of management’s attention and resources. This could have a material adverse effect on our business, results of operations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experience dilution of their ownership interests because of the future issuance of additional shares of our common stock or securities convertible into common stock.</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foreseeable future, to finance our operations, including possible acquisitions or strategic transactions, we expect to issue equity securities, resulting in the dilution of the ownership interests of our present stockholders. We are currently authorized to issue an aggregate of 400,000,000 shares of common stock and 10,000,000 shares of preferred stock. As of December 31, 2025, there were 9,314,130 shares of common stock outstanding, 16,895,111 shares underlying warrants with a weighted average exercise price of $5.66 per share, 33,102,778 shares underlying pre-funded warrants with an exercise price of $0.01 per share, and 6,616,432 shares underlying options with a weighted average exercise price of $6.21 per share. We may also issue additional shares of our common stock or other securities that are convertible into or exercisable for common stock in connection with hiring or retaining employees, or for other business purposes. The future issuance of any such additional shares of common stock or common stock equivalents may create downward pressure on the trading price of our common stock.</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corporate charter documents and under Delaware law could make an acquisition of us more difficult, which could discourage takeover attempts and lead to management entrenchment, and the market price of our common stock may be lower as a result.</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(the “Charter”) and our Fourth Amended and Restated Bylaws (the “Bylaws”), may make it difficult for a third party to acquire, or attempt to acquire, control of the Company, even if a change in control was considered favorable by the stockholders. For example, our Board of Directors has the authority to issue up to 10,000,000 shares of preferred stock. The Board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of other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organizational documents also contain other provisions that could have an anti-takeover effect, including provisions that:</w:t>
      </w:r>
    </w:p>
    <w:p>
      <w:pPr>
        <w:spacing w:after="0" w:line="185"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only by a majority of directors then in office, even though less than a quorum;</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the Board of directors the authority to increase or decrease the size of the Board;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Board, by a majority vote, to amend the Bylaws.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limit the ability of stockholders owning in excess of 15% of our outstanding voting stock to merge or combine with us. These provisions could discourage potential acquisition proposals and could delay or prevent a change in control transaction. They could also have the effect of discouraging others from making tender offers for our common stock, including transactions that may be in stockholder best interests. These provisions may also prevent changes in our management or limit the price that certain investors are willing to pay for our stock.</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an exclusive forum provision, which could limit our stockholders’ ability to obtain a favorable judicial forum for disputes with us or our directors, officers, employees, or agents.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any North Carolina state court that has jurisdiction, or the Delaware Court of Chancery shall, to the fullest extent permitted by law, be the sole and exclusive forum for any internal corporate claims, including without limitation (i) any derivative action or proceeding brought on behalf of us, (ii) any action asserting a claim of breach of a fiduciary duty owed by any director, officer or other employee of us to us or our stockholders, (iii) any action asserting a claim arising pursuant to any provision of the General Corporation Law of the State of Delaware, and (iv) any action asserting a claim governed by the internal affairs doctrine, in each case subject to said court having personal jurisdiction over the indispensable parties named as defendants in such action. This provision would not apply to suits brought to enforce a duty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liability created by the Securities and Exchange Act of 1934, as amended (the “Exchange Act”) or the Securities Act of 1933, as amended (the “Securities Act”), or any other claim for which federal courts have exclusive jurisdiction.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bring a claim in a judicial forum of its choosing for disputes with us or our directors, officers or other employees, which may discourage lawsuits against us and our directors, officers and other employees or could result in increased costs for our stockholders to bring a claim in the chosen forum. If a court were to find the exclusive forum provision in our Bylaws to be inapplicable or unenforceable in an action, we may incur additional costs associated with resolving the dispute in other jurisdictions, which could harm our results of operations. Even if we are successful in defending against these claims, litigation could result in substantial costs and be a distraction to management and other employees.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do not expect to pay dividends in the future. Any return on investment may be limited to the value of our common stock.</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shares of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U.S. federal net operating loss carryforwards (“NOLs”), which expire in various years if not utilized. In addition, we have federal research and development credit carryforwards. The federal research and development credit carryforwards expire in various years if not utilized. Under Sections 382 and 383 of Internal Revenue Code of 1986, as amended (the “Code”), if a corporation undergoes an “ownership change,” the corporation’s ability to use its pre-change NOLs and other pre-change tax attributes, such as research tax credits, to offset its future post-change income and taxes may be limited. In general, an “ownership change” occurs if there is a cumulative change in our ownership by “5% shareholders” that exceeds 50 percentage points over a rolling three-year period. Similar rules may apply under state tax laws. We have not performed a formal study to determine whether any of our NOLs are subject to these limitations. We have recorded deferred tax assets for our NOLs and research and development credits and have recorded a full valuation allowance against these deferred tax assets. In the event that it is determined that we have in the past experienced additional ownership changes, or if we experience one or more ownership changes as a result of future transactions in our stock, then we may be further limited in our ability to use our NOLs and other tax assets to reduce taxes owed on the net taxable income that we earn in the event that we attain profitability. Any such limitations on the ability to use our NOLs and other tax assets could adversely impact our business, financial condition and operating results in the event that we attain profitability.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companies are not required to provide the information required by this Item.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1C—CYBERSECURITY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cybersecurity strategy designed to protect our information systems and data from an evolving cyber-threat landscape. Our cybersecurity program, administered by the Company’s Senior Network Administrator and overseen by the Audit and Compliance Committee, has the support of executive leadership and the Board of Directors, and the Company continues to invest in cybersecurity to protect the Company’s systems.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program focuses on all areas of our business, including cloud-based environments, devices used by employees and contractors, facilities, networks, applications, vendors, disaster recovery, business continuity and controls and safeguards enabled through business processes and tools. We continuously monitor for threats and unauthorized access. We learn of security threats through automated detection solutions as well as reports from users and business partners. We draw on the knowledge and insight of external cybersecurity experts and vendors and employ an array of third-party tools to secure our information infrastructure and protect systems and information from unauthorized access.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encountered any risks from cybersecurity threats that have materially affected or are reasonably likely to materially affect the Company, including its business strategy, results of operations, or financial condition. For more information on our cybersecurity related risks, see “Risk Factors - Risks Related to Our Industry” included elsewhere in this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2—PROPERTIES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no real property. Beginning November 1, 2022, we maintain a membership providing dedicated office space, as well as shared services and shared space for meetings, catering, and other business activities, at our principal executive office located at 101 Glen Lennox Drive, Suite 300, Chapel Hill, North Carolina 27517.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3—LEGAL PROCEEDINGS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litigation in the normal course of business, none of which management believes will have a material adverse effect on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as of March 10,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T. Giordano</w:t>
            </w:r>
          </w:p>
        </w:tc>
        <w:tc>
          <w:tcPr>
            <w:tcW w:w="6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52</w:t>
            </w: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Thomas A. McGauley, CPA</w:t>
            </w:r>
          </w:p>
        </w:tc>
        <w:tc>
          <w:tcPr>
            <w:tcW w:w="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Rich, MD</w:t>
            </w:r>
          </w:p>
        </w:tc>
        <w:tc>
          <w:tcPr>
            <w:tcW w:w="6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76</w:t>
            </w: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Medical Officer and Director</w:t>
            </w: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T. Giordano </w:t>
      </w:r>
      <w:r>
        <w:rPr>
          <w:rFonts w:ascii="Times New Roman" w:cs="Times New Roman" w:eastAsia="Times New Roman" w:hAnsi="Times New Roman"/>
          <w:sz w:val="18"/>
          <w:szCs w:val="18"/>
          <w:color w:val="auto"/>
        </w:rPr>
        <w:t>joined the Company as our Chief Executive Officer and a member of our Board of Directors in July 2021 and became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Executive Officer in October 2021. From March 2018 to July 2021, he served as President of IQVIA Biotech LLC and IQVIA MedTech Inc., a provider of integrated clinical and commercial solutions to medical device and small biotech companies, where he led an executive team that managed a clinical trial portfolio of several hundred active projects during his three years of leadership. Prior to that role, from August 2008 to March 2018, Mr. Giordano held roles of increasing responsibility at Quintiles Transnational Holdings Inc., a provider of pharmaceutical outsourcing services (acquired by IMS Health Holdings, Inc. in October 2016 to become IQVIA Holdings Inc.), and was most recently Global Vice President of the cardiovascular, renal, and metabolic group. From January 2001 to July 2008, Mr. Giordano served in various sales and operational roles at PPD, Inc., a global clinical research organization. Mr. Giordano holds a B.A. (</w:t>
      </w:r>
      <w:r>
        <w:rPr>
          <w:rFonts w:ascii="Times New Roman" w:cs="Times New Roman" w:eastAsia="Times New Roman" w:hAnsi="Times New Roman"/>
          <w:sz w:val="18"/>
          <w:szCs w:val="18"/>
          <w:i w:val="1"/>
          <w:iCs w:val="1"/>
          <w:color w:val="auto"/>
        </w:rPr>
        <w:t>summa cum laude</w:t>
      </w:r>
      <w:r>
        <w:rPr>
          <w:rFonts w:ascii="Times New Roman" w:cs="Times New Roman" w:eastAsia="Times New Roman" w:hAnsi="Times New Roman"/>
          <w:sz w:val="18"/>
          <w:szCs w:val="18"/>
          <w:color w:val="auto"/>
        </w:rPr>
        <w:t>) in English from the University of San Diego and a M.A. in English from the University of North Carolina at Chapel Hill.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McGauley </w:t>
      </w:r>
      <w:r>
        <w:rPr>
          <w:rFonts w:ascii="Times New Roman" w:cs="Times New Roman" w:eastAsia="Times New Roman" w:hAnsi="Times New Roman"/>
          <w:sz w:val="18"/>
          <w:szCs w:val="18"/>
          <w:color w:val="auto"/>
        </w:rPr>
        <w:t>joined the Company as our Interim Chief Financial Officer in December 2024. Mr. McGauley of Danforth Advisors, LLC is a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 sciences financial executive with an extensive background in finance, life science companies, SEC reporting, and fundraising. Since July 2021, Mr. McGauley has been a member of Danforth Advisors, LLC, providing executive financial services to several public and private companies. From 2018 to 2022, Mr. McGauley was a director at CBIZ in their accounting advisory practice. Prior to that, from 2009 to 2018, he served as the chief financial officer and a consultant to several public and private life science companies, including Galectin Therapeutics Inc. (Nasdaq: GALT), where he was the interim chief financial officer from 2012 to 2013 and the company’s financial/accounting and SEC consultant from 2009 to 2012. Prior to that, he was a senior financial executive for deCODE genetics, Inc., a formerly Nasdaq-listed company. Mr. McGauley began his financial career in public accounting working with several accounting firms, and was most recently a manager at PricewaterhouseCoopers LLP specializing in life sciences and technology companies. Prior to that, he was an officer in the U.S. Army and later the MA National Guard, ending his military career as a captain and company commander. Mr. McGauley holds a B.S.B.A in Accounting from Stonehill College and is a Certified Public Accountant in Massachusetts.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Stuart Rich, MD </w:t>
      </w:r>
      <w:r>
        <w:rPr>
          <w:rFonts w:ascii="Times New Roman" w:cs="Times New Roman" w:eastAsia="Times New Roman" w:hAnsi="Times New Roman"/>
          <w:sz w:val="18"/>
          <w:szCs w:val="18"/>
          <w:color w:val="auto"/>
        </w:rPr>
        <w:t>has served as our Chief Medical Officer since January 2021 and a director since February 2021. Dr. Rich joined the Company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PHPrecisionMed Inc. (PHPM), where he was a co-founder and held the positions of Chief Executive Officer and Director from October 2018 until PHPM’s merger with the Company in January 2021. Beginning July 2015, Dr. Rich has served as Professor of Medicine (and since 2021, Professor Emeritus) at Northwestern University Feinberg School of Medicine. He was co-founder and a Trustee of the Pulmonary Vascular Research Institute from 2006 until 2023, a U.K. based charity. From July 2015 until January 2021 he also served as the Director of the Pulmonary Vascular Disease Program at the Bluhm Cardiovascular Institute of Northwestern University, and since January 2006 he has served as a Director of the Cardiovascular Medical and Research Foundation, a U.S. based charity. He was a standing member of the Cardiovascular and Renal Advisory Committee of the U.S. Food and Drug Administration from 2002 through 2013. Prior to Northwestern University, Dr. Rich was Professor of Medicine at the Section of Cardiology of the University of Chicago Pritzker School of Medicine from September 2004 to July 2015. Dr. Rich also served as the Chief Medical Officer (part-time) of United Therapeutics from October 2003 until December 2004. He was Professor of Medicine at the Rush Heart Institute of the Rush University School of Medicine from July 1996 to September 2004 and Professor of Medicine and Chief of the Section of Cardiology at the University of Illinois College of Medicine in Chicago from July 1980 to July 1996. Dr. Rich received his B.S. in Biology at the University of Illinois and his M.D. at Loyola University Stritch School of Medicine, and he completed his residency in medicine at the Washington University of St. Louis and his fellowship in cardiology at the University of Chicago.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Gerald T. Proehl</w:t>
      </w:r>
      <w:r>
        <w:rPr>
          <w:rFonts w:ascii="Times New Roman" w:cs="Times New Roman" w:eastAsia="Times New Roman" w:hAnsi="Times New Roman"/>
          <w:sz w:val="18"/>
          <w:szCs w:val="18"/>
          <w:color w:val="auto"/>
        </w:rPr>
        <w:t>, Director and Chairman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President, Chief Executive Officer and Chair of the Board of Directors, Dermata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Almenoff, MD, PhD</w:t>
      </w:r>
      <w:r>
        <w:rPr>
          <w:rFonts w:ascii="Times New Roman" w:cs="Times New Roman" w:eastAsia="Times New Roman" w:hAnsi="Times New Roman"/>
          <w:sz w:val="18"/>
          <w:szCs w:val="18"/>
          <w:color w:val="auto"/>
        </w:rPr>
        <w:t>, Director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Board of Directors, Actinium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Co-founder and Executive, Chair, portfolio company, 82 Venture Studios (Exec. Venture Partner) and Member of Investment Advisory Board, Harrington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Institute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Davidson, MD</w:t>
      </w:r>
      <w:r>
        <w:rPr>
          <w:rFonts w:ascii="Times New Roman" w:cs="Times New Roman" w:eastAsia="Times New Roman" w:hAnsi="Times New Roman"/>
          <w:sz w:val="18"/>
          <w:szCs w:val="18"/>
          <w:color w:val="auto"/>
        </w:rPr>
        <w:t>, Director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New Amsterdam Pharma B.V.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Declan Doogan, MD</w:t>
      </w:r>
      <w:r>
        <w:rPr>
          <w:rFonts w:ascii="Times New Roman" w:cs="Times New Roman" w:eastAsia="Times New Roman" w:hAnsi="Times New Roman"/>
          <w:sz w:val="18"/>
          <w:szCs w:val="18"/>
          <w:color w:val="auto"/>
        </w:rPr>
        <w:t>, Director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Co-founder and Chief Medical Officer, Juvenescence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T. Giordano</w:t>
      </w:r>
      <w:r>
        <w:rPr>
          <w:rFonts w:ascii="Times New Roman" w:cs="Times New Roman" w:eastAsia="Times New Roman" w:hAnsi="Times New Roman"/>
          <w:sz w:val="18"/>
          <w:szCs w:val="18"/>
          <w:color w:val="auto"/>
        </w:rPr>
        <w:t>, Chief Executive Officer, President and Director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Robyn M. Hunter</w:t>
      </w:r>
      <w:r>
        <w:rPr>
          <w:rFonts w:ascii="Times New Roman" w:cs="Times New Roman" w:eastAsia="Times New Roman" w:hAnsi="Times New Roman"/>
          <w:sz w:val="18"/>
          <w:szCs w:val="18"/>
          <w:color w:val="auto"/>
        </w:rPr>
        <w:t>, Director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Chief Financial Officer, Sotio Biotech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Stuart Rich, MD</w:t>
      </w:r>
      <w:r>
        <w:rPr>
          <w:rFonts w:ascii="Times New Roman" w:cs="Times New Roman" w:eastAsia="Times New Roman" w:hAnsi="Times New Roman"/>
          <w:sz w:val="18"/>
          <w:szCs w:val="18"/>
          <w:color w:val="auto"/>
        </w:rPr>
        <w:t>, Chief Medical Officer and Director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 Therapeutics,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5—MARKET FOR REGISTRANT’S COMMON EQUITY, RELATED STOCKHOLDER MATTERS AND ISSUER PURCHASES OF EQUITY SECURITIES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Number of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“TENX”.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information furnished by our transfer agent, as of March 6, 2026, there were 1,328 holders of record of our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dividends on our equity securities, and currently do not plan to declare dividends on shares of our common stock in the foreseeable future. We expect to retain our future earnings, if any, for use in the operation and expansion of our business. Subject to the foregoing, the payment of cash dividends in the future, if any, will be at the discretion of our Board of Directors and will depend upon such factors as earnings levels, capital requirements, our overall financial condition and any other factors deemed relevant by our Board.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did not issue or sell any unregistered securities not previously disclosed in a Quarterly Report on Form 10-Q or in a Current Report on Form 8-K.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6—RESERVED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7—MANAGEMENT’S DISCUSSION AND ANALYSIS OF FINANCIAL CONDITION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consolidated financial statements and the related notes to those statements included in Part II, Item 8 – “Financial Statements and Supplementary Data”. This discussion contains forward-looking statements that involve risks and uncertainties. As a result of many factors, such as those set forth under “Risk Factors” and elsewhere in this Annual Report on Form 10-K, our actual results may differ materially from those anticipated in these forward-looking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Tenax Therapeutics is a Phase 3, development-stage pharmaceutical company leveraging clinical insights to develop novel cardiopulmonary therapies. We employ a clinician-driven drug development approach, led by key opinion leaders and advised by thought leaders who are pulmonary hypertension and heart failure experts and informed by their clinical insights to precisely target disease pathophysiology. We are currently actively conducting the LEVEL and LEVEL-2 clinical trials to evaluate levosimendan as our prioritized product candidate, and have deprioritized a Phase 3 clinical trial of imatinib, two drugs supported by promising evidence that they may significantly improve the lives of patients with pulmonary hypertension. Importantly, both levosimendan and imatinib have already been approved in other indications and prescribed around the world for more than 20 years, and we believe their mechanisms of action are uniquely suitable to target and treat pulmonary hypertension. We believe this derisked approach of using already-approved drugs that provide well-established safety profiles from millions of patients, combined with a development path led by preeminent cardiovascular and pulmonary hypertension experts, puts us in a strong position to deliver breakthrough cardiopulmonary therapies designed to improve patients’ functioning and quality of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we closed a private placement financing raising gross proceeds of approximately $25.0 million. We intend to use the net proceeds from the March 2025 Offering, in addition to approximately $100.0 million raised in August 2024, to advance our Phase 3 oral levosimendan program. Specifically, we plan to complete our ongoing Phase 3 LEVEL study of TNX-103 in PH-HFpEF. We also plan to advance our second global Phase 3 study, LEVEL-2, which commenced in December 2025. Following completion of the two Phase 3 levosimendan trials, we intend to submit marketing authorization applications. We also plan to submit an application for imatinib following completion of a single Phase 3 trial, when appropriate.</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Phase 3 LEVEL study continues, with high rates of study and therapy continuation during the blinded and open-label extension stages. We achieved our target enrollment of 230 patients in March of 2026. LEVEL is being conducted in the United States and Canada.</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as of December 31, 2025 will be sufficient to fund our planned operations through at least the end of 2027.</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 (in thousands)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The year ended December 31,</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300" w:type="dxa"/>
            <w:vAlign w:val="bottom"/>
          </w:tcPr>
          <w:p>
            <w:pPr>
              <w:spacing w:after="0"/>
              <w:rPr>
                <w:sz w:val="15"/>
                <w:szCs w:val="15"/>
                <w:color w:val="auto"/>
              </w:rPr>
            </w:pPr>
          </w:p>
        </w:tc>
      </w:tr>
      <w:tr>
        <w:trPr>
          <w:trHeight w:val="183"/>
        </w:trPr>
        <w:tc>
          <w:tcPr>
            <w:tcW w:w="330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5"/>
                <w:szCs w:val="15"/>
                <w:color w:val="auto"/>
              </w:rPr>
            </w:pPr>
          </w:p>
        </w:tc>
      </w:tr>
      <w:tr>
        <w:trPr>
          <w:trHeight w:val="196"/>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r>
      <w:tr>
        <w:trPr>
          <w:trHeight w:val="203"/>
        </w:trPr>
        <w:tc>
          <w:tcPr>
            <w:tcW w:w="3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32,672</w:t>
            </w:r>
          </w:p>
        </w:tc>
        <w:tc>
          <w:tcPr>
            <w:tcW w:w="20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12,709</w:t>
            </w:r>
          </w:p>
        </w:tc>
        <w:tc>
          <w:tcPr>
            <w:tcW w:w="16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19,963</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23,713</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16,928</w:t>
            </w:r>
          </w:p>
        </w:tc>
        <w:tc>
          <w:tcPr>
            <w:tcW w:w="12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56,385</w:t>
            </w:r>
          </w:p>
        </w:tc>
        <w:tc>
          <w:tcPr>
            <w:tcW w:w="20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19,494</w:t>
            </w:r>
          </w:p>
        </w:tc>
        <w:tc>
          <w:tcPr>
            <w:tcW w:w="16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36,891</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3"/>
        </w:trPr>
        <w:tc>
          <w:tcPr>
            <w:tcW w:w="3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operating loss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(56,385)</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(19,494)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(36,891)</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segment items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33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(3,400)</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10"/>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(52,599)</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(17,602)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(34,997)</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-1079500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-1079500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-1079500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-1079500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-170815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but are not limited to, (i) expenses incurred under agreements with CROs and investigative sites, which conduct a substantial portion of our pre-clinical and our 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years ended December 31, 2025 and 2024, respectively,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240" w:type="dxa"/>
            <w:vAlign w:val="bottom"/>
          </w:tcPr>
          <w:p>
            <w:pPr>
              <w:spacing w:after="0"/>
              <w:rPr>
                <w:sz w:val="20"/>
                <w:szCs w:val="20"/>
                <w:color w:val="auto"/>
              </w:rPr>
            </w:pPr>
          </w:p>
        </w:tc>
      </w:tr>
      <w:tr>
        <w:trPr>
          <w:trHeight w:val="210"/>
        </w:trPr>
        <w:tc>
          <w:tcPr>
            <w:tcW w:w="5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and preclinical development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26,064</w:t>
            </w:r>
          </w:p>
        </w:tc>
        <w:tc>
          <w:tcPr>
            <w:tcW w:w="5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14,939</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Salary and benefits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3,595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0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2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2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19,963</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 and preclinical development costs increased $14.9 million for the year ended December 31, 2025 as compared to the same period in the prior year. Clinical and preclinical development costs for the year ended December 31, 2025 consists primarily of expenses associated with our ongoing Phase 3 LEVEL trial and our second global Phase 3 study, LEVEL-2, which commenced in December 2025, compared with costs for the year ended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planning of LEVEL and the early progress initiating LEVEL sites and enrolling the first LEVEL patients.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Salary and benefits expense increased $1.1 million for the year ended December 31, 2025 as compared to the same period in the prior year primarily due the increased number of employees as we expanded our LEVEL trial and designed, planned, and commenced our LEVEL-2 trial. Stock-based compensation expense increased $3.6 million for the year ended December 31, 2025, as compared to the same period in the prior year due to stock option grants made late in 2024 and during 2025.</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costs increased $0.3 million for the year ended December 31, 2025, as compared to the same period in the prior year, primarily due to higher regulatory costs over the prior year as we expanded our clinical trial during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for executive, finance, legal and administrative personnel, including non-cash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years ended December 31, 2025 and 2024, respectively, are as follows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240" w:type="dxa"/>
            <w:vAlign w:val="bottom"/>
          </w:tcPr>
          <w:p>
            <w:pPr>
              <w:spacing w:after="0"/>
              <w:rPr>
                <w:sz w:val="18"/>
                <w:szCs w:val="18"/>
                <w:color w:val="auto"/>
              </w:rPr>
            </w:pPr>
          </w:p>
        </w:tc>
      </w:tr>
      <w:tr>
        <w:trPr>
          <w:trHeight w:val="209"/>
        </w:trPr>
        <w:tc>
          <w:tcPr>
            <w:tcW w:w="5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benefits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4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14,443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1,696</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4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23,713</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16,928</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Salary and benefits expense remained relatively unchanged for the year ended December 31, 2025, as compared to the same period in the prior year due to lower bonuses offsetting salary increases and new employee salaries. Stock-based compensation expense increased $14.4 million for the year ended December 31, 2024 due to stock option grants in late 2024 and during 2025.</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Legal fees consist of the cost of our legal counsel as well as legal costs related to our intellectual property. Professional fees consist of the costs incurred for accounting fees, capital market expenses, consulting fees and investor relations services, as well as fees paid to the members of our Board of Directors. Legal and professional fees increased $1.7 million for the year ended December 31, 2025 compared to the same period in the prior year primarily related to increased capital market expenses, consulting expenses, and accounting expenses, offset by a decrease in intellectual property related legal costs.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costs increased $0.7 million for the year ended December 31, 2025 compared to the same period in the prior year. Other costs include expenses incurred for franchise and other taxes, travel, supplies, insurance, depreciation and other miscellaneous charges. The increase was primarily attributable to increased costs for franchise and other taxes.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increased $1.9 million for the year ended December 31, 2025 as compared to the same period in the prior year primarily related to higher interest income on increased cash deposits as a result of the March 2025 Offering and warrant exercises during 2025, and increased interest rates. The Company had no interest expense for the year ended December 31, 2025 and an immaterial amount for the prior year. Other income (expense) was immaterial.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losses since our inception and, as of December 31, 2025, we had an accumulated deficit of $367.5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over the long term, imatinib for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PAH, and other potential indications, as well as identifying and developing other potential product candidates, and as a result, we will need to generate significant net product sales, royalty and other revenues to achieve profitability.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and have prioritized levosimendan; however, we will need substantial additional capital in the future in order to finalize the development of levosimendan, commence its commercialization, potentially develop imatinib, and to continue with the development of other potential product candidates.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financed our operations since September 1990 through the issuance of debt and equity securities and loans from stockholders. We had total current assets of $104.2 million and $96.7 million and working capital of $97.1 million and $92.0 million as of December 31, 2025 and December 31, 2024, respectively. Our practice is to invest excess cash, where available, in short-term money market investment instruments and high quality corporate and government bonds.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conducting the LEVEL trial and intend to recruit patients into the first half of 2026 and we commenced our LEVEL-2 trial in December 2025 and are currently enrolling patients. Our ability to continue to pursue development of our products, including completion of a second Phase 3 oral levosimendan trial, beyond 2027, will depend on obtaining license income, income from warrants exercised by investors should they elect to do so, or outside financial resources. There is no assurance that we will obtain any license agreement or outside financing or that we will otherwise succeed in obtaining any necessary resources.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2025, we sold in the March 2025 Offering an aggregate of 378,346 shares of our common stock and pre-funded warrants to purchase an aggregate of 3,760,726 shares of our common stock at an offering price of $6.04 per share of common stock and $6.03 per pre-funded warrant, resulting in gross proceeds of $25.0 million. The pre-funded warrants do not expire and have an exercise price of $0.01. Net proceeds from the offering were $23.2 million, after deducting the placement agent fees and offering expenses payable by the Company.</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2024, we sold in a private placement financing an aggregate of 1,450,661 shares of our common stock, and pre-funded warrants to purchase an aggregate of 31,882,671 shares of our common stock, and accompanying warrants to purchase up to an aggregate of 16,666,666 shares of our common stock with an exercise price of $4.50, at a combined offering price of $3.00 per share of common stock and accompanying warrant, or $2.99 per pre-funded warrant and accompanying warrant, resulting in gross proceeds of $99.7 million. Net proceeds from the offering were $92.3 million, after deducting the placement agent fees and offering expenses payable by the Company.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8, 2024, we sold in a registered public offering (the “February 2024 Offering”) an aggregate of 421,260 shares of our common stock and pre-funded warrants to purchase an aggregate of 1,178,740 shares of our common stock and (ii) accompanying warrants to purchase up to an aggregate of 3,200,000 shares of our common stock with an exercise price of $5.65, at a combined offering price of $5.65 per share of common stock and accompanying warrant, or $5.649 per pre-funded warrant and accompanying warrant, resulting in gross proceeds to the Company of $9.0 million. Net proceeds of the offering were $8.0 million, after deducting the placement agent fees and offering expenses payable by the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(35,800)</w:t>
            </w:r>
          </w:p>
        </w:tc>
        <w:tc>
          <w:tcPr>
            <w:tcW w:w="110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(14,811)</w:t>
            </w:r>
          </w:p>
        </w:tc>
      </w:tr>
      <w:tr>
        <w:trPr>
          <w:trHeight w:val="216"/>
        </w:trPr>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38,514</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99,870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$35.8 million for the year ended December 31, 2025, compared to $14.8 million for the year ended December 31, 2024. The increase in cash used for operating activities was primarily due to higher study expense activity and increased employee hiring in the year ended December 31, 2025 as compared to the prior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net cash provided or consumed by investing activities for the years ended December 31, 2025 and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was $38.5 million for the year ended December 31, 2025, as compared to $99.9 million in the year ended December 31, 2024. During the year ended December 31, 2025, the Company received proceeds of $23.2 million net cash provided from the sale of common stock and pre-funded warrants in the March 2025 Offering and $15.3 million from the exercise of warrants and pre-funded warrants. During the year ended December 31, 2024 the Company received proceeds of a total of </w:t>
      </w:r>
      <w:r>
        <w:rPr>
          <w:rFonts w:ascii="Times New Roman" w:cs="Times New Roman" w:eastAsia="Times New Roman" w:hAnsi="Times New Roman"/>
          <w:sz w:val="18"/>
          <w:szCs w:val="18"/>
          <w:color w:val="212529"/>
        </w:rPr>
        <w:t>$98.5 million from the August 8, 2024 and February 8, 2024 sales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stock, and pre-funded warrants and accompanying warrants, and $1.8 million from the exercise of warrants and pre-funded warrants, </w:t>
      </w:r>
      <w:r>
        <w:rPr>
          <w:rFonts w:ascii="Times New Roman" w:cs="Times New Roman" w:eastAsia="Times New Roman" w:hAnsi="Times New Roman"/>
          <w:sz w:val="18"/>
          <w:szCs w:val="18"/>
          <w:color w:val="000000"/>
        </w:rPr>
        <w:t>offset by the principal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payment of $0.5 million related to a short-term note.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that include, but are not limited to the following:</w:t>
      </w:r>
    </w:p>
    <w:p>
      <w:pPr>
        <w:spacing w:after="0" w:line="198"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design, progress, timing and completion of clinical trials for our product candidates and potential product candidates;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and the regulatory approval process;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pursue;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collaboration, licensing, consulting or other arrangements that we may enter into;</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and commercial supplies of our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costs of litigation.</w:t>
      </w:r>
    </w:p>
    <w:p>
      <w:pPr>
        <w:spacing w:after="0" w:line="166" w:lineRule="exact"/>
        <w:rPr>
          <w:sz w:val="20"/>
          <w:szCs w:val="20"/>
          <w:color w:val="auto"/>
        </w:rPr>
      </w:pPr>
    </w:p>
    <w:p>
      <w:pPr>
        <w:ind w:right="40"/>
        <w:spacing w:after="0" w:line="461" w:lineRule="auto"/>
        <w:rPr>
          <w:sz w:val="20"/>
          <w:szCs w:val="20"/>
          <w:color w:val="auto"/>
        </w:rPr>
      </w:pPr>
      <w:r>
        <w:rPr>
          <w:rFonts w:ascii="Times New Roman" w:cs="Times New Roman" w:eastAsia="Times New Roman" w:hAnsi="Times New Roman"/>
          <w:sz w:val="18"/>
          <w:szCs w:val="18"/>
          <w:color w:val="auto"/>
        </w:rPr>
        <w:t xml:space="preserve">Based on our working capital on December 31, 2025, we believe we have sufficient capital on hand to continue to fund operations through the end of 2027. </w:t>
      </w:r>
      <w:r>
        <w:rPr>
          <w:rFonts w:ascii="Times New Roman" w:cs="Times New Roman" w:eastAsia="Times New Roman" w:hAnsi="Times New Roman"/>
          <w:sz w:val="18"/>
          <w:szCs w:val="18"/>
          <w:b w:val="1"/>
          <w:bCs w:val="1"/>
          <w:i w:val="1"/>
          <w:iCs w:val="1"/>
          <w:color w:val="auto"/>
        </w:rPr>
        <w:t>Off-Balance Sheet Arrangements</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Policies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the accompanying consolidated financial statements in conformity with accounting principles generally accepted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of America, or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Preclinical Study and Clinical Accruals</w:t>
      </w:r>
      <w:r>
        <w:rPr>
          <w:rFonts w:ascii="Times New Roman" w:cs="Times New Roman" w:eastAsia="Times New Roman" w:hAnsi="Times New Roman"/>
          <w:sz w:val="18"/>
          <w:szCs w:val="18"/>
          <w:color w:val="auto"/>
        </w:rPr>
        <w:t>—We estimate our preclinical study and clinical trial expenses based on the services received pursuant to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several research institutions and CROs that conduct and manage preclinical and clinical trials on our behalf. The financial terms of the agreements vary from contract to contract and may result in uneven expenses and payment flows. Preclinical study and clinical trial expenses include the following:</w:t>
      </w:r>
    </w:p>
    <w:p>
      <w:pPr>
        <w:spacing w:after="0" w:line="135"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clinical trials;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research institutions in conjunction with preclinical research studies; and</w:t>
      </w:r>
    </w:p>
    <w:p>
      <w:pPr>
        <w:spacing w:after="0" w:line="9" w:lineRule="exact"/>
        <w:rPr>
          <w:rFonts w:ascii="Times New Roman" w:cs="Times New Roman" w:eastAsia="Times New Roman" w:hAnsi="Times New Roman"/>
          <w:sz w:val="18"/>
          <w:szCs w:val="18"/>
          <w:color w:val="auto"/>
        </w:rPr>
      </w:pPr>
    </w:p>
    <w:p>
      <w:pPr>
        <w:ind w:left="760" w:right="20" w:hanging="378"/>
        <w:spacing w:after="0" w:line="260"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Warrants for Common Shares and Derivative Financial Instruments</w:t>
      </w:r>
      <w:r>
        <w:rPr>
          <w:rFonts w:ascii="Times New Roman" w:cs="Times New Roman" w:eastAsia="Times New Roman" w:hAnsi="Times New Roman"/>
          <w:sz w:val="18"/>
          <w:szCs w:val="18"/>
          <w:color w:val="auto"/>
        </w:rPr>
        <w:t>—Warrants for shares of common stock and other derivative financial instruments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equity if the contracts: (i) require physical settlement or net-share settlement or (ii) give the Company a choice of net-cash settlement or settlement in its own shares (physical settlement or net-share settlement). Contracts are classified as equity or liabilities if the contracts: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that do not qualify for the scope exception. The Company assesses the classification of its warrants for shares of common stock and other derivatives at each reporting date to determine whether a change in classification between equity and liabilities is required.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The Company adopted and applied the amendments of this ASU to its disclosures. The application of this ASU did not have a material impact on the Company's financial position, results of operations or cash flows.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(Topic 220-40), which addresses the disaggregation of income statement expenses. This standard is effective for annual reporting periods beginning after December 15, 2026, and interim reporting periods beginning after December 15, 2027. The Company is evaluating this standard to determine if adoption will have a material impact on the Company’s consolidated financial statements.</w:t>
      </w:r>
    </w:p>
    <w:p>
      <w:pPr>
        <w:spacing w:after="0" w:line="149" w:lineRule="exact"/>
        <w:rPr>
          <w:sz w:val="20"/>
          <w:szCs w:val="20"/>
          <w:color w:val="auto"/>
        </w:rPr>
      </w:pPr>
    </w:p>
    <w:p>
      <w:pPr>
        <w:ind w:right="3800"/>
        <w:spacing w:after="0" w:line="460" w:lineRule="auto"/>
        <w:rPr>
          <w:sz w:val="20"/>
          <w:szCs w:val="20"/>
          <w:color w:val="auto"/>
        </w:rPr>
      </w:pPr>
      <w:r>
        <w:rPr>
          <w:rFonts w:ascii="Times New Roman" w:cs="Times New Roman" w:eastAsia="Times New Roman" w:hAnsi="Times New Roman"/>
          <w:sz w:val="18"/>
          <w:szCs w:val="18"/>
          <w:b w:val="1"/>
          <w:bCs w:val="1"/>
          <w:color w:val="auto"/>
        </w:rPr>
        <w:t xml:space="preserve">ITEM 7A—QUANTITATIVE AND QUALITATIVE DISCLOSURES ABOUT MARKET RISK </w:t>
      </w:r>
      <w:r>
        <w:rPr>
          <w:rFonts w:ascii="Times New Roman" w:cs="Times New Roman" w:eastAsia="Times New Roman" w:hAnsi="Times New Roman"/>
          <w:sz w:val="18"/>
          <w:szCs w:val="18"/>
          <w:color w:val="auto"/>
        </w:rPr>
        <w:t xml:space="preserve">Smaller reporting companies are not required to provide the information required by this item. </w:t>
      </w:r>
      <w:r>
        <w:rPr>
          <w:rFonts w:ascii="Times New Roman" w:cs="Times New Roman" w:eastAsia="Times New Roman" w:hAnsi="Times New Roman"/>
          <w:sz w:val="18"/>
          <w:szCs w:val="18"/>
          <w:b w:val="1"/>
          <w:bCs w:val="1"/>
          <w:color w:val="auto"/>
        </w:rPr>
        <w:t>ITEM 8—FINANCIAL STATEMENTS AND SUPPLEMENTARY DATA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statements included at the end of this report beginning on page F-1.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Annual Report on Form 10-K, of the effectiveness of our disclosure controls and procedures as defined in Exchange Act Rules 13a-15(e) and 15d-15(e).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their evaluation, our President and Chief Executive Officer and Interim Chief Financial Officer concluded that our disclosure controls and procedures were effective as of December 31, 2025, the end of the period covered by this Annual Report on Form 10-K,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as defined in Rule 13a-15(f) and Rule 15(d)-15(f) under the Exchange Act, is a process designed by, or under the supervision of, our President and Chief Executive Officer and Interim Chief Financial Officer and affected by our Board of Directors, management and other personnel to provide reasonable assurance regarding the reliability of financial reporting and the preparation of financial statements for external purposes in accordance with GAAP. Internal control over financial reporting includes those policies and procedures that:</w:t>
      </w:r>
    </w:p>
    <w:p>
      <w:pPr>
        <w:spacing w:after="0" w:line="156"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7"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our Board of Directors; and</w:t>
      </w:r>
    </w:p>
    <w:p>
      <w:pPr>
        <w:spacing w:after="0" w:line="1" w:lineRule="exact"/>
        <w:rPr>
          <w:rFonts w:ascii="Times New Roman" w:cs="Times New Roman" w:eastAsia="Times New Roman" w:hAnsi="Times New Roman"/>
          <w:sz w:val="18"/>
          <w:szCs w:val="18"/>
          <w:color w:val="auto"/>
        </w:rPr>
      </w:pPr>
    </w:p>
    <w:p>
      <w:pPr>
        <w:ind w:left="760" w:right="20" w:hanging="378"/>
        <w:spacing w:after="0" w:line="260"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2025. In making its assessment, management used the criteria established by the Committee of Sponsoring Organizations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Treadway Commission in its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Based on its assessment, management has concluded that our internal control over financial reporting was effective as of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Registered Public Accounting Firm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has not assessed the effectiveness of our internal control over financial reporting and, under SEC rules, will not be required to provide an attestation report on the effectiveness of our internal control over financial reporting so long as we qualify as a “non-accelerated filer”.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9B—OTHER INFORMATION</w:t>
      </w:r>
    </w:p>
    <w:p>
      <w:pPr>
        <w:spacing w:after="0" w:line="202" w:lineRule="exact"/>
        <w:rPr>
          <w:sz w:val="20"/>
          <w:szCs w:val="20"/>
          <w:color w:val="auto"/>
        </w:rPr>
      </w:pPr>
    </w:p>
    <w:p>
      <w:pPr>
        <w:ind w:left="1000" w:hanging="24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concerning our directors is incorporated by reference from the sections captioned “Election of Directors” and “Corporate Governance Matters” contained in our proxy statement related to the 2026 Annual Meeting of Stockholders currently scheduled to be held on June 18, 2026, which we intend to file with the SEC within 120 days of the end of our fiscal year pursuant to General Instruction G(3) of Form 10-K.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concerning our Audit and Compliance Committee is incorporated by reference from the section captioned “Corporate Governance Matters – Standing Committees – Audit and Compliance Committee” contained in our proxy statement related to the 2026 Annual Meeting of Stockholders.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Code of Ethics and Business Conduct (the “Code of Ethics”) applicable to all of our officers, directors and employees, including our principal executive officer, principal financial officer, principal accounting officer, controller, or persons performing similar functions. A copy of this Code of Ethics is available free of charge and is posted on our website at http://investors.tenaxthera.com/corporate-governance. In the event the Code of Ethics is revised, or any waiver is granted under the Code of Ethics with respect to our principal executive officer, principal financial officer, principal accounting officer, controller, or persons performing similar functions, notice of such revision or waiver will be posted on our website or disclosed on a current report on Form 8-K as required.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adopted an Insider Trading Policy governing the purchase, sale, and other dispositions of our securities by our directors, officers, and employees, and by the Company. We believe this policy is reasonably designed to promote compliance with insider trading laws, rules, and regulations and listing standards applicable to the Company. A copy of our Insider Trading Policy is filed as Exhibit 19.1 to this Annual Report on Form 10-K and is also available on our website at http://investors.tenaxthera.com/corporate-governance.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concerning our executive officers is set forth at the end of Part I of this Annual Report on Form 10-K.</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if any, concerning compliance with Section 16(a) of the Exchange Act will be incorporated by reference from the section of the proxy statement captioned “Delinquent Section 16(a) Reports”.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sections captioned “Executive Compensation” and “Director Compensation” in our proxy statement.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our equity compensation plans as of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issuances</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2022 Stock Incentive Plan</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6,616,131</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1,720,474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2016 Stock Incentive Plan, as amended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Amended and Restated 1999 Amended Stock Plan, as amended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50,830.55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 holders: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 Inducement Stock Option Grants (1)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250,314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6,866,746</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1,721,121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8"/>
        <w:spacing w:after="0" w:line="255" w:lineRule="auto"/>
        <w:tabs>
          <w:tab w:leader="none" w:pos="4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an option award for 250,000 shares of common stock to a new employee on January 21, 2025, which vests in four equal annual installments beginning on the first anniversary of the date of issuance, subject to the employee’s continued employment, with a 10-year term and an exercise price of $6.45 per share; and (b) options to purchase 314 shares of common stock, with a weighted average exercise price of $3,008, pursuant to the Plan for Employee Inducement Stock Options, which is filed as Exhibit 10.13 to this Annual Report on Form 10-K. The Plan became effective on July 6, 2021 when approved by the members of the Company’s Compensation Committee. These option awards were each granted in accordance with the employment inducement award exemption provided by Nasdaq Listing Rule 5635(c)(4) and therefore were not awarded under the Company’s stockholder approved equity plan.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other information required by this Item is incorporated by reference to the information under the section captioned “Security Ownership of Certain Beneficial Owners and Management” contained in our proxy statement.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section captioned “Certain Relationships and Related Transactions” and Corporate Governance Matters” in our proxy statement.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section captioned “Audit and Compliance Committee Report” in our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AND FINANCIAL STATEMENT SCHEDULES</w:t>
      </w:r>
    </w:p>
    <w:p>
      <w:pPr>
        <w:spacing w:after="0" w:line="2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List of documents filed as part of this report:</w:t>
      </w:r>
    </w:p>
    <w:p>
      <w:pPr>
        <w:spacing w:after="0" w:line="185"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84" w:lineRule="exact"/>
        <w:rPr>
          <w:rFonts w:ascii="Times New Roman" w:cs="Times New Roman" w:eastAsia="Times New Roman" w:hAnsi="Times New Roman"/>
          <w:sz w:val="18"/>
          <w:szCs w:val="18"/>
          <w:color w:val="auto"/>
        </w:rPr>
      </w:pPr>
    </w:p>
    <w:p>
      <w:pPr>
        <w:ind w:lef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and the related reports of the Company’s independent registered public accounting firm thereon have been filed under Item 8 hereof.</w:t>
      </w:r>
    </w:p>
    <w:p>
      <w:pPr>
        <w:spacing w:after="0" w:line="134" w:lineRule="exact"/>
        <w:rPr>
          <w:rFonts w:ascii="Times New Roman" w:cs="Times New Roman" w:eastAsia="Times New Roman" w:hAnsi="Times New Roman"/>
          <w:sz w:val="18"/>
          <w:szCs w:val="18"/>
          <w:color w:val="auto"/>
        </w:rPr>
      </w:pPr>
    </w:p>
    <w:p>
      <w:pPr>
        <w:ind w:left="380" w:right="8600" w:hanging="372"/>
        <w:spacing w:after="0" w:line="453"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198"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have been or are being filed herewith and are numbered in accordance with Item 601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gridSpan w:val="4"/>
          </w:tcPr>
          <w:p>
            <w:pPr>
              <w:ind w:left="2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4"/>
          </w:tcPr>
          <w:p>
            <w:pPr>
              <w:ind w:left="2020"/>
              <w:spacing w:after="0"/>
              <w:rPr>
                <w:sz w:val="20"/>
                <w:szCs w:val="20"/>
                <w:color w:val="auto"/>
              </w:rPr>
            </w:pPr>
            <w:r>
              <w:rPr>
                <w:rFonts w:ascii="Times New Roman" w:cs="Times New Roman" w:eastAsia="Times New Roman" w:hAnsi="Times New Roman"/>
                <w:sz w:val="18"/>
                <w:szCs w:val="18"/>
                <w:b w:val="1"/>
                <w:bCs w:val="1"/>
                <w:color w:val="auto"/>
              </w:rPr>
              <w:t>(Unless Otherwise Indicated)</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87"/>
        </w:trPr>
        <w:tc>
          <w:tcPr>
            <w:tcW w:w="9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5180" w:type="dxa"/>
            <w:vAlign w:val="bottom"/>
            <w:tcBorders>
              <w:bottom w:val="single" w:sz="8" w:color="auto"/>
            </w:tcBorders>
            <w:gridSpan w:val="4"/>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09"/>
        </w:trPr>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76"/>
        </w:trPr>
        <w:tc>
          <w:tcPr>
            <w:tcW w:w="240" w:type="dxa"/>
            <w:vAlign w:val="bottom"/>
            <w:tcBorders>
              <w:bottom w:val="single" w:sz="8" w:color="0000FF"/>
            </w:tcBorders>
            <w:shd w:val="clear" w:color="auto" w:fill="CCEEFF"/>
          </w:tcPr>
          <w:p>
            <w:pPr>
              <w:spacing w:after="0" w:line="176" w:lineRule="exact"/>
              <w:rPr>
                <w:rFonts w:ascii="Times New Roman" w:cs="Times New Roman" w:eastAsia="Times New Roman" w:hAnsi="Times New Roman"/>
                <w:sz w:val="18"/>
                <w:szCs w:val="18"/>
                <w:color w:val="0000FF"/>
                <w:w w:val="97"/>
              </w:rPr>
            </w:pPr>
            <w:hyperlink r:id="rId72">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0" w:type="dxa"/>
            <w:vAlign w:val="bottom"/>
            <w:tcBorders>
              <w:bottom w:val="single" w:sz="8" w:color="0000FF"/>
            </w:tcBorders>
            <w:gridSpan w:val="2"/>
            <w:shd w:val="clear" w:color="auto" w:fill="CCEEFF"/>
          </w:tcPr>
          <w:p>
            <w:pPr>
              <w:spacing w:after="0" w:line="17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Asset Purchase Agreement by and between Oxygen Biotherapeutics,</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Borders>
              <w:bottom w:val="single" w:sz="8" w:color="CCEEFF"/>
            </w:tcBorders>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80" w:type="dxa"/>
            <w:vAlign w:val="bottom"/>
            <w:tcBorders>
              <w:bottom w:val="single" w:sz="8" w:color="CCEEFF"/>
            </w:tcBorders>
            <w:shd w:val="clear" w:color="auto" w:fill="CCEEFF"/>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9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October 25, 2013</w:t>
            </w: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2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Inc., Life Newco, Inc., Phyxius Pharma, Inc., and the stockholders of</w:t>
              </w:r>
            </w:hyperlink>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r>
      <w:tr>
        <w:trPr>
          <w:trHeight w:val="196"/>
        </w:trPr>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80" w:type="dxa"/>
            <w:vAlign w:val="bottom"/>
            <w:gridSpan w:val="5"/>
            <w:shd w:val="clear" w:color="auto" w:fill="CCEEFF"/>
          </w:tcPr>
          <w:p>
            <w:pPr>
              <w:ind w:left="100"/>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Phyxius Pharma, Inc. dated October 21, 2013.</w:t>
              </w:r>
            </w:hyperlink>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2.2</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3.1</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3.2</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3.3</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4.1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4.2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4.3</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4.4</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4.5</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4.6</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Agreement and Plan of Merger among PHPrecisionMed Inc., Tenax</w:t>
              </w:r>
            </w:hyperlink>
          </w:p>
        </w:tc>
        <w:tc>
          <w:tcPr>
            <w:tcW w:w="140" w:type="dxa"/>
            <w:vAlign w:val="bottom"/>
          </w:tcPr>
          <w:p>
            <w:pPr>
              <w:spacing w:after="0"/>
              <w:rPr>
                <w:sz w:val="18"/>
                <w:szCs w:val="18"/>
                <w:color w:val="auto"/>
              </w:rPr>
            </w:pPr>
          </w:p>
        </w:tc>
        <w:tc>
          <w:tcPr>
            <w:tcW w:w="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001-34600</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January 19, 2021</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Therapeutics, Inc., Life Newco II, Inc., and Dr. Stuart Rich dated</w:t>
              </w:r>
            </w:hyperlink>
          </w:p>
        </w:tc>
        <w:tc>
          <w:tcPr>
            <w:tcW w:w="36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gridSpan w:val="17"/>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January 15, 2021.</w:t>
              </w:r>
            </w:hyperlink>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Amended and Restated Certificate of Incorporation, effective June 16,</w:t>
              </w:r>
            </w:hyperlink>
          </w:p>
        </w:tc>
        <w:tc>
          <w:tcPr>
            <w:tcW w:w="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001-34600</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June 17, 2025</w:t>
            </w:r>
          </w:p>
        </w:tc>
        <w:tc>
          <w:tcPr>
            <w:tcW w:w="0" w:type="dxa"/>
            <w:vAlign w:val="bottom"/>
          </w:tcPr>
          <w:p>
            <w:pPr>
              <w:spacing w:after="0"/>
              <w:rPr>
                <w:sz w:val="1"/>
                <w:szCs w:val="1"/>
                <w:color w:val="auto"/>
              </w:rPr>
            </w:pPr>
          </w:p>
        </w:tc>
      </w:tr>
      <w:tr>
        <w:trPr>
          <w:trHeight w:val="196"/>
        </w:trPr>
        <w:tc>
          <w:tcPr>
            <w:tcW w:w="4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3"/>
              </w:rPr>
            </w:pPr>
            <w:hyperlink r:id="rId74">
              <w:r>
                <w:rPr>
                  <w:rFonts w:ascii="Times New Roman" w:cs="Times New Roman" w:eastAsia="Times New Roman" w:hAnsi="Times New Roman"/>
                  <w:sz w:val="18"/>
                  <w:szCs w:val="18"/>
                  <w:color w:val="0000FF"/>
                  <w:w w:val="93"/>
                </w:rPr>
                <w:t>2025.</w:t>
              </w:r>
            </w:hyperlink>
          </w:p>
        </w:tc>
        <w:tc>
          <w:tcPr>
            <w:tcW w:w="20" w:type="dxa"/>
            <w:vAlign w:val="bottom"/>
            <w:tcBorders>
              <w:bottom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Certificate of Designation of Series A Convertible Preferred Stock,</w:t>
              </w:r>
            </w:hyperlink>
          </w:p>
        </w:tc>
        <w:tc>
          <w:tcPr>
            <w:tcW w:w="200" w:type="dxa"/>
            <w:vAlign w:val="bottom"/>
            <w:gridSpan w:val="2"/>
          </w:tcPr>
          <w:p>
            <w:pPr>
              <w:spacing w:after="0"/>
              <w:rPr>
                <w:sz w:val="24"/>
                <w:szCs w:val="24"/>
                <w:color w:val="auto"/>
              </w:rPr>
            </w:pPr>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001-34600</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w:t>
            </w:r>
          </w:p>
        </w:tc>
        <w:tc>
          <w:tcPr>
            <w:tcW w:w="1760" w:type="dxa"/>
            <w:vAlign w:val="bottom"/>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rPr>
              <w:t>December 11, 2018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gridSpan w:val="16"/>
            <w:vMerge w:val="restart"/>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dated December 10, 2018.</w:t>
              </w:r>
            </w:hyperlink>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080" w:type="dxa"/>
            <w:vAlign w:val="bottom"/>
            <w:gridSpan w:val="16"/>
            <w:vMerge w:val="continue"/>
          </w:tcPr>
          <w:p>
            <w:pPr>
              <w:spacing w:after="0"/>
              <w:rPr>
                <w:sz w:val="5"/>
                <w:szCs w:val="5"/>
                <w:color w:val="auto"/>
              </w:rPr>
            </w:pPr>
          </w:p>
        </w:tc>
        <w:tc>
          <w:tcPr>
            <w:tcW w:w="9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right w:val="single" w:sz="8" w:color="0000EE"/>
            </w:tcBorders>
            <w:gridSpan w:val="4"/>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8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Fourth Amended and Restated Bylaws.</w:t>
              </w:r>
            </w:hyperlink>
          </w:p>
        </w:tc>
        <w:tc>
          <w:tcPr>
            <w:tcW w:w="20" w:type="dxa"/>
            <w:vAlign w:val="bottom"/>
            <w:tcBorders>
              <w:bottom w:val="single" w:sz="8" w:color="0000EE"/>
            </w:tcBorders>
          </w:tcPr>
          <w:p>
            <w:pPr>
              <w:spacing w:after="0"/>
              <w:rPr>
                <w:sz w:val="24"/>
                <w:szCs w:val="24"/>
                <w:color w:val="auto"/>
              </w:rPr>
            </w:pPr>
          </w:p>
        </w:tc>
        <w:tc>
          <w:tcPr>
            <w:tcW w:w="2240" w:type="dxa"/>
            <w:vAlign w:val="bottom"/>
            <w:gridSpan w:val="10"/>
          </w:tcPr>
          <w:p>
            <w:pPr>
              <w:spacing w:after="0"/>
              <w:rPr>
                <w:sz w:val="24"/>
                <w:szCs w:val="24"/>
                <w:color w:val="auto"/>
              </w:rPr>
            </w:pPr>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001-34600</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August 15, 2023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80" w:type="dxa"/>
            <w:vAlign w:val="bottom"/>
            <w:gridSpan w:val="16"/>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Form of Unregistered Warrant, dated March 13, 2020.</w:t>
              </w:r>
            </w:hyperlink>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001-34600</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March 13,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80" w:type="dxa"/>
            <w:vAlign w:val="bottom"/>
            <w:gridSpan w:val="16"/>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of Placement Agent Warrant, dated March 13, 2020.</w:t>
              </w:r>
            </w:hyperlink>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001-34600</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March 13, 2020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20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Form of Unregistered Warrant, dated July 6, 2020.</w:t>
              </w:r>
            </w:hyperlink>
          </w:p>
        </w:tc>
        <w:tc>
          <w:tcPr>
            <w:tcW w:w="880" w:type="dxa"/>
            <w:vAlign w:val="bottom"/>
            <w:gridSpan w:val="4"/>
          </w:tcPr>
          <w:p>
            <w:pPr>
              <w:spacing w:after="0"/>
              <w:rPr>
                <w:sz w:val="24"/>
                <w:szCs w:val="24"/>
                <w:color w:val="auto"/>
              </w:rPr>
            </w:pPr>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001-34600</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July 8,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80" w:type="dxa"/>
            <w:vAlign w:val="bottom"/>
            <w:gridSpan w:val="16"/>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of Placement Agent Warrant, dated July 8, 2020.</w:t>
              </w:r>
            </w:hyperlink>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001-34600</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July 8, 2020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94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of Unregistered Warrant, dated July 6, 2021.</w:t>
              </w:r>
            </w:hyperlink>
          </w:p>
        </w:tc>
        <w:tc>
          <w:tcPr>
            <w:tcW w:w="1140" w:type="dxa"/>
            <w:vAlign w:val="bottom"/>
            <w:gridSpan w:val="5"/>
          </w:tcPr>
          <w:p>
            <w:pPr>
              <w:spacing w:after="0"/>
              <w:rPr>
                <w:sz w:val="24"/>
                <w:szCs w:val="24"/>
                <w:color w:val="auto"/>
              </w:rPr>
            </w:pPr>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001-34600</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July 8, 2021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4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Form of HCW Warrant, dated July 6, 2021.</w:t>
              </w:r>
            </w:hyperlink>
          </w:p>
        </w:tc>
        <w:tc>
          <w:tcPr>
            <w:tcW w:w="20" w:type="dxa"/>
            <w:vAlign w:val="bottom"/>
            <w:tcBorders>
              <w:top w:val="single" w:sz="8" w:color="0000FF"/>
              <w:bottom w:val="single" w:sz="8" w:color="0000EE"/>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20" w:type="dxa"/>
            <w:vAlign w:val="bottom"/>
            <w:gridSpan w:val="7"/>
          </w:tcPr>
          <w:p>
            <w:pPr>
              <w:spacing w:after="0"/>
              <w:rPr>
                <w:sz w:val="24"/>
                <w:szCs w:val="24"/>
                <w:color w:val="auto"/>
              </w:rPr>
            </w:pPr>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001-34600</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July 8,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-3136900</wp:posOffset>
            </wp:positionV>
            <wp:extent cx="713232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-2588260</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-2176780</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-1765300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-1490980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-1216660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-942340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-668020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-393700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-119380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 w:space="720"/>
            <w:col w:w="10220"/>
          </w:cols>
          <w:pgMar w:left="320" w:top="117"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10900"/>
          </w:cols>
          <w:pgMar w:left="320" w:top="11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4.7</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4.8</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4.9</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4.10</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4.11</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4.12</w:t>
        </w:r>
      </w:hyperlink>
    </w:p>
    <w:p>
      <w:pPr>
        <w:spacing w:after="0" w:line="33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4.13</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4.14</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4.15</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w:t>
      </w:r>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10.1.1+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10.1.2+</w:t>
        </w:r>
      </w:hyperlink>
    </w:p>
    <w:p>
      <w:pPr>
        <w:spacing w:after="0" w:line="200" w:lineRule="exact"/>
        <w:rPr>
          <w:sz w:val="20"/>
          <w:szCs w:val="20"/>
          <w:color w:val="auto"/>
        </w:rPr>
      </w:pPr>
    </w:p>
    <w:p>
      <w:pPr>
        <w:spacing w:after="0" w:line="241" w:lineRule="exact"/>
        <w:rPr>
          <w:sz w:val="20"/>
          <w:szCs w:val="20"/>
          <w:color w:val="auto"/>
        </w:rPr>
      </w:pPr>
    </w:p>
    <w:p>
      <w:pPr>
        <w:ind w:left="60"/>
        <w:spacing w:after="0"/>
        <w:rPr>
          <w:rFonts w:ascii="Times New Roman" w:cs="Times New Roman" w:eastAsia="Times New Roman" w:hAnsi="Times New Roman"/>
          <w:sz w:val="17"/>
          <w:szCs w:val="17"/>
          <w:u w:val="single" w:color="auto"/>
          <w:color w:val="0000FF"/>
        </w:rPr>
      </w:pPr>
      <w:hyperlink r:id="rId105">
        <w:r>
          <w:rPr>
            <w:rFonts w:ascii="Times New Roman" w:cs="Times New Roman" w:eastAsia="Times New Roman" w:hAnsi="Times New Roman"/>
            <w:sz w:val="17"/>
            <w:szCs w:val="17"/>
            <w:u w:val="single" w:color="auto"/>
            <w:color w:val="0000FF"/>
          </w:rPr>
          <w:t>10.1.3+</w:t>
        </w:r>
      </w:hyperlink>
    </w:p>
    <w:p>
      <w:pPr>
        <w:spacing w:after="0" w:line="200" w:lineRule="exact"/>
        <w:rPr>
          <w:sz w:val="20"/>
          <w:szCs w:val="20"/>
          <w:color w:val="auto"/>
        </w:rPr>
      </w:pPr>
    </w:p>
    <w:p>
      <w:pPr>
        <w:spacing w:after="0" w:line="25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10.1.4+</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10.1.5+</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10.1.6+</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10.2+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10.3.1*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u w:val="single" w:color="auto"/>
            <w:color w:val="0000FF"/>
          </w:rPr>
          <w:t>Form of Common Stock Warrant, dated May 19, 2022</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-119380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280"/>
        <w:spacing w:after="0" w:line="282"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Warrant Amendment Agreement, dated as of May 17, 2022, by and</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between the Company and the Investor.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Warrant Agency Agreement, dated February 3, 2023, by and between</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Tenax Therapeutics, Inc. and Direct Transfer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u w:val="single" w:color="auto"/>
            <w:color w:val="0000FF"/>
          </w:rPr>
          <w:t>Form of Common Stock Purchase Warrant, dated February 3, 2023</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-119380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Warrant Agency Agreement, dated February 12, 2024, by and between</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Tenax Therapeutics, Inc. and Direct Transfer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Form of Common Stock Purchase Warrant, dated February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-119380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520"/>
        <w:spacing w:after="0" w:line="282"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Form of Pre-Funded Warrant to Purchase Common Stock, dated</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August 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80"/>
        <w:spacing w:after="0" w:line="282" w:lineRule="auto"/>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u w:val="single" w:color="auto"/>
            <w:color w:val="0000FF"/>
          </w:rPr>
          <w:t>Form of Warrant to Purchase Shares of Common Stock or Pre-Funded</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Warrants, dated August 8, 2024</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Form of Pre-Funded Warrant to Purchase Common Stock, dated March</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5, 2025.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-119380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1999 Amended Stock Plan, as amended and restated June 17,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-119380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320"/>
        <w:spacing w:after="0" w:line="282"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Amendment No. 1 to Oxygen Biotherapeutics, Inc. 1999 Amended</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Stock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320"/>
        <w:spacing w:after="0" w:line="282"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Amendment No. 2 to Oxygen Biotherapeutics, Inc. 1999 Amended</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Stock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Form of Option issued to Executive Officers and Directors under 1999</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Amended Stock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Form of Option issued to Employees under 1999 Amended Stock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-119380</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140"/>
        <w:spacing w:after="0" w:line="282"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Form of Option Agreement with Form of Notice of Grant under 1999</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Amended Stock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Form of Indemnification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-119380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License Agreement dated September 20, 2013 by and between Phyxius</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Pharma, Inc. and Orion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4.2</w:t>
            </w:r>
          </w:p>
        </w:tc>
        <w:tc>
          <w:tcPr>
            <w:tcW w:w="1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May 20, 2022</w:t>
            </w:r>
          </w:p>
        </w:tc>
      </w:tr>
      <w:tr>
        <w:trPr>
          <w:trHeight w:val="432"/>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4.3</w:t>
            </w:r>
          </w:p>
        </w:tc>
        <w:tc>
          <w:tcPr>
            <w:tcW w:w="1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May 20, 2022</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February 7, 2023</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4.3</w:t>
            </w:r>
          </w:p>
        </w:tc>
        <w:tc>
          <w:tcPr>
            <w:tcW w:w="1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February 7, 2023</w:t>
            </w:r>
          </w:p>
        </w:tc>
      </w:tr>
      <w:tr>
        <w:trPr>
          <w:trHeight w:val="432"/>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12, 2024</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4.3</w:t>
            </w:r>
          </w:p>
        </w:tc>
        <w:tc>
          <w:tcPr>
            <w:tcW w:w="1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12, 2024</w:t>
            </w:r>
          </w:p>
        </w:tc>
      </w:tr>
      <w:tr>
        <w:trPr>
          <w:trHeight w:val="540"/>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August 6, 2024</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4.2</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August 6, 2024</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March 6, 2025</w:t>
            </w:r>
          </w:p>
        </w:tc>
      </w:tr>
      <w:tr>
        <w:trPr>
          <w:trHeight w:val="540"/>
        </w:trPr>
        <w:tc>
          <w:tcPr>
            <w:tcW w:w="5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432"/>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002-31909</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10.15</w:t>
            </w:r>
          </w:p>
        </w:tc>
        <w:tc>
          <w:tcPr>
            <w:tcW w:w="1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August 13, 2008</w:t>
            </w:r>
          </w:p>
        </w:tc>
      </w:tr>
      <w:tr>
        <w:trPr>
          <w:trHeight w:val="432"/>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10.19</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July 29, 2014</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10.20</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July 29, 2014</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002-31909</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10.5</w:t>
            </w:r>
          </w:p>
        </w:tc>
        <w:tc>
          <w:tcPr>
            <w:tcW w:w="1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August 13, 2004</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002-31909</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10.6</w:t>
            </w:r>
          </w:p>
        </w:tc>
        <w:tc>
          <w:tcPr>
            <w:tcW w:w="1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August 13, 2004</w:t>
            </w:r>
          </w:p>
        </w:tc>
      </w:tr>
      <w:tr>
        <w:trPr>
          <w:trHeight w:val="432"/>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10.9</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March 16, 2017</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10.36</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July 15, 2011</w:t>
            </w:r>
          </w:p>
        </w:tc>
      </w:tr>
      <w:tr>
        <w:trPr>
          <w:trHeight w:val="432"/>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10.3</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March 17, 2014</w:t>
            </w:r>
          </w:p>
        </w:tc>
      </w:tr>
    </w:tbl>
    <w:p>
      <w:pPr>
        <w:spacing w:after="0" w:line="452" w:lineRule="exact"/>
        <w:rPr>
          <w:sz w:val="20"/>
          <w:szCs w:val="20"/>
          <w:color w:val="auto"/>
        </w:rPr>
      </w:pPr>
    </w:p>
    <w:p>
      <w:pPr>
        <w:sectPr>
          <w:pgSz w:w="11900" w:h="16838" w:orient="portrait"/>
          <w:cols w:equalWidth="0" w:num="3">
            <w:col w:w="600" w:space="440"/>
            <w:col w:w="5140" w:space="300"/>
            <w:col w:w="4420"/>
          </w:cols>
          <w:pgMar w:left="320" w:top="117" w:right="679" w:bottom="1440" w:gutter="0" w:footer="0" w:header="0"/>
          <w:type w:val="continuous"/>
        </w:sectPr>
      </w:pPr>
    </w:p>
    <w:p>
      <w:pPr>
        <w:spacing w:after="0" w:line="3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10860"/>
          </w:cols>
          <w:pgMar w:left="320" w:top="117"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10.3.2*</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10.3.3*</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10.3.4*</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10.3.5*</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10.3.6*</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10.4.1+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10.4.2+</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10.4.3+</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10.4.4+</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10.4.5+</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10.4.6+</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10.5</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10.6</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10.7.1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1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to License Agreement, dated as of October 9, 2020, by</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October 15, 2020</w:t>
            </w: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and between Tenax Therapeutics, Inc. and Orion Corporation.</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to the License Agreement of September 20, 2013, by and</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January 28, 2022</w:t>
            </w: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between Tenax Therapeutics, Inc. and Orion Corporation, dated as of</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January 25, 2022.</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Third Amendment to the License Agreement of September 20, 2013,</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by and between Tenax Therapeutics, Inc. and Orion Corporation, dated</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as of February 19, 2024.</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Fourth Amendment to the License Agreement of September 20, 2013,</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10.3.5</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by and between Tenax Therapeutics, Inc. and Orion Corporation, dated</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as of October 2, 2024.</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Fifth Amendment to the License Agreement of September 20, 2013, by</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September 9, 2025</w:t>
            </w: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and between Tenax Therapeutics, Inc. and Orion Corporation, dated as</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of September 3, 2025.</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Tenax Therapeutics, Inc. 2016 Stock Incentive Plan.</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August 9, 2016</w:t>
            </w: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No. 1 to Tenax Therapeutics, Inc. 2016 Stock Incentive</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August 14, 2019</w:t>
            </w: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Plan.</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Amendment No. 2 to Tenax Therapeutics, Inc. 2016 Stock Incentive</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August 16, 2021</w:t>
            </w:r>
          </w:p>
        </w:tc>
      </w:tr>
      <w:tr>
        <w:trPr>
          <w:trHeight w:val="20"/>
        </w:trPr>
        <w:tc>
          <w:tcPr>
            <w:tcW w:w="2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Plan.</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Option issued to Non-Employee Directors under Tenax</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August 14, 2018</w:t>
            </w:r>
          </w:p>
        </w:tc>
      </w:tr>
      <w:tr>
        <w:trPr>
          <w:trHeight w:val="20"/>
        </w:trPr>
        <w:tc>
          <w:tcPr>
            <w:tcW w:w="2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Therapeutics, Inc. 2016 Stock Incentive Plan.</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Option issued to Employees and Contractors under Tenax</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August 14, 2018</w:t>
            </w:r>
          </w:p>
        </w:tc>
      </w:tr>
      <w:tr>
        <w:trPr>
          <w:trHeight w:val="20"/>
        </w:trPr>
        <w:tc>
          <w:tcPr>
            <w:tcW w:w="2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Therapeutics, Inc. 2016 Stock Incentive Plan.</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Incentive Stock Option Agreement under Tenax Therapeutics,</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August 14, 2018</w:t>
            </w:r>
          </w:p>
        </w:tc>
      </w:tr>
      <w:tr>
        <w:trPr>
          <w:trHeight w:val="20"/>
        </w:trPr>
        <w:tc>
          <w:tcPr>
            <w:tcW w:w="2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 2016 Stock Incentive Plan.</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Securities Purchase Agreement, dated as of March 11, 2020,</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March 13, 2020</w:t>
            </w:r>
          </w:p>
        </w:tc>
      </w:tr>
      <w:tr>
        <w:trPr>
          <w:trHeight w:val="20"/>
        </w:trPr>
        <w:tc>
          <w:tcPr>
            <w:tcW w:w="2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by and between Tenax Therapeutics, Inc. and the investor identified on</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the signature page thereto.</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Securities Purchase Agreement for Class C Units and Class D</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July 8, 2020</w:t>
            </w:r>
          </w:p>
        </w:tc>
      </w:tr>
      <w:tr>
        <w:trPr>
          <w:trHeight w:val="20"/>
        </w:trPr>
        <w:tc>
          <w:tcPr>
            <w:tcW w:w="2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Units, dated as of July 6, 2020, by and between Tenax Therapeutics,</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 and the Investor.</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3"/>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5180" w:type="dxa"/>
            <w:vAlign w:val="bottom"/>
            <w:gridSpan w:val="1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Securities Purchase Agreement for Class E Units and Class F</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July 8, 2020</w:t>
            </w:r>
          </w:p>
        </w:tc>
      </w:tr>
      <w:tr>
        <w:trPr>
          <w:trHeight w:val="20"/>
        </w:trPr>
        <w:tc>
          <w:tcPr>
            <w:tcW w:w="20" w:type="dxa"/>
            <w:vAlign w:val="bottom"/>
          </w:tcPr>
          <w:p>
            <w:pPr>
              <w:spacing w:after="0" w:line="20" w:lineRule="exact"/>
              <w:rPr>
                <w:sz w:val="1"/>
                <w:szCs w:val="1"/>
                <w:color w:val="auto"/>
              </w:rPr>
            </w:pPr>
          </w:p>
        </w:tc>
        <w:tc>
          <w:tcPr>
            <w:tcW w:w="226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8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180" w:type="dxa"/>
            <w:vAlign w:val="bottom"/>
            <w:gridSpan w:val="19"/>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Units, dated as of July 6, 2020, by</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-6291580</wp:posOffset>
            </wp:positionV>
            <wp:extent cx="71323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-5880100</wp:posOffset>
            </wp:positionV>
            <wp:extent cx="71323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-5331460</wp:posOffset>
            </wp:positionV>
            <wp:extent cx="713232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-4782820</wp:posOffset>
            </wp:positionV>
            <wp:extent cx="713232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-4234180</wp:posOffset>
            </wp:positionV>
            <wp:extent cx="7132320"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-3685540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-3411220</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-2999740</wp:posOffset>
            </wp:positionV>
            <wp:extent cx="71323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-2588260</wp:posOffset>
            </wp:positionV>
            <wp:extent cx="7132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-2176780</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-1765300</wp:posOffset>
            </wp:positionV>
            <wp:extent cx="71323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-1353820</wp:posOffset>
            </wp:positionV>
            <wp:extent cx="7132320"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-805180</wp:posOffset>
            </wp:positionV>
            <wp:extent cx="7132320"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-256540</wp:posOffset>
            </wp:positionV>
            <wp:extent cx="71323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480"/>
            <w:col w:w="9820"/>
          </w:cols>
          <w:pgMar w:left="320" w:top="117" w:right="719" w:bottom="1440" w:gutter="0" w:footer="0" w:header="0"/>
          <w:type w:val="continuous"/>
        </w:sectPr>
      </w:pPr>
    </w:p>
    <w:p>
      <w:pPr>
        <w:spacing w:after="0" w:line="24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7" w:right="71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10.7.2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10.8</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10.9.1+</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10.9.2+</w:t>
        </w:r>
      </w:hyperlink>
    </w:p>
    <w:p>
      <w:pPr>
        <w:spacing w:after="0" w:line="200" w:lineRule="exact"/>
        <w:rPr>
          <w:sz w:val="20"/>
          <w:szCs w:val="20"/>
          <w:color w:val="auto"/>
        </w:rPr>
      </w:pPr>
    </w:p>
    <w:p>
      <w:pPr>
        <w:spacing w:after="0" w:line="34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10.9.3+</w:t>
        </w:r>
      </w:hyperlink>
    </w:p>
    <w:p>
      <w:pPr>
        <w:spacing w:after="0" w:line="33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10.10</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and between Tenax Therapeutics, Inc. and the Investor.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-119380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u w:val="single" w:color="auto"/>
            <w:color w:val="0000FF"/>
          </w:rPr>
          <w:t>Waiver dated June 13, 2022</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-119380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0" w:right="220"/>
        <w:spacing w:after="0" w:line="282"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Form of Registration Rights Agreement, dated as of July 6, 2020, by</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and between Tenax Therapeutics, Inc. and the Investor.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20" w:right="80"/>
        <w:spacing w:after="0" w:line="282"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Executive Employment Agreement with Dr. Stuart Rich dated January</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20"/>
        <w:spacing w:after="0" w:line="282"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Amendment to Executive Employment Agreement with Dr. Stuart Rich</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dated June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-296545</wp:posOffset>
            </wp:positionV>
            <wp:extent cx="71323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Second Amendment to Executive Employment Agreement with Dr.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-119380</wp:posOffset>
            </wp:positionV>
            <wp:extent cx="7132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Stuart Rich, MD, dated January 6, 2026.</w:t>
        </w:r>
      </w:hyperlink>
    </w:p>
    <w:p>
      <w:pPr>
        <w:spacing w:after="0" w:line="207" w:lineRule="exact"/>
        <w:rPr>
          <w:sz w:val="20"/>
          <w:szCs w:val="20"/>
          <w:color w:val="auto"/>
        </w:rPr>
      </w:pPr>
    </w:p>
    <w:p>
      <w:pPr>
        <w:jc w:val="both"/>
        <w:ind w:left="20" w:right="120"/>
        <w:spacing w:after="0" w:line="266"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Securities Purchase Agreement for Unregistered Pre-Funded Warrant,</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dated as of July 6, 2021 by and between Tenax Therapeutics, Inc. and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the Investor.</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-654685</wp:posOffset>
            </wp:positionH>
            <wp:positionV relativeFrom="paragraph">
              <wp:posOffset>-424815</wp:posOffset>
            </wp:positionV>
            <wp:extent cx="7132320" cy="411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37"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June 16, 2022</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10.3</w:t>
            </w:r>
          </w:p>
        </w:tc>
        <w:tc>
          <w:tcPr>
            <w:tcW w:w="1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July 8, 2020</w:t>
            </w:r>
          </w:p>
        </w:tc>
      </w:tr>
      <w:tr>
        <w:trPr>
          <w:trHeight w:val="64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January 19, 2021</w:t>
            </w:r>
          </w:p>
        </w:tc>
      </w:tr>
      <w:tr>
        <w:trPr>
          <w:trHeight w:val="64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c>
          <w:tcPr>
            <w:tcW w:w="1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June 13, 2024</w:t>
            </w:r>
          </w:p>
        </w:tc>
      </w:tr>
      <w:tr>
        <w:trPr>
          <w:trHeight w:val="7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January 6, 2026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July 8, 2021</w:t>
            </w:r>
          </w:p>
        </w:tc>
      </w:tr>
    </w:tbl>
    <w:p>
      <w:pPr>
        <w:spacing w:after="0" w:line="616"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560" w:space="480"/>
            <w:col w:w="5180" w:space="340"/>
            <w:col w:w="46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FF"/>
            </w:tcBorders>
            <w:shd w:val="clear" w:color="auto" w:fill="CCEEFF"/>
          </w:tcPr>
          <w:p>
            <w:pPr>
              <w:spacing w:after="0"/>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FF"/>
            </w:tcBorders>
            <w:gridSpan w:val="12"/>
            <w:shd w:val="clear" w:color="auto" w:fill="CCEEFF"/>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Registration Rights Agreement, dated July 6, 2021, by and between</w:t>
              </w:r>
            </w:hyperlink>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20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July 8, 2021</w:t>
            </w:r>
          </w:p>
        </w:tc>
      </w:tr>
      <w:tr>
        <w:trPr>
          <w:trHeight w:val="217"/>
        </w:trPr>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6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Tenax Therapeutics, Inc. and the Investor.</w:t>
              </w:r>
            </w:hyperlink>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7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6"/>
        </w:trPr>
        <w:tc>
          <w:tcPr>
            <w:tcW w:w="6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1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Executive Employment Agreement dated July 6, 2021, by and between</w:t>
              </w:r>
            </w:hyperlink>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202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July 8, 2021</w:t>
            </w:r>
          </w:p>
        </w:tc>
      </w:tr>
      <w:tr>
        <w:trPr>
          <w:trHeight w:val="216"/>
        </w:trPr>
        <w:tc>
          <w:tcPr>
            <w:tcW w:w="4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Tenax Therapeutics, Inc. and Christopher T. Giordano.</w:t>
              </w:r>
            </w:hyperlink>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7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5"/>
        </w:trPr>
        <w:tc>
          <w:tcPr>
            <w:tcW w:w="520" w:type="dxa"/>
            <w:vAlign w:val="bottom"/>
            <w:tcBorders>
              <w:bottom w:val="single" w:sz="8" w:color="0000FF"/>
            </w:tcBorders>
            <w:gridSpan w:val="2"/>
            <w:shd w:val="clear" w:color="auto" w:fill="CCEEFF"/>
          </w:tcPr>
          <w:p>
            <w:pPr>
              <w:spacing w:after="0" w:line="176" w:lineRule="exact"/>
              <w:rPr>
                <w:rFonts w:ascii="Times New Roman" w:cs="Times New Roman" w:eastAsia="Times New Roman" w:hAnsi="Times New Roman"/>
                <w:sz w:val="18"/>
                <w:szCs w:val="18"/>
                <w:color w:val="0000FF"/>
                <w:w w:val="98"/>
              </w:rPr>
            </w:pPr>
            <w:hyperlink r:id="rId17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4900" w:type="dxa"/>
            <w:vAlign w:val="bottom"/>
            <w:tcBorders>
              <w:bottom w:val="single" w:sz="8" w:color="0000FF"/>
            </w:tcBorders>
            <w:gridSpan w:val="11"/>
            <w:shd w:val="clear" w:color="auto" w:fill="CCEEFF"/>
          </w:tcPr>
          <w:p>
            <w:pPr>
              <w:spacing w:after="0" w:line="17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Plan for Employee Inducement Stock Options adopted July 6, 2021</w:t>
              </w:r>
            </w:hyperlink>
          </w:p>
        </w:tc>
        <w:tc>
          <w:tcPr>
            <w:tcW w:w="260" w:type="dxa"/>
            <w:vAlign w:val="bottom"/>
            <w:tcBorders>
              <w:bottom w:val="single" w:sz="8" w:color="CCEEFF"/>
            </w:tcBorders>
            <w:gridSpan w:val="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202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July 8, 2021</w:t>
            </w:r>
          </w:p>
        </w:tc>
      </w:tr>
      <w:tr>
        <w:trPr>
          <w:trHeight w:val="216"/>
        </w:trPr>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6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with Form of Stock Option Agreement.</w:t>
              </w:r>
            </w:hyperlink>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7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5"/>
        </w:trPr>
        <w:tc>
          <w:tcPr>
            <w:tcW w:w="640" w:type="dxa"/>
            <w:vAlign w:val="bottom"/>
            <w:tcBorders>
              <w:bottom w:val="single" w:sz="8" w:color="0000FF"/>
            </w:tcBorders>
            <w:gridSpan w:val="3"/>
            <w:shd w:val="clear" w:color="auto" w:fill="CCEEFF"/>
          </w:tcPr>
          <w:p>
            <w:pPr>
              <w:spacing w:after="0" w:line="176" w:lineRule="exact"/>
              <w:rPr>
                <w:rFonts w:ascii="Times New Roman" w:cs="Times New Roman" w:eastAsia="Times New Roman" w:hAnsi="Times New Roman"/>
                <w:sz w:val="18"/>
                <w:szCs w:val="18"/>
                <w:color w:val="0000FF"/>
                <w:w w:val="96"/>
              </w:rPr>
            </w:pPr>
            <w:hyperlink r:id="rId174">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14</w:t>
              </w:r>
              <w:r>
                <w:rPr>
                  <w:rFonts w:ascii="Times New Roman" w:cs="Times New Roman" w:eastAsia="Times New Roman" w:hAnsi="Times New Roman"/>
                  <w:sz w:val="18"/>
                  <w:szCs w:val="18"/>
                  <w:color w:val="0000FF"/>
                  <w:w w:val="96"/>
                </w:rPr>
                <w:t xml:space="preserve"> +*</w:t>
              </w:r>
            </w:hyperlink>
          </w:p>
        </w:tc>
        <w:tc>
          <w:tcPr>
            <w:tcW w:w="60" w:type="dxa"/>
            <w:vAlign w:val="bottom"/>
            <w:tcBorders>
              <w:bottom w:val="single" w:sz="8" w:color="0000EE"/>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5120" w:type="dxa"/>
            <w:vAlign w:val="bottom"/>
            <w:tcBorders>
              <w:bottom w:val="single" w:sz="8" w:color="0000FF"/>
            </w:tcBorders>
            <w:gridSpan w:val="13"/>
            <w:shd w:val="clear" w:color="auto" w:fill="CCEEFF"/>
          </w:tcPr>
          <w:p>
            <w:pPr>
              <w:spacing w:after="0" w:line="17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Consulting Agreement dated October 14, 2021, by and between Tenax</w:t>
              </w:r>
            </w:hyperlink>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10.20</w:t>
            </w:r>
          </w:p>
        </w:tc>
        <w:tc>
          <w:tcPr>
            <w:tcW w:w="2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29, 2022</w:t>
            </w:r>
          </w:p>
        </w:tc>
      </w:tr>
      <w:tr>
        <w:trPr>
          <w:trHeight w:val="216"/>
        </w:trPr>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6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Therapeutics, Inc. and Danforth Advisors, LLC.</w:t>
              </w:r>
            </w:hyperlink>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7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5"/>
        </w:trPr>
        <w:tc>
          <w:tcPr>
            <w:tcW w:w="5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1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Securities Purchase Agreement for Units, dated as of May 17, 2022, by</w:t>
              </w:r>
            </w:hyperlink>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May 20, 2022</w:t>
            </w:r>
          </w:p>
        </w:tc>
      </w:tr>
      <w:tr>
        <w:trPr>
          <w:trHeight w:val="216"/>
        </w:trPr>
        <w:tc>
          <w:tcPr>
            <w:tcW w:w="4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and between the Company and the Investor</w:t>
              </w:r>
              <w:r>
                <w:rPr>
                  <w:rFonts w:ascii="Times New Roman" w:cs="Times New Roman" w:eastAsia="Times New Roman" w:hAnsi="Times New Roman"/>
                  <w:sz w:val="18"/>
                  <w:szCs w:val="18"/>
                  <w:color w:val="000000"/>
                </w:rPr>
                <w:t>.</w:t>
              </w:r>
            </w:hyperlink>
          </w:p>
        </w:tc>
        <w:tc>
          <w:tcPr>
            <w:tcW w:w="20" w:type="dxa"/>
            <w:vAlign w:val="bottom"/>
            <w:tcBorders>
              <w:top w:val="single" w:sz="8" w:color="0000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7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5"/>
        </w:trPr>
        <w:tc>
          <w:tcPr>
            <w:tcW w:w="420" w:type="dxa"/>
            <w:vAlign w:val="bottom"/>
            <w:tcBorders>
              <w:bottom w:val="single" w:sz="8" w:color="0000FF"/>
            </w:tcBorders>
            <w:shd w:val="clear" w:color="auto" w:fill="CCEEFF"/>
          </w:tcPr>
          <w:p>
            <w:pPr>
              <w:spacing w:after="0" w:line="176" w:lineRule="exact"/>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4780" w:type="dxa"/>
            <w:vAlign w:val="bottom"/>
            <w:tcBorders>
              <w:bottom w:val="single" w:sz="8" w:color="0000FF"/>
            </w:tcBorders>
            <w:gridSpan w:val="10"/>
            <w:shd w:val="clear" w:color="auto" w:fill="CCEEFF"/>
          </w:tcPr>
          <w:p>
            <w:pPr>
              <w:spacing w:after="0" w:line="17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Registration Rights Agreement, dated as of May 17, 2022, by and</w:t>
              </w:r>
            </w:hyperlink>
          </w:p>
        </w:tc>
        <w:tc>
          <w:tcPr>
            <w:tcW w:w="380" w:type="dxa"/>
            <w:vAlign w:val="bottom"/>
            <w:tcBorders>
              <w:bottom w:val="single" w:sz="8" w:color="CCEEFF"/>
            </w:tcBorders>
            <w:gridSpan w:val="4"/>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02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May 20, 2022</w:t>
            </w:r>
          </w:p>
        </w:tc>
      </w:tr>
      <w:tr>
        <w:trPr>
          <w:trHeight w:val="216"/>
        </w:trPr>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6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between the Company and the Investor</w:t>
              </w:r>
              <w:r>
                <w:rPr>
                  <w:rFonts w:ascii="Times New Roman" w:cs="Times New Roman" w:eastAsia="Times New Roman" w:hAnsi="Times New Roman"/>
                  <w:sz w:val="18"/>
                  <w:szCs w:val="18"/>
                  <w:color w:val="000000"/>
                </w:rPr>
                <w:t>.</w:t>
              </w:r>
            </w:hyperlink>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74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96"/>
        </w:trPr>
        <w:tc>
          <w:tcPr>
            <w:tcW w:w="6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FF"/>
                <w:w w:val="96"/>
              </w:rPr>
            </w:pPr>
            <w:hyperlink r:id="rId177">
              <w:r>
                <w:rPr>
                  <w:rFonts w:ascii="Times New Roman" w:cs="Times New Roman" w:eastAsia="Times New Roman" w:hAnsi="Times New Roman"/>
                  <w:sz w:val="18"/>
                  <w:szCs w:val="18"/>
                  <w:color w:val="0000FF"/>
                  <w:w w:val="96"/>
                </w:rPr>
                <w:t>10.17.1+</w:t>
              </w:r>
            </w:hyperlink>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1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Tenax Therapeutics, Inc. 2022 Stock Incentive Plan</w:t>
              </w:r>
            </w:hyperlink>
            <w:r>
              <w:rPr>
                <w:rFonts w:ascii="Times New Roman" w:cs="Times New Roman" w:eastAsia="Times New Roman" w:hAnsi="Times New Roman"/>
                <w:sz w:val="18"/>
                <w:szCs w:val="18"/>
                <w:color w:val="000000"/>
              </w:rPr>
              <w:t>.</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June 10, 2022</w:t>
            </w:r>
          </w:p>
        </w:tc>
      </w:tr>
      <w:tr>
        <w:trPr>
          <w:trHeight w:val="216"/>
        </w:trPr>
        <w:tc>
          <w:tcPr>
            <w:tcW w:w="4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7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5"/>
        </w:trPr>
        <w:tc>
          <w:tcPr>
            <w:tcW w:w="640" w:type="dxa"/>
            <w:vAlign w:val="bottom"/>
            <w:tcBorders>
              <w:bottom w:val="single" w:sz="8" w:color="0000FF"/>
            </w:tcBorders>
            <w:gridSpan w:val="3"/>
            <w:shd w:val="clear" w:color="auto" w:fill="CCEEFF"/>
          </w:tcPr>
          <w:p>
            <w:pPr>
              <w:spacing w:after="0" w:line="176" w:lineRule="exact"/>
              <w:rPr>
                <w:rFonts w:ascii="Times New Roman" w:cs="Times New Roman" w:eastAsia="Times New Roman" w:hAnsi="Times New Roman"/>
                <w:sz w:val="18"/>
                <w:szCs w:val="18"/>
                <w:color w:val="0000FF"/>
                <w:w w:val="96"/>
              </w:rPr>
            </w:pPr>
            <w:hyperlink r:id="rId178">
              <w:r>
                <w:rPr>
                  <w:rFonts w:ascii="Times New Roman" w:cs="Times New Roman" w:eastAsia="Times New Roman" w:hAnsi="Times New Roman"/>
                  <w:sz w:val="18"/>
                  <w:szCs w:val="18"/>
                  <w:color w:val="0000FF"/>
                  <w:w w:val="96"/>
                </w:rPr>
                <w:t>10.17.2+</w:t>
              </w:r>
            </w:hyperlink>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4520" w:type="dxa"/>
            <w:vAlign w:val="bottom"/>
            <w:tcBorders>
              <w:bottom w:val="single" w:sz="8" w:color="0000FF"/>
            </w:tcBorders>
            <w:gridSpan w:val="9"/>
            <w:shd w:val="clear" w:color="auto" w:fill="CCEEFF"/>
          </w:tcPr>
          <w:p>
            <w:pPr>
              <w:spacing w:after="0" w:line="17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Amendment No. 1 to the Tenax Therapeutics, Inc. 2022 Stock</w:t>
              </w:r>
            </w:hyperlink>
          </w:p>
        </w:tc>
        <w:tc>
          <w:tcPr>
            <w:tcW w:w="640" w:type="dxa"/>
            <w:vAlign w:val="bottom"/>
            <w:tcBorders>
              <w:bottom w:val="single" w:sz="8" w:color="CCEEFF"/>
            </w:tcBorders>
            <w:gridSpan w:val="5"/>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June 13, 2024</w:t>
            </w:r>
          </w:p>
        </w:tc>
      </w:tr>
      <w:tr>
        <w:trPr>
          <w:trHeight w:val="216"/>
        </w:trPr>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6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Incentive Plan.</w:t>
              </w:r>
            </w:hyperlink>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5"/>
        </w:trPr>
        <w:tc>
          <w:tcPr>
            <w:tcW w:w="640" w:type="dxa"/>
            <w:vAlign w:val="bottom"/>
            <w:tcBorders>
              <w:bottom w:val="single" w:sz="8" w:color="0000FF"/>
            </w:tcBorders>
            <w:gridSpan w:val="3"/>
            <w:shd w:val="clear" w:color="auto" w:fill="CCEEFF"/>
          </w:tcPr>
          <w:p>
            <w:pPr>
              <w:spacing w:after="0" w:line="176" w:lineRule="exact"/>
              <w:rPr>
                <w:rFonts w:ascii="Times New Roman" w:cs="Times New Roman" w:eastAsia="Times New Roman" w:hAnsi="Times New Roman"/>
                <w:sz w:val="18"/>
                <w:szCs w:val="18"/>
                <w:color w:val="0000FF"/>
                <w:w w:val="96"/>
              </w:rPr>
            </w:pPr>
            <w:hyperlink r:id="rId179">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17.3+</w:t>
              </w:r>
            </w:hyperlink>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4520" w:type="dxa"/>
            <w:vAlign w:val="bottom"/>
            <w:tcBorders>
              <w:bottom w:val="single" w:sz="8" w:color="0000FF"/>
            </w:tcBorders>
            <w:gridSpan w:val="9"/>
            <w:shd w:val="clear" w:color="auto" w:fill="CCEEFF"/>
          </w:tcPr>
          <w:p>
            <w:pPr>
              <w:spacing w:after="0" w:line="17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Amendment No. 2 to the Tenax Therapeutics, Inc. 2022 Stock</w:t>
              </w:r>
            </w:hyperlink>
          </w:p>
        </w:tc>
        <w:tc>
          <w:tcPr>
            <w:tcW w:w="640" w:type="dxa"/>
            <w:vAlign w:val="bottom"/>
            <w:tcBorders>
              <w:bottom w:val="single" w:sz="8" w:color="CCEEFF"/>
            </w:tcBorders>
            <w:gridSpan w:val="5"/>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30, 2024</w:t>
            </w:r>
          </w:p>
        </w:tc>
      </w:tr>
      <w:tr>
        <w:trPr>
          <w:trHeight w:val="216"/>
        </w:trPr>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6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Incentive Plan.</w:t>
              </w:r>
            </w:hyperlink>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864"/>
        </w:trPr>
        <w:tc>
          <w:tcPr>
            <w:tcW w:w="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3700" w:type="dxa"/>
            <w:vAlign w:val="bottom"/>
            <w:tcBorders>
              <w:top w:val="single" w:sz="8" w:color="CCEEFF"/>
            </w:tcBorders>
            <w:gridSpan w:val="9"/>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10900"/>
          </w:cols>
          <w:pgMar w:left="320" w:top="11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10.17.4+</w:t>
        </w:r>
      </w:hyperlink>
    </w:p>
    <w:p>
      <w:pPr>
        <w:spacing w:after="0" w:line="200" w:lineRule="exact"/>
        <w:rPr>
          <w:sz w:val="20"/>
          <w:szCs w:val="20"/>
          <w:color w:val="auto"/>
        </w:rPr>
      </w:pPr>
    </w:p>
    <w:p>
      <w:pPr>
        <w:spacing w:after="0" w:line="36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10.18</w:t>
        </w:r>
      </w:hyperlink>
    </w:p>
    <w:p>
      <w:pPr>
        <w:spacing w:after="0" w:line="200" w:lineRule="exact"/>
        <w:rPr>
          <w:sz w:val="20"/>
          <w:szCs w:val="20"/>
          <w:color w:val="auto"/>
        </w:rPr>
      </w:pPr>
    </w:p>
    <w:p>
      <w:pPr>
        <w:spacing w:after="0" w:line="34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10.19</w:t>
        </w:r>
      </w:hyperlink>
    </w:p>
    <w:p>
      <w:pPr>
        <w:spacing w:after="0" w:line="200" w:lineRule="exact"/>
        <w:rPr>
          <w:sz w:val="20"/>
          <w:szCs w:val="20"/>
          <w:color w:val="auto"/>
        </w:rPr>
      </w:pPr>
    </w:p>
    <w:p>
      <w:pPr>
        <w:spacing w:after="0" w:line="34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10.20</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10.21</w:t>
        </w:r>
      </w:hyperlink>
    </w:p>
    <w:p>
      <w:pPr>
        <w:spacing w:after="0" w:line="200" w:lineRule="exact"/>
        <w:rPr>
          <w:sz w:val="20"/>
          <w:szCs w:val="20"/>
          <w:color w:val="auto"/>
        </w:rPr>
      </w:pPr>
    </w:p>
    <w:p>
      <w:pPr>
        <w:spacing w:after="0" w:line="34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10.22</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10.23</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10.24</w:t>
        </w:r>
      </w:hyperlink>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10.25+</w:t>
        </w:r>
      </w:hyperlink>
    </w:p>
    <w:p>
      <w:pPr>
        <w:spacing w:after="0" w:line="33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10.26</w:t>
        </w:r>
      </w:hyperlink>
    </w:p>
    <w:p>
      <w:pPr>
        <w:spacing w:after="0" w:line="200" w:lineRule="exact"/>
        <w:rPr>
          <w:sz w:val="20"/>
          <w:szCs w:val="20"/>
          <w:color w:val="auto"/>
        </w:rPr>
      </w:pPr>
    </w:p>
    <w:p>
      <w:pPr>
        <w:spacing w:after="0" w:line="34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10.27</w:t>
        </w:r>
      </w:hyperlink>
    </w:p>
    <w:p>
      <w:pPr>
        <w:spacing w:after="0" w:line="200" w:lineRule="exact"/>
        <w:rPr>
          <w:sz w:val="20"/>
          <w:szCs w:val="20"/>
          <w:color w:val="auto"/>
        </w:rPr>
      </w:pPr>
    </w:p>
    <w:p>
      <w:pPr>
        <w:spacing w:after="0" w:line="34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19.1</w:t>
        </w:r>
      </w:hyperlink>
    </w:p>
    <w:p>
      <w:pPr>
        <w:spacing w:after="0" w:line="33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21.1</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2" w:lineRule="auto"/>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u w:val="single" w:color="auto"/>
            <w:color w:val="0000FF"/>
          </w:rPr>
          <w:t>Form of Notice of Stock Option Grant and Award Agreement under</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the Tenax Therapeutics, Inc. 2022 Stock Incentive Plan</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120"/>
        <w:spacing w:after="0" w:line="312" w:lineRule="auto"/>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7"/>
            <w:szCs w:val="17"/>
            <w:u w:val="single" w:color="auto"/>
            <w:color w:val="0000FF"/>
          </w:rPr>
          <w:t>Placement Agency Agreement, dated as of February 3, 2023, by and</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between Tenax Therapeutics, Inc. and Roth Capital Partners,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-310515</wp:posOffset>
            </wp:positionV>
            <wp:extent cx="713232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0" w:lineRule="exact"/>
        <w:rPr>
          <w:sz w:val="20"/>
          <w:szCs w:val="20"/>
          <w:color w:val="auto"/>
        </w:rPr>
      </w:pPr>
    </w:p>
    <w:p>
      <w:pPr>
        <w:ind w:right="60"/>
        <w:spacing w:after="0" w:line="266"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Form of Securities Purchase Agreement dated as of February 3, 2023</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by and between Tenax Therapeutics, Inc. and the purchasers named</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32320" cy="411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right="100"/>
        <w:spacing w:after="0" w:line="282"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Form of Leak-Out Agreement, dated as of February 3, 2023 by and</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between Tenax Therapeutics, Inc. and the purchasers named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120"/>
        <w:spacing w:after="0" w:line="312" w:lineRule="auto"/>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Placement Agency Agreement, dated as of February 8, 2024, by and</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between Tenax Therapeutics, Inc. and Roth Capital Partners,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-310515</wp:posOffset>
            </wp:positionV>
            <wp:extent cx="713232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0" w:lineRule="exact"/>
        <w:rPr>
          <w:sz w:val="20"/>
          <w:szCs w:val="20"/>
          <w:color w:val="auto"/>
        </w:rPr>
      </w:pPr>
    </w:p>
    <w:p>
      <w:pPr>
        <w:ind w:right="240"/>
        <w:spacing w:after="0" w:line="266"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Form of Securities Purchase Agreement, dated as of February 8,</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2024, by and between Tenax Therapeutics, Inc. and the purchasers</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named 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32320" cy="411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right="100"/>
        <w:spacing w:after="0" w:line="266"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Form of Securities Purchase Agreement, dated as of August 6, 2024,</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by and between Tenax Therapeutics, Inc. and the purchasers named</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32320"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right="100"/>
        <w:spacing w:after="0" w:line="266"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Form of Registration Rights Agreement, dated as of August 6, 2024,</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by and between Tenax Therapeutics, Inc. and the purchasers named</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32320" cy="411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Form of Inducement Stock Option Award Agreement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spacing w:after="0" w:line="282"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Form of Securities Purchase Agreement, dated March 4, 2025, by and</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among Tenax Therapeutics, Inc. and the investors signatory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jc w:val="both"/>
        <w:ind w:right="160"/>
        <w:spacing w:after="0" w:line="266"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Form of Registration Rights Agreement, dated as of March 5, 2025,</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by and between Tenax Therapeutics, Inc. and the purchasers named</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32320" cy="411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right="720"/>
        <w:spacing w:after="0" w:line="282"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Tenax Therapeutics, Inc. Insider Trading Policy, dated as of</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September 20,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List of Subsidiaries of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June 10, 2022</w:t>
            </w:r>
          </w:p>
        </w:tc>
      </w:tr>
      <w:tr>
        <w:trPr>
          <w:trHeight w:val="756"/>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February 7, 2023</w:t>
            </w:r>
          </w:p>
        </w:tc>
      </w:tr>
      <w:tr>
        <w:trPr>
          <w:trHeight w:val="756"/>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February 7, 2023</w:t>
            </w:r>
          </w:p>
        </w:tc>
      </w:tr>
      <w:tr>
        <w:trPr>
          <w:trHeight w:val="756"/>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10.3</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February 7, 2023</w:t>
            </w:r>
          </w:p>
        </w:tc>
      </w:tr>
      <w:tr>
        <w:trPr>
          <w:trHeight w:val="648"/>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February 12, 2024</w:t>
            </w:r>
          </w:p>
        </w:tc>
      </w:tr>
      <w:tr>
        <w:trPr>
          <w:trHeight w:val="756"/>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February 12, 2024</w:t>
            </w:r>
          </w:p>
        </w:tc>
      </w:tr>
      <w:tr>
        <w:trPr>
          <w:trHeight w:val="86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August 6, 2024</w:t>
            </w:r>
          </w:p>
        </w:tc>
      </w:tr>
      <w:tr>
        <w:trPr>
          <w:trHeight w:val="86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August 6, 2024</w:t>
            </w:r>
          </w:p>
        </w:tc>
      </w:tr>
      <w:tr>
        <w:trPr>
          <w:trHeight w:val="648"/>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10.26</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540"/>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March 6, 2025</w:t>
            </w:r>
          </w:p>
        </w:tc>
      </w:tr>
      <w:tr>
        <w:trPr>
          <w:trHeight w:val="756"/>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March 6, 2025</w:t>
            </w:r>
          </w:p>
        </w:tc>
      </w:tr>
      <w:tr>
        <w:trPr>
          <w:trHeight w:val="756"/>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19.1</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540"/>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21.1</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March 31, 2023</w:t>
            </w:r>
          </w:p>
        </w:tc>
      </w:tr>
      <w:tr>
        <w:trPr>
          <w:trHeight w:val="432"/>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Filed herewith</w:t>
            </w:r>
          </w:p>
        </w:tc>
      </w:tr>
    </w:tbl>
    <w:p>
      <w:pPr>
        <w:spacing w:after="0" w:line="200" w:lineRule="exact"/>
        <w:rPr>
          <w:sz w:val="20"/>
          <w:szCs w:val="20"/>
          <w:color w:val="auto"/>
        </w:rPr>
      </w:pPr>
    </w:p>
    <w:p>
      <w:pPr>
        <w:sectPr>
          <w:pgSz w:w="11900" w:h="16838" w:orient="portrait"/>
          <w:cols w:equalWidth="0" w:num="3">
            <w:col w:w="640" w:space="500"/>
            <w:col w:w="5040" w:space="300"/>
            <w:col w:w="4420"/>
          </w:cols>
          <w:pgMar w:left="320" w:top="117" w:right="67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Pursuant to</w:t>
            </w:r>
          </w:p>
        </w:tc>
        <w:tc>
          <w:tcPr>
            <w:tcW w:w="260" w:type="dxa"/>
            <w:vAlign w:val="bottom"/>
            <w:gridSpan w:val="2"/>
          </w:tcPr>
          <w:p>
            <w:pPr>
              <w:spacing w:after="0"/>
              <w:rPr>
                <w:sz w:val="17"/>
                <w:szCs w:val="17"/>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196"/>
        </w:trPr>
        <w:tc>
          <w:tcPr>
            <w:tcW w:w="34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20" w:type="dxa"/>
            <w:vAlign w:val="bottom"/>
            <w:tcBorders>
              <w:bottom w:val="single" w:sz="8" w:color="0000EE"/>
            </w:tcBorders>
          </w:tcPr>
          <w:p>
            <w:pPr>
              <w:spacing w:after="0"/>
              <w:rPr>
                <w:sz w:val="17"/>
                <w:szCs w:val="17"/>
                <w:color w:val="auto"/>
              </w:rPr>
            </w:pPr>
          </w:p>
        </w:tc>
        <w:tc>
          <w:tcPr>
            <w:tcW w:w="158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12"/>
        </w:trPr>
        <w:tc>
          <w:tcPr>
            <w:tcW w:w="4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Interim Chief Financial Officer Pursuant to Section</w:t>
            </w:r>
          </w:p>
        </w:tc>
        <w:tc>
          <w:tcPr>
            <w:tcW w:w="160" w:type="dxa"/>
            <w:vAlign w:val="bottom"/>
          </w:tcPr>
          <w:p>
            <w:pPr>
              <w:spacing w:after="0"/>
              <w:rPr>
                <w:sz w:val="24"/>
                <w:szCs w:val="24"/>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196"/>
        </w:trPr>
        <w:tc>
          <w:tcPr>
            <w:tcW w:w="28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218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12"/>
        </w:trPr>
        <w:tc>
          <w:tcPr>
            <w:tcW w:w="5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pursuant to</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96"/>
        </w:trPr>
        <w:tc>
          <w:tcPr>
            <w:tcW w:w="48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18 U.S.C. Section 1350, as adopted pursuant to Section 906 of the</w:t>
            </w:r>
          </w:p>
        </w:tc>
        <w:tc>
          <w:tcPr>
            <w:tcW w:w="2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50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-1216660</wp:posOffset>
            </wp:positionV>
            <wp:extent cx="713232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-805180</wp:posOffset>
            </wp:positionV>
            <wp:extent cx="7132320" cy="274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-393700</wp:posOffset>
            </wp:positionV>
            <wp:extent cx="7132320" cy="411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720"/>
            <w:col w:w="10100"/>
          </w:cols>
          <w:pgMar w:left="320" w:top="117" w:right="3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5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Certification of the Interim Chief Financial Officer pursuant to 18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96"/>
        </w:trPr>
        <w:tc>
          <w:tcPr>
            <w:tcW w:w="320" w:type="dxa"/>
            <w:vAlign w:val="bottom"/>
            <w:tcBorders>
              <w:top w:val="single" w:sz="8" w:color="0000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4580" w:type="dxa"/>
            <w:vAlign w:val="bottom"/>
            <w:tcBorders>
              <w:top w:val="single" w:sz="8" w:color="0000FF"/>
              <w:bottom w:val="single" w:sz="8" w:color="0000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w:t>
            </w: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10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0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51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Tenax Therapeutics, Inc. Compensation Recovery Policy, adopted</w:t>
              </w:r>
            </w:hyperlink>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2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28, 2024</w:t>
            </w:r>
          </w:p>
        </w:tc>
      </w:tr>
      <w:tr>
        <w:trPr>
          <w:trHeight w:val="217"/>
        </w:trPr>
        <w:tc>
          <w:tcPr>
            <w:tcW w:w="320" w:type="dxa"/>
            <w:vAlign w:val="bottom"/>
            <w:tcBorders>
              <w:top w:val="single" w:sz="8" w:color="0000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0000FF"/>
            </w:tcBorders>
            <w:gridSpan w:val="5"/>
            <w:shd w:val="clear" w:color="auto" w:fill="CCEEFF"/>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September 20, 2023.</w:t>
              </w:r>
            </w:hyperlink>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00" w:type="dxa"/>
            <w:vAlign w:val="bottom"/>
            <w:tcBorders>
              <w:top w:val="single" w:sz="8" w:color="0000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5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5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5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5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5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5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198"/>
        </w:trPr>
        <w:tc>
          <w:tcPr>
            <w:tcW w:w="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820" w:type="dxa"/>
            <w:vAlign w:val="bottom"/>
            <w:shd w:val="clear" w:color="auto" w:fill="CCEEFF"/>
          </w:tcPr>
          <w:p>
            <w:pPr>
              <w:spacing w:after="0"/>
              <w:rPr>
                <w:sz w:val="17"/>
                <w:szCs w:val="17"/>
                <w:color w:val="auto"/>
              </w:rPr>
            </w:pPr>
          </w:p>
        </w:tc>
        <w:tc>
          <w:tcPr>
            <w:tcW w:w="510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8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084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w:t>
      </w:r>
    </w:p>
    <w:p>
      <w:pPr>
        <w:spacing w:after="0" w:line="27" w:lineRule="exact"/>
        <w:rPr>
          <w:sz w:val="20"/>
          <w:szCs w:val="20"/>
          <w:color w:val="auto"/>
        </w:rPr>
      </w:pPr>
    </w:p>
    <w:p>
      <w:pPr>
        <w:jc w:val="both"/>
        <w:ind w:firstLine="8"/>
        <w:spacing w:after="0" w:line="255" w:lineRule="auto"/>
        <w:tabs>
          <w:tab w:leader="none" w:pos="1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and/or the schedules and attachments to this exhibit have been omitted from this filing pursuant to a confidential treatment request filed with the SEC, or Item 601(a)(5) or 601(b)(10)of Regulation S-K, as applicable. The Company agrees to furnish supplementally an unredacted copy of the exhibit to the SEC upon request.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7"/>
          <w:szCs w:val="17"/>
          <w:b w:val="1"/>
          <w:bCs w:val="1"/>
          <w:color w:val="auto"/>
        </w:rPr>
        <w:t>TENAX THERAPEUTICS, INC.</w:t>
      </w:r>
    </w:p>
    <w:p>
      <w:pPr>
        <w:spacing w:after="0" w:line="31"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Thomas A. McGauley</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A. McGauley</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7"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34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2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Christopher T. Giordano</w:t>
            </w:r>
          </w:p>
        </w:tc>
        <w:tc>
          <w:tcPr>
            <w:tcW w:w="3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Christopher T. Giordano</w:t>
            </w:r>
          </w:p>
        </w:tc>
        <w:tc>
          <w:tcPr>
            <w:tcW w:w="34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A. McGauley</w:t>
            </w:r>
          </w:p>
        </w:tc>
        <w:tc>
          <w:tcPr>
            <w:tcW w:w="3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191"/>
        </w:trPr>
        <w:tc>
          <w:tcPr>
            <w:tcW w:w="3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Thomas A. McGauley</w:t>
            </w:r>
          </w:p>
        </w:tc>
        <w:tc>
          <w:tcPr>
            <w:tcW w:w="340" w:type="dxa"/>
            <w:vAlign w:val="bottom"/>
          </w:tcPr>
          <w:p>
            <w:pPr>
              <w:spacing w:after="0"/>
              <w:rPr>
                <w:sz w:val="16"/>
                <w:szCs w:val="16"/>
                <w:color w:val="auto"/>
              </w:rPr>
            </w:pPr>
          </w:p>
        </w:tc>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432"/>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Gerald Proehl</w:t>
            </w:r>
          </w:p>
        </w:tc>
        <w:tc>
          <w:tcPr>
            <w:tcW w:w="3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Gerald Proehl</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June Almenoff, MD</w:t>
            </w:r>
          </w:p>
        </w:tc>
        <w:tc>
          <w:tcPr>
            <w:tcW w:w="3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Almenoff, MD</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Davidson, MD</w:t>
            </w:r>
          </w:p>
        </w:tc>
        <w:tc>
          <w:tcPr>
            <w:tcW w:w="3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Davidson, MD</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Declan Doogan, MD</w:t>
            </w:r>
          </w:p>
        </w:tc>
        <w:tc>
          <w:tcPr>
            <w:tcW w:w="3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Declan Doogan, MD</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Robyn M. Hunter</w:t>
            </w:r>
          </w:p>
        </w:tc>
        <w:tc>
          <w:tcPr>
            <w:tcW w:w="3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Robyn M. Hunter</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Stuart Rich, MD</w:t>
            </w:r>
          </w:p>
        </w:tc>
        <w:tc>
          <w:tcPr>
            <w:tcW w:w="3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Stuart Rich, MD</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19685</wp:posOffset>
            </wp:positionV>
            <wp:extent cx="17056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473" w:lineRule="exact"/>
        <w:rPr>
          <w:sz w:val="20"/>
          <w:szCs w:val="20"/>
          <w:color w:val="auto"/>
        </w:rPr>
      </w:pPr>
    </w:p>
    <w:p>
      <w:pPr>
        <w:sectPr>
          <w:pgSz w:w="11900" w:h="16838" w:orient="portrait"/>
          <w:cols w:equalWidth="0" w:num="2">
            <w:col w:w="8600" w:space="720"/>
            <w:col w:w="1920"/>
          </w:cols>
          <w:pgMar w:left="320" w:top="117" w:right="3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4"/>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1980" w:type="dxa"/>
            <w:vAlign w:val="bottom"/>
          </w:tcPr>
          <w:p>
            <w:pPr>
              <w:spacing w:after="0"/>
              <w:rPr>
                <w:sz w:val="20"/>
                <w:szCs w:val="20"/>
                <w:color w:val="auto"/>
              </w:rPr>
            </w:pPr>
          </w:p>
        </w:tc>
      </w:tr>
      <w:tr>
        <w:trPr>
          <w:trHeight w:val="392"/>
        </w:trPr>
        <w:tc>
          <w:tcPr>
            <w:tcW w:w="3000" w:type="dxa"/>
            <w:vAlign w:val="bottom"/>
          </w:tcPr>
          <w:p>
            <w:pPr>
              <w:spacing w:after="0"/>
              <w:rPr>
                <w:sz w:val="24"/>
                <w:szCs w:val="24"/>
                <w:color w:val="auto"/>
              </w:rPr>
            </w:pPr>
          </w:p>
        </w:tc>
        <w:tc>
          <w:tcPr>
            <w:tcW w:w="6260" w:type="dxa"/>
            <w:vAlign w:val="bottom"/>
            <w:gridSpan w:val="7"/>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98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196"/>
        </w:trPr>
        <w:tc>
          <w:tcPr>
            <w:tcW w:w="92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00677)</w:t>
            </w:r>
          </w:p>
        </w:tc>
        <w:tc>
          <w:tcPr>
            <w:tcW w:w="1980" w:type="dxa"/>
            <w:vAlign w:val="bottom"/>
            <w:shd w:val="clear" w:color="auto" w:fill="CCEEFF"/>
          </w:tcPr>
          <w:p>
            <w:pPr>
              <w:ind w:left="128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6"/>
        </w:trPr>
        <w:tc>
          <w:tcPr>
            <w:tcW w:w="7360" w:type="dxa"/>
            <w:vAlign w:val="bottom"/>
            <w:tcBorders>
              <w:top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900" w:type="dxa"/>
            <w:vAlign w:val="bottom"/>
            <w:tcBorders>
              <w:top w:val="single" w:sz="8" w:color="CCEEFF"/>
            </w:tcBorders>
          </w:tcPr>
          <w:p>
            <w:pPr>
              <w:spacing w:after="0"/>
              <w:rPr>
                <w:sz w:val="15"/>
                <w:szCs w:val="15"/>
                <w:color w:val="auto"/>
              </w:rPr>
            </w:pPr>
          </w:p>
        </w:tc>
        <w:tc>
          <w:tcPr>
            <w:tcW w:w="1980" w:type="dxa"/>
            <w:vAlign w:val="bottom"/>
            <w:tcBorders>
              <w:top w:val="single" w:sz="8" w:color="CCEEFF"/>
            </w:tcBorders>
          </w:tcPr>
          <w:p>
            <w:pPr>
              <w:ind w:left="128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300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4060" w:type="dxa"/>
            <w:vAlign w:val="bottom"/>
            <w:tcBorders>
              <w:bottom w:val="single" w:sz="8" w:color="0000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40" w:type="dxa"/>
            <w:vAlign w:val="bottom"/>
            <w:tcBorders>
              <w:bottom w:val="single" w:sz="8" w:color="0000EE"/>
            </w:tcBorders>
            <w:gridSpan w:val="2"/>
            <w:shd w:val="clear" w:color="auto" w:fill="CCEEFF"/>
          </w:tcPr>
          <w:p>
            <w:pPr>
              <w:spacing w:after="0"/>
              <w:rPr>
                <w:sz w:val="17"/>
                <w:szCs w:val="17"/>
                <w:color w:val="auto"/>
              </w:rPr>
            </w:pPr>
          </w:p>
        </w:tc>
        <w:tc>
          <w:tcPr>
            <w:tcW w:w="5160" w:type="dxa"/>
            <w:vAlign w:val="bottom"/>
            <w:tcBorders>
              <w:bottom w:val="single" w:sz="8" w:color="CCEEFF"/>
            </w:tcBorders>
            <w:gridSpan w:val="4"/>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ind w:left="128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92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980" w:type="dxa"/>
            <w:vAlign w:val="bottom"/>
          </w:tcPr>
          <w:p>
            <w:pPr>
              <w:ind w:left="128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
        </w:trPr>
        <w:tc>
          <w:tcPr>
            <w:tcW w:w="300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4080" w:type="dxa"/>
            <w:vAlign w:val="bottom"/>
            <w:tcBorders>
              <w:bottom w:val="single" w:sz="8" w:color="0000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180" w:type="dxa"/>
            <w:vAlign w:val="bottom"/>
            <w:tcBorders>
              <w:bottom w:val="single" w:sz="8" w:color="CCEEFF"/>
            </w:tcBorders>
            <w:gridSpan w:val="5"/>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ind w:left="128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175"/>
        </w:trPr>
        <w:tc>
          <w:tcPr>
            <w:tcW w:w="92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980" w:type="dxa"/>
            <w:vAlign w:val="bottom"/>
          </w:tcPr>
          <w:p>
            <w:pPr>
              <w:ind w:left="1280"/>
              <w:spacing w:after="0" w:line="176" w:lineRule="exact"/>
              <w:rPr>
                <w:sz w:val="20"/>
                <w:szCs w:val="20"/>
                <w:color w:val="auto"/>
              </w:rPr>
            </w:pPr>
            <w:r>
              <w:rPr>
                <w:rFonts w:ascii="Times New Roman" w:cs="Times New Roman" w:eastAsia="Times New Roman" w:hAnsi="Times New Roman"/>
                <w:sz w:val="18"/>
                <w:szCs w:val="18"/>
                <w:color w:val="auto"/>
              </w:rPr>
              <w:t>F-9</w:t>
            </w:r>
          </w:p>
        </w:tc>
      </w:tr>
      <w:tr>
        <w:trPr>
          <w:trHeight w:val="885"/>
        </w:trPr>
        <w:tc>
          <w:tcPr>
            <w:tcW w:w="300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140" w:type="dxa"/>
            <w:vAlign w:val="bottom"/>
            <w:gridSpan w:val="2"/>
          </w:tcPr>
          <w:p>
            <w:pPr>
              <w:jc w:val="center"/>
              <w:ind w:right="3140"/>
              <w:spacing w:after="0"/>
              <w:rPr>
                <w:sz w:val="20"/>
                <w:szCs w:val="20"/>
                <w:color w:val="auto"/>
              </w:rPr>
            </w:pPr>
            <w:r>
              <w:rPr>
                <w:rFonts w:ascii="Times New Roman" w:cs="Times New Roman" w:eastAsia="Times New Roman" w:hAnsi="Times New Roman"/>
                <w:sz w:val="18"/>
                <w:szCs w:val="18"/>
                <w:color w:val="auto"/>
                <w:w w:val="95"/>
              </w:rPr>
              <w:t>F-1</w:t>
            </w:r>
          </w:p>
        </w:tc>
        <w:tc>
          <w:tcPr>
            <w:tcW w:w="1980" w:type="dxa"/>
            <w:vAlign w:val="bottom"/>
          </w:tcPr>
          <w:p>
            <w:pPr>
              <w:spacing w:after="0"/>
              <w:rPr>
                <w:sz w:val="24"/>
                <w:szCs w:val="24"/>
                <w:color w:val="auto"/>
              </w:rPr>
            </w:pPr>
          </w:p>
        </w:tc>
      </w:tr>
      <w:tr>
        <w:trPr>
          <w:trHeight w:val="763"/>
        </w:trPr>
        <w:tc>
          <w:tcPr>
            <w:tcW w:w="30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Chapel Hill, North Carolina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Tenax Therapeutics, Inc. and Subsidiaries (the “Company”) as of December 31, 2025and 2024, and the related consolidated statements of operations, stockholders’ equity,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2025and 2024, and the results of its operations and its cash flows for each of the years in the two-year period ended December 31, 2025,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jc w:val="both"/>
        <w:ind w:firstLine="8"/>
        <w:spacing w:after="0" w:line="253" w:lineRule="auto"/>
        <w:tabs>
          <w:tab w:leader="none" w:pos="2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Raise Transaction Involving Equity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disclosed in Note 4 to the consolidated financial statements, the Company participated in a significant capital raise transaction during the year, which involved the issuance of shares of the Company’s common stock and pre-funded warrants to purchase shares of the Company’s common stock. The accounting for the transaction was complex and a valuation of the freestanding warrants was required, which involved estimation of the fair value, and evaluation of the appropriate classification of the pre-funded warrants in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audit procedures included the following:</w:t>
      </w:r>
    </w:p>
    <w:p>
      <w:pPr>
        <w:spacing w:after="0" w:line="185" w:lineRule="exact"/>
        <w:rPr>
          <w:sz w:val="20"/>
          <w:szCs w:val="20"/>
          <w:color w:val="auto"/>
        </w:rPr>
      </w:pPr>
    </w:p>
    <w:p>
      <w:pPr>
        <w:ind w:left="380" w:hanging="372"/>
        <w:spacing w:after="0" w:line="282"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internal controls and processes in place over management’s process for recording transactions involving equity instruments.</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the underlying agreements.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shares outstanding with the stock transfer agent as of December 31, 2025.</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verified proper approval of equity transactions by the Board of Directors.</w:t>
      </w:r>
    </w:p>
    <w:p>
      <w:pPr>
        <w:spacing w:after="0" w:line="19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selection of the valuation methodology and significant assumptions used by the Company and evaluated the completeness and accuracy of the underlying data supporting the significant assumptions.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application of the relevant accounting guidance.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or Accrued Clinical Trial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p>
      <w:pPr>
        <w:spacing w:after="0" w:line="187" w:lineRule="exact"/>
        <w:rPr>
          <w:sz w:val="20"/>
          <w:szCs w:val="20"/>
          <w:color w:val="auto"/>
        </w:rPr>
      </w:pPr>
    </w:p>
    <w:p>
      <w:pPr>
        <w:jc w:val="both"/>
        <w:ind w:firstLine="15"/>
        <w:spacing w:after="0" w:line="282" w:lineRule="auto"/>
        <w:rPr>
          <w:sz w:val="20"/>
          <w:szCs w:val="20"/>
          <w:color w:val="auto"/>
        </w:rPr>
      </w:pPr>
      <w:r>
        <w:rPr>
          <w:rFonts w:ascii="Times New Roman" w:cs="Times New Roman" w:eastAsia="Times New Roman" w:hAnsi="Times New Roman"/>
          <w:sz w:val="18"/>
          <w:szCs w:val="18"/>
          <w:color w:val="auto"/>
        </w:rPr>
        <w:t>The Company’s total prepaid expenses and other current assets totaled $5.6 million, which included amounts in advance of services incurred pursuant to clinical trials in the amount of approximately $4.8 million.</w:t>
      </w:r>
    </w:p>
    <w:p>
      <w:pPr>
        <w:spacing w:after="0" w:line="121" w:lineRule="exact"/>
        <w:rPr>
          <w:sz w:val="20"/>
          <w:szCs w:val="20"/>
          <w:color w:val="auto"/>
        </w:rPr>
      </w:pPr>
    </w:p>
    <w:p>
      <w:pPr>
        <w:jc w:val="both"/>
        <w:ind w:firstLine="15"/>
        <w:spacing w:after="0" w:line="261"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when the third party contract research organizations and other vendor billing terms do not coincide with the Company’s period-end, the Company is required to make estimates of its obligations to those vendors, including personnel costs, allocated facility costs, lab supplies, outside services, contract laboratory costs related to manufacturing drug product, clinical trials, and preclinical studies costs incurred in a given accounting period and record accruals at the end of the period.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bases its estimates on its knowledge of the research and development programs, services performed for the period, past history for related activities, and the expected duration of the vendor service contracts, where applicable. Payments for these activities are based on the terms of the individual arrangements and may result in payment terms that differ from the pattern of costs incurred. There may be instances in which payments made to vendors will exceed the level of services provided and result in a prepayment of the clinical expense.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the Company’s prepaid or accrued clinical trial expenses is especially challenging due to the large volume of information received from multiple vendors that perform services on the Company’s behalf. While the Company’s estimates of prepaid or accrued clinical trial expenses are primarily based on information received related to each study from its vendors, the Company may need to make an estimate for additional costs incurred. Additionally, due to the long duration of clinical trials and the timing of invoicing received from vendors, the actual amounts incurred are not typically known at the time the consolidated financial statements are issued.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included, among others, the following:</w:t>
      </w:r>
    </w:p>
    <w:p>
      <w:pPr>
        <w:spacing w:after="0" w:line="198" w:lineRule="exact"/>
        <w:rPr>
          <w:sz w:val="20"/>
          <w:szCs w:val="20"/>
          <w:color w:val="auto"/>
        </w:rPr>
      </w:pPr>
    </w:p>
    <w:p>
      <w:pPr>
        <w:ind w:left="38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 understanding of the internal controls and processes in place over the Company’s process used in determining the existence and completeness of prepaid or accrued clinical trial expenses.</w:t>
      </w:r>
    </w:p>
    <w:p>
      <w:pPr>
        <w:spacing w:after="0" w:line="53" w:lineRule="exact"/>
        <w:rPr>
          <w:rFonts w:ascii="Times New Roman" w:cs="Times New Roman" w:eastAsia="Times New Roman" w:hAnsi="Times New Roman"/>
          <w:sz w:val="18"/>
          <w:szCs w:val="18"/>
          <w:color w:val="auto"/>
        </w:rPr>
      </w:pPr>
    </w:p>
    <w:p>
      <w:pPr>
        <w:jc w:val="both"/>
        <w:ind w:left="380" w:right="20" w:hanging="372"/>
        <w:spacing w:after="0" w:line="266"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underlying data used in determining the prepaid or accrued clinical trial expenses and evaluating the assumptions and estimates used by management to adjust the actual information received. We corroborated the schedules of the underlying data used in the accrual calculation with the Company’s third party contract research organizations who oversees the clinical trials. To evaluate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99" w:firstLine="374"/>
        <w:spacing w:after="0" w:line="407" w:lineRule="auto"/>
        <w:rPr>
          <w:sz w:val="20"/>
          <w:szCs w:val="20"/>
          <w:color w:val="auto"/>
        </w:rPr>
      </w:pPr>
      <w:r>
        <w:rPr>
          <w:rFonts w:ascii="Times New Roman" w:cs="Times New Roman" w:eastAsia="Times New Roman" w:hAnsi="Times New Roman"/>
          <w:sz w:val="18"/>
          <w:szCs w:val="18"/>
          <w:color w:val="auto"/>
        </w:rPr>
        <w:t>completeness of any required accrual, we also tested subsequent invoices received to assess the impact to the accrual. /s/ Cherry Bekaert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97,565</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96,686</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104,227</w:t>
            </w:r>
          </w:p>
        </w:tc>
        <w:tc>
          <w:tcPr>
            <w:tcW w:w="1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96,686</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60" w:type="dxa"/>
            <w:vAlign w:val="bottom"/>
          </w:tcPr>
          <w:p>
            <w:pPr>
              <w:spacing w:after="0"/>
              <w:rPr>
                <w:sz w:val="18"/>
                <w:szCs w:val="18"/>
                <w:color w:val="auto"/>
              </w:rPr>
            </w:pP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5</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undesignated, authorized 4,818,654 shares</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par value $0.0001, issued 5,181,346 shares; outstanding 210, as of December</w:t>
            </w: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 2025 and December 31, 2024</w:t>
            </w:r>
          </w:p>
        </w:tc>
        <w:tc>
          <w:tcPr>
            <w:tcW w:w="5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400,000,000 shares; issued and outstanding</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9,314,130 as of December 31, 2025 and 3,420,906 as of December 31, 2024, respectively</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406,848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(367,454)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(314,855)</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104,227</w:t>
            </w:r>
          </w:p>
        </w:tc>
        <w:tc>
          <w:tcPr>
            <w:tcW w:w="160" w:type="dxa"/>
            <w:vAlign w:val="bottom"/>
          </w:tcPr>
          <w:p>
            <w:pPr>
              <w:spacing w:after="0"/>
              <w:rPr>
                <w:sz w:val="18"/>
                <w:szCs w:val="18"/>
                <w:color w:val="auto"/>
              </w:rPr>
            </w:pP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96,686</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-2853690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-2562225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-2545080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-2000885</wp:posOffset>
            </wp:positionV>
            <wp:extent cx="9398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-2000885</wp:posOffset>
            </wp:positionV>
            <wp:extent cx="93980"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10"/>
        </w:trPr>
        <w:tc>
          <w:tcPr>
            <w:tcW w:w="71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200" w:type="dxa"/>
            <w:vAlign w:val="bottom"/>
          </w:tcPr>
          <w:p>
            <w:pPr>
              <w:spacing w:after="0"/>
              <w:rPr>
                <w:sz w:val="18"/>
                <w:szCs w:val="18"/>
                <w:color w:val="auto"/>
              </w:rPr>
            </w:pP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23,713</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3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(56,385)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(19,494)</w:t>
            </w:r>
          </w:p>
        </w:tc>
      </w:tr>
      <w:tr>
        <w:trPr>
          <w:trHeight w:val="216"/>
        </w:trPr>
        <w:tc>
          <w:tcPr>
            <w:tcW w:w="7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49"/>
        </w:trPr>
        <w:tc>
          <w:tcPr>
            <w:tcW w:w="7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(52,599)</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197"/>
        </w:trPr>
        <w:tc>
          <w:tcPr>
            <w:tcW w:w="7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540" w:type="dxa"/>
            <w:vAlign w:val="bottom"/>
            <w:gridSpan w:val="2"/>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198"/>
        </w:trPr>
        <w:tc>
          <w:tcPr>
            <w:tcW w:w="7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and prefunded warrants outstanding, basic and</w:t>
            </w: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39,217,244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15,271,705</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-1550670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-436880</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-419735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-582295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8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bottom w:val="single" w:sz="8" w:color="auto"/>
            </w:tcBorders>
            <w:gridSpan w:val="4"/>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Borders>
              <w:bottom w:val="single" w:sz="8" w:color="auto"/>
            </w:tcBorders>
            <w:gridSpan w:val="4"/>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99"/>
        </w:trPr>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center"/>
              <w:ind w:left="86"/>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jc w:val="right"/>
              <w:ind w:right="126"/>
              <w:spacing w:after="0" w:line="10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7"/>
        </w:trPr>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Additional paid-in 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9"/>
              </w:rPr>
              <w:t>Accumulated deficit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9"/>
              </w:rPr>
              <w:t>Total stockholders' equity</w:t>
            </w:r>
          </w:p>
        </w:tc>
        <w:tc>
          <w:tcPr>
            <w:tcW w:w="120" w:type="dxa"/>
            <w:vAlign w:val="bottom"/>
          </w:tcPr>
          <w:p>
            <w:pPr>
              <w:spacing w:after="0"/>
              <w:rPr>
                <w:sz w:val="11"/>
                <w:szCs w:val="11"/>
                <w:color w:val="auto"/>
              </w:rPr>
            </w:pPr>
          </w:p>
        </w:tc>
      </w:tr>
      <w:tr>
        <w:trPr>
          <w:trHeight w:val="115"/>
        </w:trPr>
        <w:tc>
          <w:tcPr>
            <w:tcW w:w="296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210</w:t>
            </w:r>
          </w:p>
        </w:tc>
        <w:tc>
          <w:tcPr>
            <w:tcW w:w="680" w:type="dxa"/>
            <w:vAlign w:val="bottom"/>
            <w:gridSpan w:val="2"/>
            <w:shd w:val="clear" w:color="auto" w:fill="CFF0FC"/>
          </w:tcPr>
          <w:p>
            <w:pPr>
              <w:jc w:val="right"/>
              <w:ind w:right="3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298,281</w:t>
            </w:r>
          </w:p>
        </w:tc>
        <w:tc>
          <w:tcPr>
            <w:tcW w:w="3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2"/>
            <w:shd w:val="clear" w:color="auto" w:fill="CFF0FC"/>
          </w:tcPr>
          <w:p>
            <w:pPr>
              <w:jc w:val="right"/>
              <w:ind w:right="3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305,351</w:t>
            </w:r>
          </w:p>
        </w:tc>
        <w:tc>
          <w:tcPr>
            <w:tcW w:w="30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(297,253)</w:t>
            </w:r>
          </w:p>
        </w:tc>
        <w:tc>
          <w:tcPr>
            <w:tcW w:w="16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3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8,098</w:t>
            </w:r>
          </w:p>
        </w:tc>
        <w:tc>
          <w:tcPr>
            <w:tcW w:w="120" w:type="dxa"/>
            <w:vAlign w:val="bottom"/>
            <w:shd w:val="clear" w:color="auto" w:fill="CFF0FC"/>
          </w:tcPr>
          <w:p>
            <w:pPr>
              <w:spacing w:after="0"/>
              <w:rPr>
                <w:sz w:val="10"/>
                <w:szCs w:val="10"/>
                <w:color w:val="auto"/>
              </w:rPr>
            </w:pPr>
          </w:p>
        </w:tc>
      </w:tr>
      <w:tr>
        <w:trPr>
          <w:trHeight w:val="101"/>
        </w:trPr>
        <w:tc>
          <w:tcPr>
            <w:tcW w:w="2960" w:type="dxa"/>
            <w:vAlign w:val="bottom"/>
            <w:tcBorders>
              <w:top w:val="single" w:sz="8" w:color="CFF0FC"/>
            </w:tcBorders>
            <w:gridSpan w:val="2"/>
          </w:tcPr>
          <w:p>
            <w:pPr>
              <w:spacing w:after="0" w:line="102" w:lineRule="exact"/>
              <w:rPr>
                <w:sz w:val="20"/>
                <w:szCs w:val="20"/>
                <w:color w:val="auto"/>
              </w:rPr>
            </w:pPr>
            <w:r>
              <w:rPr>
                <w:rFonts w:ascii="Times New Roman" w:cs="Times New Roman" w:eastAsia="Times New Roman" w:hAnsi="Times New Roman"/>
                <w:sz w:val="11"/>
                <w:szCs w:val="11"/>
                <w:color w:val="auto"/>
              </w:rPr>
              <w:t>Public offering sale of common stock, warrants, and prefunded</w:t>
            </w:r>
          </w:p>
        </w:tc>
        <w:tc>
          <w:tcPr>
            <w:tcW w:w="6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r>
      <w:tr>
        <w:trPr>
          <w:trHeight w:val="135"/>
        </w:trPr>
        <w:tc>
          <w:tcPr>
            <w:tcW w:w="36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warrants, net of offering costs of $8,416</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1,871,921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100,303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100,303</w:t>
            </w:r>
          </w:p>
        </w:tc>
        <w:tc>
          <w:tcPr>
            <w:tcW w:w="120" w:type="dxa"/>
            <w:vAlign w:val="bottom"/>
          </w:tcPr>
          <w:p>
            <w:pPr>
              <w:spacing w:after="0"/>
              <w:rPr>
                <w:sz w:val="11"/>
                <w:szCs w:val="11"/>
                <w:color w:val="auto"/>
              </w:rPr>
            </w:pPr>
          </w:p>
        </w:tc>
      </w:tr>
      <w:tr>
        <w:trPr>
          <w:trHeight w:val="121"/>
        </w:trPr>
        <w:tc>
          <w:tcPr>
            <w:tcW w:w="3600" w:type="dxa"/>
            <w:vAlign w:val="bottom"/>
            <w:gridSpan w:val="3"/>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Exercise of pre-funded warrants</w:t>
            </w:r>
          </w:p>
        </w:tc>
        <w:tc>
          <w:tcPr>
            <w:tcW w:w="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1,178,707</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0"/>
                <w:szCs w:val="10"/>
                <w:color w:val="auto"/>
              </w:rPr>
            </w:pPr>
          </w:p>
        </w:tc>
      </w:tr>
      <w:tr>
        <w:trPr>
          <w:trHeight w:val="122"/>
        </w:trPr>
        <w:tc>
          <w:tcPr>
            <w:tcW w:w="36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Exercise of warrants</w:t>
            </w: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w:t>
            </w:r>
          </w:p>
        </w:tc>
        <w:tc>
          <w:tcPr>
            <w:tcW w:w="120" w:type="dxa"/>
            <w:vAlign w:val="bottom"/>
          </w:tcPr>
          <w:p>
            <w:pPr>
              <w:spacing w:after="0"/>
              <w:rPr>
                <w:sz w:val="10"/>
                <w:szCs w:val="10"/>
                <w:color w:val="auto"/>
              </w:rPr>
            </w:pPr>
          </w:p>
        </w:tc>
      </w:tr>
      <w:tr>
        <w:trPr>
          <w:trHeight w:val="122"/>
        </w:trPr>
        <w:tc>
          <w:tcPr>
            <w:tcW w:w="3600" w:type="dxa"/>
            <w:vAlign w:val="bottom"/>
            <w:gridSpan w:val="3"/>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 split and fractional shares issued</w:t>
            </w:r>
          </w:p>
        </w:tc>
        <w:tc>
          <w:tcPr>
            <w:tcW w:w="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59,997</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r>
      <w:tr>
        <w:trPr>
          <w:trHeight w:val="122"/>
        </w:trPr>
        <w:tc>
          <w:tcPr>
            <w:tcW w:w="36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1,125</w:t>
            </w:r>
          </w:p>
        </w:tc>
        <w:tc>
          <w:tcPr>
            <w:tcW w:w="120" w:type="dxa"/>
            <w:vAlign w:val="bottom"/>
          </w:tcPr>
          <w:p>
            <w:pPr>
              <w:spacing w:after="0"/>
              <w:rPr>
                <w:sz w:val="10"/>
                <w:szCs w:val="10"/>
                <w:color w:val="auto"/>
              </w:rPr>
            </w:pPr>
          </w:p>
        </w:tc>
      </w:tr>
      <w:tr>
        <w:trPr>
          <w:trHeight w:val="122"/>
        </w:trPr>
        <w:tc>
          <w:tcPr>
            <w:tcW w:w="296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(17,602)</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5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(17,602)</w:t>
            </w:r>
          </w:p>
        </w:tc>
      </w:tr>
      <w:tr>
        <w:trPr>
          <w:trHeight w:val="20"/>
        </w:trPr>
        <w:tc>
          <w:tcPr>
            <w:tcW w:w="28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15"/>
        </w:trPr>
        <w:tc>
          <w:tcPr>
            <w:tcW w:w="29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40" w:type="dxa"/>
            <w:vAlign w:val="bottom"/>
          </w:tcPr>
          <w:p>
            <w:pPr>
              <w:spacing w:after="0"/>
              <w:rPr>
                <w:sz w:val="10"/>
                <w:szCs w:val="10"/>
                <w:color w:val="auto"/>
              </w:rPr>
            </w:pPr>
          </w:p>
        </w:tc>
        <w:tc>
          <w:tcPr>
            <w:tcW w:w="1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210</w:t>
            </w:r>
          </w:p>
        </w:tc>
        <w:tc>
          <w:tcPr>
            <w:tcW w:w="680" w:type="dxa"/>
            <w:vAlign w:val="bottom"/>
            <w:gridSpan w:val="2"/>
          </w:tcPr>
          <w:p>
            <w:pPr>
              <w:jc w:val="right"/>
              <w:ind w:right="3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3,420,906</w:t>
            </w:r>
          </w:p>
        </w:tc>
        <w:tc>
          <w:tcPr>
            <w:tcW w:w="3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2"/>
          </w:tcPr>
          <w:p>
            <w:pPr>
              <w:jc w:val="right"/>
              <w:ind w:right="3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406,848</w:t>
            </w:r>
          </w:p>
        </w:tc>
        <w:tc>
          <w:tcPr>
            <w:tcW w:w="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(314,855)</w:t>
            </w:r>
          </w:p>
        </w:tc>
        <w:tc>
          <w:tcPr>
            <w:tcW w:w="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91,993</w:t>
            </w:r>
          </w:p>
        </w:tc>
        <w:tc>
          <w:tcPr>
            <w:tcW w:w="120" w:type="dxa"/>
            <w:vAlign w:val="bottom"/>
          </w:tcPr>
          <w:p>
            <w:pPr>
              <w:spacing w:after="0"/>
              <w:rPr>
                <w:sz w:val="10"/>
                <w:szCs w:val="10"/>
                <w:color w:val="auto"/>
              </w:rPr>
            </w:pPr>
          </w:p>
        </w:tc>
      </w:tr>
      <w:tr>
        <w:trPr>
          <w:trHeight w:val="101"/>
        </w:trPr>
        <w:tc>
          <w:tcPr>
            <w:tcW w:w="286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Public offering sale of common stock, warrants, and prefunded</w:t>
            </w:r>
          </w:p>
        </w:tc>
        <w:tc>
          <w:tcPr>
            <w:tcW w:w="100" w:type="dxa"/>
            <w:vAlign w:val="bottom"/>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110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13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35"/>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warrants, net of offering costs of $1,746</w:t>
            </w:r>
          </w:p>
        </w:tc>
        <w:tc>
          <w:tcPr>
            <w:tcW w:w="100" w:type="dxa"/>
            <w:vAlign w:val="bottom"/>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378,346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23,216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23,216</w:t>
            </w:r>
          </w:p>
        </w:tc>
        <w:tc>
          <w:tcPr>
            <w:tcW w:w="120" w:type="dxa"/>
            <w:vAlign w:val="bottom"/>
            <w:shd w:val="clear" w:color="auto" w:fill="CFF0FC"/>
          </w:tcPr>
          <w:p>
            <w:pPr>
              <w:spacing w:after="0"/>
              <w:rPr>
                <w:sz w:val="11"/>
                <w:szCs w:val="11"/>
                <w:color w:val="auto"/>
              </w:rPr>
            </w:pPr>
          </w:p>
        </w:tc>
      </w:tr>
      <w:tr>
        <w:trPr>
          <w:trHeight w:val="122"/>
        </w:trPr>
        <w:tc>
          <w:tcPr>
            <w:tcW w:w="28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Exercise of pre-funded warrants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2,538,799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0"/>
                <w:szCs w:val="10"/>
                <w:color w:val="auto"/>
              </w:rPr>
            </w:pPr>
          </w:p>
        </w:tc>
      </w:tr>
      <w:tr>
        <w:trPr>
          <w:trHeight w:val="122"/>
        </w:trPr>
        <w:tc>
          <w:tcPr>
            <w:tcW w:w="3600" w:type="dxa"/>
            <w:vAlign w:val="bottom"/>
            <w:gridSpan w:val="3"/>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Exercise of warrants</w:t>
            </w:r>
          </w:p>
        </w:tc>
        <w:tc>
          <w:tcPr>
            <w:tcW w:w="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2,976,079</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15,285</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15,286</w:t>
            </w:r>
          </w:p>
        </w:tc>
        <w:tc>
          <w:tcPr>
            <w:tcW w:w="120" w:type="dxa"/>
            <w:vAlign w:val="bottom"/>
            <w:shd w:val="clear" w:color="auto" w:fill="CFF0FC"/>
          </w:tcPr>
          <w:p>
            <w:pPr>
              <w:spacing w:after="0"/>
              <w:rPr>
                <w:sz w:val="10"/>
                <w:szCs w:val="10"/>
                <w:color w:val="auto"/>
              </w:rPr>
            </w:pPr>
          </w:p>
        </w:tc>
      </w:tr>
      <w:tr>
        <w:trPr>
          <w:trHeight w:val="122"/>
        </w:trPr>
        <w:tc>
          <w:tcPr>
            <w:tcW w:w="36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19,163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19,163</w:t>
            </w:r>
          </w:p>
        </w:tc>
        <w:tc>
          <w:tcPr>
            <w:tcW w:w="120" w:type="dxa"/>
            <w:vAlign w:val="bottom"/>
          </w:tcPr>
          <w:p>
            <w:pPr>
              <w:spacing w:after="0"/>
              <w:rPr>
                <w:sz w:val="10"/>
                <w:szCs w:val="10"/>
                <w:color w:val="auto"/>
              </w:rPr>
            </w:pPr>
          </w:p>
        </w:tc>
      </w:tr>
      <w:tr>
        <w:trPr>
          <w:trHeight w:val="122"/>
        </w:trPr>
        <w:tc>
          <w:tcPr>
            <w:tcW w:w="296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(52,599)</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5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(52,599)</w:t>
            </w:r>
          </w:p>
        </w:tc>
      </w:tr>
      <w:tr>
        <w:trPr>
          <w:trHeight w:val="20"/>
        </w:trPr>
        <w:tc>
          <w:tcPr>
            <w:tcW w:w="28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15"/>
        </w:trPr>
        <w:tc>
          <w:tcPr>
            <w:tcW w:w="29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640" w:type="dxa"/>
            <w:vAlign w:val="bottom"/>
          </w:tcPr>
          <w:p>
            <w:pPr>
              <w:spacing w:after="0"/>
              <w:rPr>
                <w:sz w:val="10"/>
                <w:szCs w:val="10"/>
                <w:color w:val="auto"/>
              </w:rPr>
            </w:pPr>
          </w:p>
        </w:tc>
        <w:tc>
          <w:tcPr>
            <w:tcW w:w="1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210</w:t>
            </w:r>
          </w:p>
        </w:tc>
        <w:tc>
          <w:tcPr>
            <w:tcW w:w="680" w:type="dxa"/>
            <w:vAlign w:val="bottom"/>
            <w:gridSpan w:val="2"/>
          </w:tcPr>
          <w:p>
            <w:pPr>
              <w:jc w:val="right"/>
              <w:ind w:right="3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9,314,130</w:t>
            </w:r>
          </w:p>
        </w:tc>
        <w:tc>
          <w:tcPr>
            <w:tcW w:w="3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w:t>
            </w:r>
          </w:p>
        </w:tc>
        <w:tc>
          <w:tcPr>
            <w:tcW w:w="700" w:type="dxa"/>
            <w:vAlign w:val="bottom"/>
            <w:gridSpan w:val="2"/>
          </w:tcPr>
          <w:p>
            <w:pPr>
              <w:jc w:val="right"/>
              <w:ind w:right="3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464,524</w:t>
            </w:r>
          </w:p>
        </w:tc>
        <w:tc>
          <w:tcPr>
            <w:tcW w:w="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(367,454)</w:t>
            </w:r>
          </w:p>
        </w:tc>
        <w:tc>
          <w:tcPr>
            <w:tcW w:w="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97,071</w:t>
            </w:r>
          </w:p>
        </w:tc>
        <w:tc>
          <w:tcPr>
            <w:tcW w:w="120" w:type="dxa"/>
            <w:vAlign w:val="bottom"/>
          </w:tcPr>
          <w:p>
            <w:pPr>
              <w:spacing w:after="0"/>
              <w:rPr>
                <w:sz w:val="10"/>
                <w:szCs w:val="10"/>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-1199515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-1199515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-1199515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-1199515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-1199515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-1199515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-650875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-650875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-650875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-650875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-650875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-650875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-650875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-93345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-93345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-93345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-93345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-93345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-93345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8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(52,599)</w:t>
            </w:r>
          </w:p>
        </w:tc>
        <w:tc>
          <w:tcPr>
            <w:tcW w:w="11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(17,602)</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on debt instrument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(4,827)</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18"/>
                <w:szCs w:val="18"/>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(35,800)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(14,811)</w:t>
            </w:r>
          </w:p>
        </w:tc>
      </w:tr>
      <w:tr>
        <w:trPr>
          <w:trHeight w:val="198"/>
        </w:trPr>
        <w:tc>
          <w:tcPr>
            <w:tcW w:w="7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warrants and pre-funded warrants, net of issuance costs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100,303</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short-term note</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r>
      <w:tr>
        <w:trPr>
          <w:trHeight w:val="210"/>
        </w:trPr>
        <w:tc>
          <w:tcPr>
            <w:tcW w:w="73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38,514</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99,870</w:t>
            </w:r>
          </w:p>
        </w:tc>
        <w:tc>
          <w:tcPr>
            <w:tcW w:w="100" w:type="dxa"/>
            <w:vAlign w:val="bottom"/>
            <w:tcBorders>
              <w:top w:val="single" w:sz="8" w:color="CFF0FC"/>
            </w:tcBorders>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00" w:type="dxa"/>
            <w:vAlign w:val="bottom"/>
          </w:tcPr>
          <w:p>
            <w:pPr>
              <w:spacing w:after="0"/>
              <w:rPr>
                <w:sz w:val="18"/>
                <w:szCs w:val="18"/>
                <w:color w:val="auto"/>
              </w:rPr>
            </w:pPr>
          </w:p>
        </w:tc>
      </w:tr>
      <w:tr>
        <w:trPr>
          <w:trHeight w:val="24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8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97,565</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94,851</w:t>
            </w:r>
          </w:p>
        </w:tc>
        <w:tc>
          <w:tcPr>
            <w:tcW w:w="100" w:type="dxa"/>
            <w:vAlign w:val="bottom"/>
            <w:shd w:val="clear" w:color="auto" w:fill="CFF0FC"/>
          </w:tcPr>
          <w:p>
            <w:pPr>
              <w:spacing w:after="0"/>
              <w:rPr>
                <w:sz w:val="21"/>
                <w:szCs w:val="21"/>
                <w:color w:val="auto"/>
              </w:rPr>
            </w:pPr>
          </w:p>
        </w:tc>
      </w:tr>
      <w:tr>
        <w:trPr>
          <w:trHeight w:val="413"/>
        </w:trPr>
        <w:tc>
          <w:tcPr>
            <w:tcW w:w="7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6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8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-1979295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-1010920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-728345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-436880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-419735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Tenax Therapeutics, Inc., together with its subsidiaries (collectively “Tenax” or the “Company”), is a Phase 3, development-stage pharmaceutical company using clinical insights to develop novel cardiopulmonary therapies.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incorporated in Delaware and is headquartered in Chapel Hill, North Carolina.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financed its operations since September 1990 primarily through the sale of equity and debt securities and loans from stockholders. The Company had an accumulated deficit of $367.5 million at December 31, 2025 and incurred losses of $52.6 million and $17.6 million during the years ended December 31, 2025 and 2024, respectively. The Company expects to continue to incur expenses related to the development of levosimendan for pulmonary hypertension and other potential indications and, over the long term, imatinib for pulmonary arterial hypertension (“PAH”), as well as identifying and developing other potential product candidates. At December 31, 2025, the Company had cash and cash equivalents of $97.6 million and received an additional $14.5 million subsequent to year end from the exercise of pre-funded warrants and warrants. Based on its resources on December 31, 2025 and cash received subsequent to year end, Company management believes that it has sufficient funds for the Company to continue its operations over at least the next 12 months from the date these consolidated financial statements were available to be issued.</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documents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prepared its consolidated financial statements in accordance with accounting principles generally accepted in the United States of America (“U.S. GAAP”) as found in the Accounting Standards Codification (“ASC”) and Accounting Standards Updates (“ASUs”) promulgated by the Financial Accounting Standards Board (“FASB”).</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Intercompany balances and transactions have been eliminated upon consolidation.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instruments with a maturity date of three months or less, when acquired, to be cash equivalents. The Company’s cash and cash equivalents include holdings in money market funds, checking and overnight sweep accounts at December 31, 2025 and bank certificates of deposit through CDARS (Certificate of Deposit Account Registry Service), as well as money market funds, at December 31, 2024. These accounts are measured at fair value on a recurring basis. As of December 31, 2025 and 2024, the balances of cash and cash equivalents were $97.6 million and $94.9 million, respectively, which approximate fair value and were determined based upon Level 1 inputs. The money market and sweep accounts are valued using quoted market prices with no valuation adjustments applied. Accordingly, these financial instruments are categorized as Level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Federal Deposit Insurance Corporation (the “FDIC”) insurance limits are $250 thousand per depositor per insured bank. The Company had cash balances of $97.0 million and $1.0 million uninsured by the FDIC as of December 31, 2025 and 2024, respectively. At December 31, 2024, the Company utilized the IntraFi network of commercial banks which deposits $250,000 in each of its member banks to maintain the FDIC insurance limit.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The Company mitigates its risk with respect to cash and cash equivalents by maintaining its deposits and investments at high-quality financial institutions. The Company invests any excess cash in money market funds and certificates of deposit, and the management of these investments is not discretionary on the part of the financial institution. Substantially all of the Company's cash and cash equivalents are held at JP Morgan and First Horizon Bank, and the amounts frequently exceed federally insured limits.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 off-balance-sheet concentration of credit risk such as foreign exchange contracts, option contracts or other foreign hedging arrangements.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Study and Clinical Accruals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its preclinical study and clinical trial expenses based on the services received pursuant to contracts with several research institutions and contract research organizations (“CROs”) that do or may conduct and manage preclinical and clinical trials on its behalf. The financial terms of the agreements vary from contract to contract, may be estimated by the Company and outside advisors prior to contracting with a CRO, and may result in uneven expenses and payment flows. Preclinical study and clinical trial expenses include the following:</w:t>
      </w:r>
    </w:p>
    <w:p>
      <w:pPr>
        <w:spacing w:after="0" w:line="139" w:lineRule="exact"/>
        <w:rPr>
          <w:sz w:val="20"/>
          <w:szCs w:val="20"/>
          <w:color w:val="auto"/>
        </w:rPr>
      </w:pPr>
    </w:p>
    <w:p>
      <w:pPr>
        <w:ind w:left="760" w:hanging="365"/>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clinical trials,</w:t>
      </w:r>
    </w:p>
    <w:p>
      <w:pPr>
        <w:spacing w:after="0" w:line="27" w:lineRule="exact"/>
        <w:rPr>
          <w:rFonts w:ascii="Times New Roman" w:cs="Times New Roman" w:eastAsia="Times New Roman" w:hAnsi="Times New Roman"/>
          <w:sz w:val="18"/>
          <w:szCs w:val="18"/>
          <w:color w:val="auto"/>
        </w:rPr>
      </w:pPr>
    </w:p>
    <w:p>
      <w:pPr>
        <w:ind w:left="820" w:hanging="425"/>
        <w:spacing w:after="0" w:line="230" w:lineRule="auto"/>
        <w:tabs>
          <w:tab w:leader="none" w:pos="8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fees paid to research institutions in conjunction with preclinical and clinical research studies, and</w:t>
      </w:r>
    </w:p>
    <w:p>
      <w:pPr>
        <w:spacing w:after="0" w:line="12" w:lineRule="exact"/>
        <w:rPr>
          <w:rFonts w:ascii="Times New Roman" w:cs="Times New Roman" w:eastAsia="Times New Roman" w:hAnsi="Times New Roman"/>
          <w:sz w:val="22"/>
          <w:szCs w:val="22"/>
          <w:color w:val="auto"/>
        </w:rPr>
      </w:pPr>
    </w:p>
    <w:p>
      <w:pPr>
        <w:ind w:left="760" w:hanging="365"/>
        <w:spacing w:after="0" w:line="233" w:lineRule="auto"/>
        <w:tabs>
          <w:tab w:leader="none" w:pos="83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include, but are not limited to, (i) expenses incurred under agreements with CROs and investigative sites, which conduct our clinical trials; (ii) the cost of supplying clinical trial materials; (iii) payments to contract service organizations, as well as consultants; (iv) employee-related expenses, which include salaries and benefits; and (v) depreciation and other allocated expenses, which include direct and allocated expenses for equipment, laboratory and other supplies. All research and development expenses are expensed as incurred.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recorded for differences between the financial statement and tax bases of the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 recorded for the amount of income tax payable or refundable for the period increased or decreased by the change in deferred tax assets and liabilities during the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awards to employees in accordance with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equity instruments issued to non-employees in accordance with ASC 505-50, Equity-Based Payments to Non-Employees. The Company records equity instruments at their fair value on the measurement date and periodically adjust them as the underlying equity instruments vest.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for Common Shares and Derivative Financial Instruments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Warrants for shares of common stock and other derivative financial instruments are classified as equity if the contracts: (i) require physical settlement or net-share settlement or (ii) give the Company a choice of net-cash settlement or settlement in its own shares (physical settlement or net-share settlement). Contracts are classified as equity or liabilities if the contracts: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that do not qualify for the scope exception. The Company assesses the classification of its warrants for shares of common stock and other derivatives at each reporting date to determine whether a change in classification between equity and liabilities is required.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Offering costs consists of the costs incurred with the issuance of common stock. warrants, and pre-funded warrants. Costs include placement agent, legal, advisory, accounting and filing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outstanding options, convertible preferred shares and warrants were excluded from the computation of basic and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56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680" w:type="dxa"/>
            <w:vAlign w:val="bottom"/>
          </w:tcPr>
          <w:p>
            <w:pPr>
              <w:spacing w:after="0"/>
              <w:rPr>
                <w:sz w:val="18"/>
                <w:szCs w:val="18"/>
                <w:color w:val="auto"/>
              </w:rPr>
            </w:pPr>
          </w:p>
        </w:tc>
        <w:tc>
          <w:tcPr>
            <w:tcW w:w="16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4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16,895,111</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19,874,360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6,866,746</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3,126,750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shares outstanding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Leases with a term greater than one year are recognized on the consolidated balance sheet as a right-of-use (“ROU”) asset and current and non-current lease liabilities, as applicable. The Company has made an accounting policy election,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known as the short-term lease recognition exemption, which allows the Company to not recognize ROU assets and lease liabilities that arise from short-term leases (12 months or less); The Company has applied this election to all classes of underlying assets. The Company typically only includes an initial lease term in its assessment of a lease arrangement. Options to renew or options to cancel a lease are not included in the Company’s assessment unless there is reasonable certainty that the Company will renew or will not cancel, respectively. The Company monitors its material leases on a quarterly basis.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lease liabilities and their corresponding ROU assets are recorded based on the present value of future lease payments over the expected remaining lease term. Lease cost for operating leases is recognized on a straight-line basis over the lease term as an operating expense. Certain adjustments to the ROU asset may be required for items such as lease prepayments or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 The Company has elected to account for the lease and non-lease components together for all leases.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its financial assets and liabilities in accordance with ASC 820, Fair Value Measurements. The Company’s balance sheet includes the following financial instruments: cash and cash equivalents and money market funds. The Company considers the carrying amount of its cash and cash equivalents and money market funds to approximate fair value due to the short-term nature of these instruments.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two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three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Quoted market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 other than level one inputs that are either directly or indirectly observable;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Unobservable inputs developed using estimates and assumptions; which are developed by the reporting entity and reflect those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that a market participant would use.</w:t>
      </w:r>
    </w:p>
    <w:p>
      <w:pPr>
        <w:spacing w:after="0" w:line="200" w:lineRule="exact"/>
        <w:rPr>
          <w:sz w:val="20"/>
          <w:szCs w:val="20"/>
          <w:color w:val="auto"/>
        </w:rPr>
      </w:pPr>
    </w:p>
    <w:p>
      <w:pPr>
        <w:sectPr>
          <w:pgSz w:w="11900" w:h="16838" w:orient="portrait"/>
          <w:cols w:equalWidth="0" w:num="2">
            <w:col w:w="820" w:space="440"/>
            <w:col w:w="9980"/>
          </w:cols>
          <w:pgMar w:left="320" w:top="117" w:right="339" w:bottom="1440" w:gutter="0" w:footer="0" w:header="0"/>
          <w:type w:val="continuous"/>
        </w:sectPr>
      </w:pPr>
    </w:p>
    <w:p>
      <w:pPr>
        <w:spacing w:after="0" w:line="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The application of this ASU did not have a material impact on the Company's financial position, results of operations or cash flows.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(Topic 220-40), which addresses the disaggregation of income statement expenses. This standard is effective for annual reporting periods beginning after December 15, 2026, and interim reporting periods beginning after December 15, 2027. The Company is evaluating this standard to determine if adoption will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3—BALANCE SHEET COMPONENTS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940" w:type="dxa"/>
            <w:vAlign w:val="bottom"/>
          </w:tcPr>
          <w:p>
            <w:pPr>
              <w:spacing w:after="0"/>
              <w:rPr>
                <w:sz w:val="24"/>
                <w:szCs w:val="24"/>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Pr>
          <w:p>
            <w:pPr>
              <w:spacing w:after="0"/>
              <w:rPr>
                <w:sz w:val="24"/>
                <w:szCs w:val="24"/>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6"/>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9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Prepaid CRO expenses</w:t>
            </w:r>
          </w:p>
        </w:tc>
        <w:tc>
          <w:tcPr>
            <w:tcW w:w="1560" w:type="dxa"/>
            <w:vAlign w:val="bottom"/>
            <w:gridSpan w:val="2"/>
            <w:shd w:val="clear" w:color="auto" w:fill="CCEC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900" w:type="dxa"/>
            <w:vAlign w:val="bottom"/>
            <w:gridSpan w:val="2"/>
            <w:shd w:val="clear" w:color="auto" w:fill="CCEC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9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w:t>
            </w:r>
          </w:p>
        </w:tc>
        <w:tc>
          <w:tcPr>
            <w:tcW w:w="15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90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current assts:</w:t>
            </w:r>
          </w:p>
        </w:tc>
        <w:tc>
          <w:tcPr>
            <w:tcW w:w="94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from warrant exercise held at transfer agent</w:t>
            </w:r>
          </w:p>
        </w:tc>
        <w:tc>
          <w:tcPr>
            <w:tcW w:w="1560" w:type="dxa"/>
            <w:vAlign w:val="bottom"/>
            <w:gridSpan w:val="2"/>
            <w:shd w:val="clear" w:color="auto" w:fill="CCEC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900" w:type="dxa"/>
            <w:vAlign w:val="bottom"/>
            <w:gridSpan w:val="2"/>
            <w:shd w:val="clear" w:color="auto" w:fill="CCEC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other current assets</w:t>
            </w:r>
          </w:p>
        </w:tc>
        <w:tc>
          <w:tcPr>
            <w:tcW w:w="9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560" w:type="dxa"/>
            <w:vAlign w:val="bottom"/>
            <w:gridSpan w:val="2"/>
            <w:shd w:val="clear" w:color="auto" w:fill="CCEC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900" w:type="dxa"/>
            <w:vAlign w:val="bottom"/>
            <w:gridSpan w:val="2"/>
            <w:shd w:val="clear" w:color="auto" w:fill="CCEC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680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940" w:type="dxa"/>
            <w:vAlign w:val="bottom"/>
            <w:tcBorders>
              <w:top w:val="single" w:sz="8" w:color="CCEC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CEC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Pr>
          <w:p>
            <w:pPr>
              <w:spacing w:after="0"/>
              <w:rPr>
                <w:sz w:val="24"/>
                <w:szCs w:val="24"/>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1560" w:type="dxa"/>
            <w:vAlign w:val="bottom"/>
            <w:gridSpan w:val="2"/>
            <w:shd w:val="clear" w:color="auto" w:fill="CCEC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900" w:type="dxa"/>
            <w:vAlign w:val="bottom"/>
            <w:gridSpan w:val="2"/>
            <w:shd w:val="clear" w:color="auto" w:fill="CCEC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w:t>
            </w:r>
          </w:p>
        </w:tc>
        <w:tc>
          <w:tcPr>
            <w:tcW w:w="9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CFF"/>
          </w:tcPr>
          <w:p>
            <w:pPr>
              <w:spacing w:after="0"/>
              <w:rPr>
                <w:sz w:val="19"/>
                <w:szCs w:val="19"/>
                <w:color w:val="auto"/>
              </w:rPr>
            </w:pPr>
          </w:p>
        </w:tc>
        <w:tc>
          <w:tcPr>
            <w:tcW w:w="940" w:type="dxa"/>
            <w:vAlign w:val="bottom"/>
            <w:shd w:val="clear" w:color="auto" w:fill="CCECFF"/>
          </w:tcPr>
          <w:p>
            <w:pPr>
              <w:spacing w:after="0"/>
              <w:rPr>
                <w:sz w:val="19"/>
                <w:szCs w:val="19"/>
                <w:color w:val="auto"/>
              </w:rPr>
            </w:pPr>
          </w:p>
        </w:tc>
        <w:tc>
          <w:tcPr>
            <w:tcW w:w="620" w:type="dxa"/>
            <w:vAlign w:val="bottom"/>
            <w:shd w:val="clear" w:color="auto" w:fill="CCEC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900" w:type="dxa"/>
            <w:vAlign w:val="bottom"/>
            <w:gridSpan w:val="2"/>
            <w:shd w:val="clear" w:color="auto" w:fill="CCEC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CCECFF"/>
            </w:tcBorders>
            <w:shd w:val="clear" w:color="auto" w:fill="CCEC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-1704975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-1002030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-985520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4—STOCKHOLDERS’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Preferred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Certificate of Incorporation, as amended, authorizes it to issue 400,000,000 shares of $0.0001 par value common stock. As of December 31, 2025, and December 31, 2024, there were 9,314,130 and 3,420,906 shares of common stock issued and outstanding,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Company’s Certificate of Incorporation, as amended, the Board of Directors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 Of the potential 10,000,000 shares of preferred stock, 5,181,346 are designated as Series A Stock and 4,818,654 remain undesignated. As of December 31, 2025 and 2024, there were 210 shares of Series A Stock outstanding, convertible into an aggregate of one share of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2025 Private Placement Financing (the “March 2025 Offering”)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4, 2025, the Company entered into a securities purchase agreement with certain accredited investors for the purchase and sale, in a private placement financing by the Company, of an aggregate of 378,346 shares of its common stock, and pre-funded warrants to purchase an aggregate of 3,760,726 shares of common stock at an offering price of $6.04 per share of common stock and $6.03 per pre-funded warrant, resulting in gross proceeds of $25.0 million. The pre-funded warrants do not expire and have an exercise price of $0.01. The net proceeds of the March 2025 Offering, after deducting placement agent fees and direct offering expenses were $23.2 million. The relative fair value allocated to the common stock and pre-funded warrants was $2.3 million and $22.7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on March 5, 2025 and in connection with the March 2025 Offering, the Company entered into a registration rights agreement (the “March 2025 Registration Rights Agreement”) with the purchasers, pursuant to which the Company agreed to register for resale the shares of common stock issued in the March 2025 Offering and the shares of common stock issuable upon exercise of the pre-funded warrants issued in the March 2025 Offering within 45 days of the closing date. Pursuant to the March 2025 Registration Rights Agreement, on April 15, 2025, the Company filed a resale registration statement on Form S-3 with the SEC, which went effective on April 23, 2025.</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March 2025 Registration Rights Agreement includes liquidated damages provisions that meet the definition of a registration payment arrangement that is within the scope of ASC 825-20. The Company determined at the initial issuance of the pre-funded warrants that it is not probable that a payment would be required as it has both the intent and ability to satisfy the March 2025 Registration Rights Agreement. Therefore, the Company did not record a liability at inception but will evaluate the contingency at each reporting period. As of December 31, 2025, no events had occurred that would change our initial assessment of this provision.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2024 Private Placement Financing (the “August 2024 Offering”)</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6, 2024, the Company entered into a securities purchase agreement with certain accredited investors for the purchase and sale, in a private placement financing by the Company, of (i) an aggregate of 1,450,661 shares of its common stock and pre-funded warrants to purchase an aggregate of 31,882,671 shares of common stock and (ii) accompanying warrants to purchase up to an aggregate of 16,666,666 shares of its common stock (or, in lieu thereof, additional pre-funded warrants) at a combined offering price of $3.00 per share of common stock and accompanying warrant, or $2.99 per pre-funded warrant and accompanying warrant, resulting in gross proceeds of $99.7 million. The pre-funded warrants do not expire and have an exercise price of $0.01. The net proceeds of the August 2024 Offering after deducting placement agent fees and direct offering expenses were $92.3 million. The relative fair value allocated to the common stock, pre-funded warrants, and warrants was $3.2 million, $69.4 million, and $27.1 million,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on August 6, 2024 and in connection with the August 2024 Offering, the Company entered into a registration rights agreement (the “August 2024 Registration Rights Agreement”) with the purchasers, pursuant to which the Company agreed to register for resale the shares of common stock issued in the August 2024 Offering and the shares of common stock issuable upon exercise of the warrants issued in the August 2024 Offering within 60 days following the effective date of the August 2024 Registration Rights Agreement. Pursuant to the August 2024 Registration Rights Agreement, on August 30, 2024, the Company filed a resale registration statement on Form S-3 with the SEC, which went effective on September 12, 2024.</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August 2024 Registration Rights Agreement includes liquidated damages provisions that meet the definition of a registration payment arrangement that is within the scope of ASC 825-20. The Company determined at the initial issuance of the pre-funded warrants and accompanying warrant that it is not probable that a payment would be required as it has both the intent and ability to satisfy the August 2024 Registration Rights Agreement. Therefore, the Company did not record a liability at inception but will evaluate the contingency at each reporting period. As of December 31, 2025 no events have occurred that would change our initial assessment of this provision.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Registered Public Offering (the “February 2024 Offering”)</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8, 2024, the Company entered into a securities purchase agreement with certain purchasers for the purchase and sale, in a registered public offering by the Company, of (i) an aggregate of 421,260 shares of its common stock and pre-funded warrants to purchase an aggregate of 1,178,740 shares of common stock and (ii) accompanying warrants to purchase up to an aggregate of 3,200,000 shares of its common stock at a combined offering price of $5.65 per share of common stock and associated warrant, or $5.649 per pre-funded warrant and associated warrant, resulting in gross proceeds of $9.0 million. The net proceeds of the February 2024 Offering after deducting placement agent fees and direct offering expenses were $8.0 million. The relative fair value allocated to the common stock, pre-funded warrants and warrants was $0.9 million, $2.4 million, and $5.7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 Activity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pre-funded warrant activity for the years ended December 31,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768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Prefunded Warrants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33,061,411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(1,178,740)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31,882,671</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3,760,726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(2,538,799)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33,102,778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00" w:type="dxa"/>
            <w:vAlign w:val="bottom"/>
            <w:shd w:val="clear" w:color="auto" w:fill="CFF0FC"/>
          </w:tcPr>
          <w:p>
            <w:pPr>
              <w:spacing w:after="0"/>
              <w:rPr>
                <w:sz w:val="19"/>
                <w:szCs w:val="19"/>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 activity for the years ended December 31, 2025 and 2024, not including pre-funded warrants: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7680" w:type="dxa"/>
            <w:vAlign w:val="bottom"/>
          </w:tcPr>
          <w:p>
            <w:pPr>
              <w:spacing w:after="0"/>
              <w:rPr>
                <w:sz w:val="20"/>
                <w:szCs w:val="20"/>
                <w:color w:val="auto"/>
              </w:rPr>
            </w:pPr>
          </w:p>
        </w:tc>
        <w:tc>
          <w:tcPr>
            <w:tcW w:w="1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19,694</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1,095.27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19,874,360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(2,976,079)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1,151.33</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16,895,111</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-702310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2024 Warrants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above, as part of the August 2024 Offering, the Company issued unregistered warrants to purchase 16,666,666 shares of its common stock at an exercise price of $4.50 per share. The warrants expire at the earlier of (i) 30 trading days following the date of the Company’s initial public announcement of topline data from its Phase 3 LEVEL trial (the “Topline Data Announcement”), (ii) immediately upon the exercise of the August 2024 pre-funded warrants if such exercise is prior to the Topline Data Announcement, provided that if the pre-funded warrant is not exercised in full, the warrant expires proportionally to the extent the pre-funded warrant is exercised, and (iii) August 8, 2029. The warrants have an estimated term of 1.8 years. The unregistered warrants were offered in a private placement under Section 4(a)(2) of the Securities Act of 1933, as amended (the “Securities Act”) and Regulation D promulgated thereunder. In accordance with ASC 815, Derivatives and Hedging, these warrants are classified as equity and their relative fair value of $27.1 million was recognized as additional paid in capital. The estimated fair value is determined using the Black-Scholes option pricing model using the following assumptions: remaining estimated term of 1.8 years, risk free interest rate of 3.83%, expected dividends of zero, and expected volatility of 177.27%.</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Warrants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above, as a part of the February 2024 Offering, the Company issued registered warrants to purchase 3,200,000 shares of its common stock at an exercise price of $5.65 per share and contractual term of five years. In accordance with ASC 815, Derivatives and Hedging, these warrants are classified as equity and their relative fair value of $5.7 million was recognized as additional paid in capital. The estimated fair value was determined using the Black-Scholes option pricing model using the following assumptions: remaining estimated term of 5.0 years, risk free interest rate of 4.12%, expected dividends of zero, and expected volatility of 131.87%.</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adopted the 2022 Stock Incentive Plan, as amended on June 7, 2024 and October 25, 2024, (the “2022 Plan”), with the outstanding shares available for future grants under prior plans, as well as outstanding awards under prior plans that subsequently expire, terminate or are surrendered or forfeited, generally being assumed by the 2022 Plan. Unexpired awards granted under certain prior plans may be subject to the terms of such prior plans.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2022 Plan, with the approval of the Board of Director’s Compensation Committee, the Company may grant stock options, stock appreciation rights, restricted stock, restricted stock units, performance shares, performance units, cash-based awards or other stock-based awards. 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number of shares of common stock authorized for issuance under the 2022 Plan is 8,337,252 shares and a total of 1,721,121 shares remained available for issuance as of </w:t>
      </w:r>
      <w:r>
        <w:rPr>
          <w:rFonts w:ascii="Times New Roman" w:cs="Times New Roman" w:eastAsia="Times New Roman" w:hAnsi="Times New Roman"/>
          <w:sz w:val="18"/>
          <w:szCs w:val="18"/>
          <w:color w:val="212529"/>
        </w:rPr>
        <w:t>December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Stock Option Activity</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Transactions during the years ended December 31, 2025 and 2024 related to stock options granted to employees and directors under Company option plans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as of December 31, 2023</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C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4,509.71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3,126,436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as of December 31, 2025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6,616,432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gridSpan w:val="2"/>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December 31, 2025</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3,125,754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6.50</w:t>
            </w:r>
          </w:p>
        </w:tc>
        <w:tc>
          <w:tcPr>
            <w:tcW w:w="22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8.95</w:t>
            </w:r>
          </w:p>
        </w:tc>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19,533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-753745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-753745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-753745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-187960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-187960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all options issued under the Company's stock plans that are outstanding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Options Outstanding at</w:t>
            </w:r>
          </w:p>
        </w:tc>
        <w:tc>
          <w:tcPr>
            <w:tcW w:w="260" w:type="dxa"/>
            <w:vAlign w:val="bottom"/>
          </w:tcPr>
          <w:p>
            <w:pPr>
              <w:spacing w:after="0"/>
              <w:rPr>
                <w:sz w:val="18"/>
                <w:szCs w:val="18"/>
                <w:color w:val="auto"/>
              </w:rPr>
            </w:pPr>
          </w:p>
        </w:tc>
        <w:tc>
          <w:tcPr>
            <w:tcW w:w="35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Options Exercisable and Vested</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Pr>
          <w:p>
            <w:pPr>
              <w:spacing w:after="0"/>
              <w:rPr>
                <w:sz w:val="20"/>
                <w:szCs w:val="20"/>
                <w:color w:val="auto"/>
              </w:rPr>
            </w:pPr>
          </w:p>
        </w:tc>
        <w:tc>
          <w:tcPr>
            <w:tcW w:w="35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at December 31, 2025</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260" w:type="dxa"/>
            <w:vAlign w:val="bottom"/>
          </w:tcPr>
          <w:p>
            <w:pPr>
              <w:spacing w:after="0"/>
              <w:rPr>
                <w:sz w:val="20"/>
                <w:szCs w:val="20"/>
                <w:color w:val="auto"/>
              </w:rPr>
            </w:pPr>
          </w:p>
        </w:tc>
        <w:tc>
          <w:tcPr>
            <w:tcW w:w="16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6,615,794</w:t>
            </w:r>
          </w:p>
        </w:tc>
        <w:tc>
          <w:tcPr>
            <w:tcW w:w="26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3,125,196</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992.00</w:t>
            </w:r>
          </w:p>
        </w:tc>
        <w:tc>
          <w:tcPr>
            <w:tcW w:w="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87,040.00</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6,616,432</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3,125,754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w w:val="99"/>
              </w:rPr>
              <w:t>F-16</w:t>
            </w: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-1190625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-1190625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-1190625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-1190625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assumptions to estimate the fair value of options granted for the year ended December 31, 2025.</w:t>
      </w:r>
    </w:p>
    <w:p>
      <w:pPr>
        <w:spacing w:after="0" w:line="22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09"/>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4.18%</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(weighted average)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122.16%</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131.33%</w:t>
            </w:r>
          </w:p>
        </w:tc>
      </w:tr>
      <w:tr>
        <w:trPr>
          <w:trHeight w:val="216"/>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FF0FC"/>
          </w:tcPr>
          <w:p>
            <w:pPr>
              <w:spacing w:after="0"/>
              <w:rPr>
                <w:sz w:val="18"/>
                <w:szCs w:val="18"/>
                <w:color w:val="auto"/>
              </w:rPr>
            </w:pP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 for non-inducement stock options of $18.8 million and $1.0 million for the years ended December 31, 2025 and 2024,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unrecognized compensation costs of $14.7 million related to non-vested stock option awards that will be recognized on a straight-line basis over the weighted average remaining vesting period of 1.47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granted an employment inducement stock option award for 250,000 shares of common stock to a new employee on January 21, 2025. This employment inducement stock option was awarded in accordance with the employment inducement award exemption provided by Nasdaq Listing Rule 5635(c)(4) and was therefore not awarded under the Company’s stockholder approved equity plan. The option award vests in four equal annual installments beginning on the first anniversary of the date of issuance, subject to the employee's continued employment with the Company through each applicable vesting date. The option has a 10-year term and an exercise price of $6.45 per share, the January 21, 2025 closing price of the Company’s common stock. The estimated fair value of the inducement stock option award was $1.4 million using the Black-Scholes option pricing model based on market prices and the following assumptions at the date of inducement option grant: risk-free interest rate of 4.49%, dividend yield of 0%, volatility factor for our common stock of 123.41% and an expected life of 6 years.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granted an employment inducement stock option award for 157 shares of common stock, to its then-new President and Chief Executive Officer on July 6, 2021. The employment inducement stock option award was granted in accordance with the employment inducement award exemption provided by Nasdaq Listing Rule 5635(c)(4) and was therefore not awarded under the Company’s stockholder approved equity plan. This award vested in four equal installments beginning on the first anniversary of the date of issuance, subject to continued employment. The option has a 10-year term and an exercise price of $3,152 per share, the July 6, 2021 closing price of our common stock. As of December 31, 2025, the option was fully vested. The estimated fair value of this inducement stock option award was $403 thousand using the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granted an employment inducement stock option award for 157 shares of common stock to its then-new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 has a 10-year term and an exercise price of $2,848 per share, the January 15, 2021 closing price of our common stock, as adjusted for the subsequent reverse stock splits. As of December 31, 2025, two of the vesting milestones have been achieved. The estimated fair value of the inducement stock option award granted was $403 thousand using the Black-Scholes option pricing model based on market prices and the following assumptions at the date of inducement option grant: risk-free interest rate of 11%, dividend yield of 0%, volatility factor for our common stock of 103.94% and an expected life of 10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Inducement stock option compensation expense totaled $0.4 million and $0.1 million for the years ended December 31, 2025 and December 31, 2024, respectively. As of December 31, 2025, there was $1.1 million of remaining unrecognized compensation expense related to these inducement stock options.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owns no real property. Beginning November 1, 2022, the Company maintains a membership providing dedicated office space, as well as shared services and shared space for meetings, catering, and other business activities, at its' principal executive office.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Simdax License Agreement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13, 2013, the Company acquired certain assets of Phyxius Pharma, Inc. (“Phyxius”) pursuant to an asset purchase agreement by and among the Company, Phyxius and the stockholders of Phyxius, dated October 21, 2013. Among these assets was a license with Orion Corporation (“Orion”) for the exclusive, sublicensable right to develop and commercialize pharmaceutical products containing levosimendan, 2.5 mg/ml concentrate for solution for infusion / 5ml vial in the United States and Canada (as amended from time to time, the “License”). On October 9, 2020 and January 25, 2022, the Company entered into amendments to the License to include in the scope of the License two new product formulations containing levosimendan, in capsule and solid dosage form (TNX-103) and a subcutaneously administered dosage form (TNX-102), subject to specified limitations (together, the “Product”).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19, 2024, the Company entered into an amendment to the License providing global rights to oral and subcutaneous formulations of levosimendan used in the treatment of pulmonary hypertension in heart failure with preserved ejection fraction (“PH-HFpEF”). The amendment also reduced the tiered royalties based on worldwide net sales of the product by the Company and its sublicensees, increased the License’s existing milestone payment due to Orion upon the grant of United States Food and Drug Administration approval of a levosimendan-based product to $10.0 million and added a milestone payment to Orion of $5.0 million due upon the grant of regulatory approval for a levosimendan-based product in Japan. The amendment also</w:t>
      </w:r>
    </w:p>
    <w:p>
      <w:pPr>
        <w:spacing w:after="0" w:line="3" w:lineRule="exact"/>
        <w:rPr>
          <w:sz w:val="20"/>
          <w:szCs w:val="20"/>
          <w:color w:val="auto"/>
        </w:rPr>
      </w:pPr>
    </w:p>
    <w:p>
      <w:pPr>
        <w:jc w:val="both"/>
        <w:ind w:firstLine="8"/>
        <w:spacing w:after="0" w:line="253" w:lineRule="auto"/>
        <w:tabs>
          <w:tab w:leader="none" w:pos="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yet-to-be-negotiated supply agreement, for the commercial supply of oral levosimendan-based product. Pursuant to the License, the Company and Orion will agree to a new trademark when commercializing levosimendan in either of the dosage forms.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 2025, the Company entered into an amendment License providing exclusive worldwide rights to develop, commercialize, manufacture, and have manufactured any orally-administered pharmaceutical product containing levosimendan and, in addition to the Company’s existing rights to develop and commercialize subcutaneously administered products containing levosimendan, to manufacture or have manufactured such products. The amendment also calls for Orion to supply the Company with levosimendan to the extent reasonably necessary or useful to manufacture orally-administered products containing levosimendan for purposes of developing such products, and sets forth the terms for such supply, including the price of levosimendan ordered by the Company of low triple-digit thousands in Euros per kilogram, payment terms, and active pharmaceutical ingredient specifications.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has not met any of the developmental milestones under the License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has not recorded any liability for the contingent payments due to Orion.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litigation in the normal course of business, none of which management believes will have a material adverse effect on the Company’s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6—401(k) BENEFIT PLAN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401(k) Retirement Savings Plan (the “401(k) Plan”) for all eligible employees. Full-time employees over the age of 18 are eligible to participate in the 401(k) Plan after 90 days of continuous employment. Participants may elect to defer earnings into the 401(k) Plan up to the annual IRS limits and the Company provides a matching contribution up to 5% of the participants’ annual salary in accordance with the 401(k) Plan documents. A third-party trustee manages the 401(k) Plan.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$118 thousand and $63 thousand for matching contributions expense,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7—INCOME TAXES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recorded any income tax expense (benefit) for the period ended December 31, 2025 due to its history of net operating losses. The Company has adopted ASU 2023-09 “Income Taxes (Topic 740) Improvements to Income Tax Disclosures for the year-ended December 31,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of cash income taxes paid (received) by the Company for both federal and state income tax for the years ended December 31, 2025 and December 31, 2024 was zero.</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reconciliation of income tax expenses (benefit) at the statutory federal income tax rate of 21% for the period ended December 31, 2024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9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tax benefit at statutory rate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benefit, net of federal benefit</w:t>
            </w:r>
          </w:p>
        </w:tc>
        <w:tc>
          <w:tcPr>
            <w:tcW w:w="30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Other nondeductible, including IPR&amp;D expense</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NOL Carryforward</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adjustments</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Other, including effect of tax rate brackets</w:t>
            </w:r>
          </w:p>
        </w:tc>
        <w:tc>
          <w:tcPr>
            <w:tcW w:w="30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reasons for the difference between actual income tax benefit for the years ended December 31, 2025 and the amount computed by applying the statutory federal income tax rate to losses before income tax benefit after the adoption of ASU 2023-09 are as follows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0" w:type="dxa"/>
            <w:vAlign w:val="bottom"/>
          </w:tcPr>
          <w:p>
            <w:pPr>
              <w:spacing w:after="0"/>
              <w:rPr>
                <w:sz w:val="1"/>
                <w:szCs w:val="1"/>
                <w:color w:val="auto"/>
              </w:rPr>
            </w:pPr>
          </w:p>
        </w:tc>
      </w:tr>
      <w:tr>
        <w:trPr>
          <w:trHeight w:val="209"/>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Pre-Tax Loss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32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w:t>
            </w: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Incentive stock option expense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 162(m) impact on stock compensation</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320" w:type="dxa"/>
            <w:vAlign w:val="bottom"/>
            <w:shd w:val="clear" w:color="auto" w:fill="CFF0FC"/>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shd w:val="clear" w:color="auto" w:fill="CCECFF"/>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to return</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(528)</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-170815</wp:posOffset>
            </wp:positionV>
            <wp:extent cx="1117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and carry forwards that give rise to significant portions of the deferred tax assets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45,621</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37,639</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 and other</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R&amp;D</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(50,383)</w:t>
            </w:r>
          </w:p>
        </w:tc>
        <w:tc>
          <w:tcPr>
            <w:tcW w:w="4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(41,701)</w:t>
            </w:r>
          </w:p>
        </w:tc>
      </w:tr>
      <w:tr>
        <w:trPr>
          <w:trHeight w:val="209"/>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-453390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that it is determined that it is more likely than not that deferred tax assets will be realizable, the valuation allowance will be reduced. The net increase in the valuation allowance during 2025 was approximately $8.7 million.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federal and state net operating loss carryforwards of approximately $208.5 million and $172.4 million available to offset future federal and state taxable income, respectively. Federal net operating losses of $120.7 million begin to expire in 2026, while the remaining $87.8 million carryforward indefinitely. State net operating losses begin to expire in 2026. The Company’s only material state income tax activity for the years 2025 and 2024 is related to the North Carolina jurisdiction.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Utilization of the net operating loss carryforwards may be subject to an annual limitation due to the ownership percentage change limitations provided by the Internal Revenue Code of 1986 and similar state provisions. The annual limitations may result in the expiration of the net operating losses before utilization or substantial restrictions on the use of such net operating losses.</w:t>
      </w:r>
    </w:p>
    <w:p>
      <w:pPr>
        <w:spacing w:after="0" w:line="200" w:lineRule="exact"/>
        <w:rPr>
          <w:sz w:val="20"/>
          <w:szCs w:val="20"/>
          <w:color w:val="auto"/>
        </w:rPr>
      </w:pPr>
    </w:p>
    <w:p>
      <w:pPr>
        <w:spacing w:after="0" w:line="3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100% bonus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for qualified property, immediate expensing of domestic R&amp;D expenditures, and changes to the limitation on business interest expense deductions under Section 163(j). None of these provisions have a material impact on the Company’s 2025 income tax provision. The main provision impacting the Company’s tax profile is the allowance for current expensing of domestic R&amp;D expenditures.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U.S. federal net operating loss carryforwards, or NOLs, which expire in various years if not utilized. Under Sections 382 and 383 of Internal Revenue Code of 1986, as amended, or the Code, if a corporation undergoes an “ownership change,” the corporation’s ability to use its pre-change NOLs and other pre-change tax attributes, such as research tax credits, to offset its future post-change income and taxes may be limited. In general, an “ownership change” occurs if there is a cumulative change in our ownership by “5% shareholders” that exceeds 50 percentage points over a rolling three-year period. Similar rules may apply under state tax laws. We have not performed a formal study to determine whether any of our NOLs are subject to these limitations. We have recorded deferred tax assets for our NOLs and research and development credits and have recorded a full valuation allowance against these deferred tax assets. In the event that it is determined that we have in the past experienced additional ownership changes, or if we experience one or more ownership changes as a result of future transactions in our stock, then we may be further limited in our ability to use our NOLs and other tax assets to reduce taxes owed on the net taxable income that we earn in the event that we attain profitability. Any such limitations on the ability to use our NOLs and other tax assets could adversely impact our business, financial condition, and operating results in the event that we attain profitability.</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the provisions of ASC Topic 740-10, “Accounting for Uncertainty in Income Taxes” which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This topic also provides guidance on derecognition, classification, interest and penalties, accounting in interim periods, disclosure, and transition. There were no uncertain tax positions as of December 31, 2025 and 2024.</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U.S. and state income tax returns with varying statutes of limitations. The tax years 2005 and forward remain open to examination due to the carryover of unused net operating losses or tax credits.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8—SEGMENTS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CODM, or decision-making group, in making decisions on how to allocate resources and assess performance. The Company's CODM, the President and Chief Executive Officer, views the Company's operations as one operating segment, which is focused on identifying and developing therapeutics that address cardiovascular and pulmonary diseases with high unmet medical need, with an initial therapeutic focus on pulmonary hypertension. The Company does not have revenue in the current comparative period, incurs expenses primarily in North America and manages the business activities on a consolidated basis.</w:t>
      </w:r>
    </w:p>
    <w:p>
      <w:pPr>
        <w:spacing w:after="0" w:line="143"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accounting policies of the cardiovascular and pulmonary therapeutics segment are the same as those described in the summary of significant accounting policies.</w:t>
      </w:r>
    </w:p>
    <w:p>
      <w:pPr>
        <w:spacing w:after="0" w:line="13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CODM assesses performance for the cardiovascular and pulmonary therapeutics segment and decides how to allocate resources based on net loss that also is reported on the income statement as consolidated net loss. The measure of segment assets is reported on the balance sheet as cash and cash equivalents.</w:t>
      </w:r>
    </w:p>
    <w:p>
      <w:pPr>
        <w:spacing w:after="0" w:line="13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 has not generated any product revenue in the current period and expects to continue to incur significant expenses and operating losses for the foreseeable future as the Company advances its product candidates through all stages of development and clinical trials.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cardiovascular and pulmonary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years ended December 31, 2025 and 2024 (in thousands).</w:t>
      </w: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The year ended December 31,</w:t>
            </w:r>
          </w:p>
        </w:tc>
        <w:tc>
          <w:tcPr>
            <w:tcW w:w="14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r>
      <w:tr>
        <w:trPr>
          <w:trHeight w:val="209"/>
        </w:trPr>
        <w:tc>
          <w:tcPr>
            <w:tcW w:w="56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8"/>
                <w:szCs w:val="18"/>
                <w:color w:val="auto"/>
              </w:rPr>
            </w:pPr>
          </w:p>
        </w:tc>
      </w:tr>
      <w:tr>
        <w:trPr>
          <w:trHeight w:val="209"/>
        </w:trPr>
        <w:tc>
          <w:tcPr>
            <w:tcW w:w="568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360" w:type="dxa"/>
            <w:vAlign w:val="bottom"/>
          </w:tcPr>
          <w:p>
            <w:pPr>
              <w:spacing w:after="0"/>
              <w:rPr>
                <w:sz w:val="18"/>
                <w:szCs w:val="18"/>
                <w:color w:val="auto"/>
              </w:rPr>
            </w:pPr>
          </w:p>
        </w:tc>
      </w:tr>
      <w:tr>
        <w:trPr>
          <w:trHeight w:val="216"/>
        </w:trPr>
        <w:tc>
          <w:tcPr>
            <w:tcW w:w="5680" w:type="dxa"/>
            <w:vAlign w:val="bottom"/>
            <w:tcBorders>
              <w:bottom w:val="single" w:sz="8" w:color="CFF0FC"/>
              <w:right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23,713</w:t>
            </w:r>
          </w:p>
        </w:tc>
        <w:tc>
          <w:tcPr>
            <w:tcW w:w="3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360" w:type="dxa"/>
            <w:vAlign w:val="bottom"/>
            <w:tcBorders>
              <w:bottom w:val="single" w:sz="8" w:color="CFF0FC"/>
            </w:tcBorders>
            <w:shd w:val="clear" w:color="auto" w:fill="CFF0FC"/>
          </w:tcPr>
          <w:p>
            <w:pPr>
              <w:spacing w:after="0"/>
              <w:rPr>
                <w:sz w:val="18"/>
                <w:szCs w:val="18"/>
                <w:color w:val="auto"/>
              </w:rPr>
            </w:pPr>
          </w:p>
        </w:tc>
      </w:tr>
      <w:tr>
        <w:trPr>
          <w:trHeight w:val="228"/>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56,385</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360" w:type="dxa"/>
            <w:vAlign w:val="bottom"/>
          </w:tcPr>
          <w:p>
            <w:pPr>
              <w:spacing w:after="0"/>
              <w:rPr>
                <w:sz w:val="19"/>
                <w:szCs w:val="19"/>
                <w:color w:val="auto"/>
              </w:rPr>
            </w:pPr>
          </w:p>
        </w:tc>
      </w:tr>
      <w:tr>
        <w:trPr>
          <w:trHeight w:val="198"/>
        </w:trPr>
        <w:tc>
          <w:tcPr>
            <w:tcW w:w="5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6"/>
        </w:trPr>
        <w:tc>
          <w:tcPr>
            <w:tcW w:w="56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operating loss</w:t>
            </w:r>
          </w:p>
        </w:tc>
        <w:tc>
          <w:tcPr>
            <w:tcW w:w="14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(56,385)</w:t>
            </w:r>
          </w:p>
        </w:tc>
        <w:tc>
          <w:tcPr>
            <w:tcW w:w="9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(19,494)</w:t>
            </w: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segment items (a)</w:t>
            </w: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680" w:type="dxa"/>
            <w:vAlign w:val="bottom"/>
            <w:tcBorders>
              <w:right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360" w:type="dxa"/>
            <w:vAlign w:val="bottom"/>
            <w:shd w:val="clear" w:color="auto" w:fill="CFF0FC"/>
          </w:tcPr>
          <w:p>
            <w:pPr>
              <w:spacing w:after="0"/>
              <w:rPr>
                <w:sz w:val="18"/>
                <w:szCs w:val="18"/>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680" w:type="dxa"/>
            <w:vAlign w:val="bottom"/>
            <w:tcBorders>
              <w:right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4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FF0FC"/>
          </w:tcPr>
          <w:p>
            <w:pPr>
              <w:spacing w:after="0"/>
              <w:rPr>
                <w:sz w:val="18"/>
                <w:szCs w:val="18"/>
                <w:color w:val="auto"/>
              </w:rPr>
            </w:pPr>
          </w:p>
        </w:tc>
      </w:tr>
      <w:tr>
        <w:trPr>
          <w:trHeight w:val="20"/>
        </w:trPr>
        <w:tc>
          <w:tcPr>
            <w:tcW w:w="5680" w:type="dxa"/>
            <w:vAlign w:val="bottom"/>
            <w:tcBorders>
              <w:right w:val="single" w:sz="8" w:color="CFF0FC"/>
            </w:tcBorders>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210"/>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w:t>
            </w:r>
          </w:p>
        </w:tc>
        <w:tc>
          <w:tcPr>
            <w:tcW w:w="1420" w:type="dxa"/>
            <w:vAlign w:val="bottom"/>
          </w:tcPr>
          <w:p>
            <w:pPr>
              <w:jc w:val="right"/>
              <w:ind w:right="1253"/>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(52,599)</w:t>
            </w:r>
          </w:p>
        </w:tc>
        <w:tc>
          <w:tcPr>
            <w:tcW w:w="94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(17,602)</w:t>
            </w:r>
          </w:p>
        </w:tc>
      </w:tr>
      <w:tr>
        <w:trPr>
          <w:trHeight w:val="20"/>
        </w:trPr>
        <w:tc>
          <w:tcPr>
            <w:tcW w:w="56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-1139190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-1139190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loss includes interest income and interest expense.</w:t>
      </w:r>
    </w:p>
    <w:p>
      <w:pPr>
        <w:spacing w:after="0" w:line="184" w:lineRule="exact"/>
        <w:rPr>
          <w:rFonts w:ascii="Times New Roman" w:cs="Times New Roman" w:eastAsia="Times New Roman" w:hAnsi="Times New Roman"/>
          <w:sz w:val="18"/>
          <w:szCs w:val="18"/>
          <w:color w:val="auto"/>
        </w:rPr>
      </w:pPr>
    </w:p>
    <w:p>
      <w:pPr>
        <w:ind w:right="80" w:firstLine="8"/>
        <w:spacing w:after="0" w:line="282" w:lineRule="auto"/>
        <w:tabs>
          <w:tab w:leader="none" w:pos="2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single operating segment and therefore the measure of segment net loss is the same as consolidated net loss and does not require reconciliation.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and 2024, the net cash used in operating activities was $35.8 million and $14.8 million, respectively. The table below summarizes the significant asset categories regularly reviewed by the CODM for the years ended December 31, 2025 and 2024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The year ended December 31,</w:t>
            </w:r>
          </w:p>
        </w:tc>
        <w:tc>
          <w:tcPr>
            <w:tcW w:w="14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10"/>
        </w:trPr>
        <w:tc>
          <w:tcPr>
            <w:tcW w:w="56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8"/>
                <w:szCs w:val="18"/>
                <w:color w:val="auto"/>
              </w:rPr>
            </w:pPr>
          </w:p>
        </w:tc>
      </w:tr>
      <w:tr>
        <w:trPr>
          <w:trHeight w:val="210"/>
        </w:trPr>
        <w:tc>
          <w:tcPr>
            <w:tcW w:w="7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34"/>
        </w:trPr>
        <w:tc>
          <w:tcPr>
            <w:tcW w:w="7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97,565</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94,851</w:t>
            </w:r>
          </w:p>
        </w:tc>
        <w:tc>
          <w:tcPr>
            <w:tcW w:w="360" w:type="dxa"/>
            <w:vAlign w:val="bottom"/>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9—SUBSEQUENT EVENTS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December 31, 2025, the Company received a total of $14.5 million from the exercise of pre-funded warrants for 4,730,575 shares of common stock and warrants for 3,152,908 shares of common stock.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4.16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authorized to issue 410,000,000 shares of our capital stock consisting of (a) 400,000,000 shares of common stock, par value $0.0001 per share (“Common Stock”), and (b) 10,000,000 shares of preferred stock, par value $0.0001 per share (“Preferred Stock”), consisting of (i) 4,818,654 shares of undesignated “blank check” preferred stock, par value $0.0001 per share, and (ii) 5,181,346 shares of Series A Preferred Stock, par value $0.0001 per share. The following description summarizes the material terms of our capital stock. Because it is only a summary, it does not contain all the information that may be important to you. For a complete description of our capital stock, you should refer to our amended and restated certificate of incorporation (the “Charter”) and our fourth amended and restated bylaws (the “Restated Bylaws”), which are included as exhibits to this Annual Report on Form 10-K, and to the provisions of applicable Delaware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exhibit, the terms “Tenax Therapeutics, Inc.”, “Tenax”, the “Company,” “we”, “us”, and “our” mean Tenax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authorizes the issuance of 400,000,000 shares of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authorized but unissued shares of Common Stock are available for issuance without further action by our stockholders unless such action is required by applicable law or the rules of any securities exchange or automated quotation system on which our securities may be listed or traded. Holders of our Common Stock have the following rights and limitations:</w:t>
      </w:r>
    </w:p>
    <w:p>
      <w:pPr>
        <w:spacing w:after="0" w:line="174" w:lineRule="exact"/>
        <w:rPr>
          <w:sz w:val="20"/>
          <w:szCs w:val="20"/>
          <w:color w:val="auto"/>
        </w:rPr>
      </w:pPr>
    </w:p>
    <w:p>
      <w:pPr>
        <w:ind w:left="760" w:right="20" w:hanging="378"/>
        <w:spacing w:after="0" w:line="284"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our Common Stock are entitled to one vote for each share of Common Stock held on all matters submitted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the stockholders, including the election of directors. Our Charter and our Restated Bylaws do not provide for cumulative voting rights.</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outstanding shares of our Common Stock are entitled to receive ratably any dividends declared by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out of assets legally available for the payment of dividends, at the times and in the amounts as our board may from time to time determine.</w:t>
      </w:r>
    </w:p>
    <w:p>
      <w:pPr>
        <w:spacing w:after="0" w:line="173"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The holders of our Common Stock have no preemptive, conversion, or subscription rights, and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or sinking fund provisions applicable to our Common Stock.</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to Receive Liquidation Distributions. </w:t>
      </w:r>
      <w:r>
        <w:rPr>
          <w:rFonts w:ascii="Times New Roman" w:cs="Times New Roman" w:eastAsia="Times New Roman" w:hAnsi="Times New Roman"/>
          <w:sz w:val="18"/>
          <w:szCs w:val="18"/>
          <w:color w:val="auto"/>
        </w:rPr>
        <w:t>In the event of our liquidation, dissolution or winding up, holders of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pro rata, our assets which are legally available for distribution, after payments of all debts and other liabilities and subject to the preferential rights, if any, on any outstanding shares of Preferred Stock and payment of other claims of creditors.</w:t>
      </w:r>
    </w:p>
    <w:p>
      <w:pPr>
        <w:spacing w:after="0" w:line="1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Fully Paid and Non-Assessable. </w:t>
      </w:r>
      <w:r>
        <w:rPr>
          <w:rFonts w:ascii="Times New Roman" w:cs="Times New Roman" w:eastAsia="Times New Roman" w:hAnsi="Times New Roman"/>
          <w:sz w:val="18"/>
          <w:szCs w:val="18"/>
          <w:color w:val="auto"/>
        </w:rPr>
        <w:t>All of the outstanding shares of our Common Stock are fully paid and non-assessable.</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Adverse Effect of Future Preferred Stock. </w:t>
      </w:r>
      <w:r>
        <w:rPr>
          <w:rFonts w:ascii="Times New Roman" w:cs="Times New Roman" w:eastAsia="Times New Roman" w:hAnsi="Times New Roman"/>
          <w:sz w:val="18"/>
          <w:szCs w:val="18"/>
          <w:color w:val="auto"/>
        </w:rPr>
        <w:t>The rights, preferences and privileges of the holders of Common Stock are subject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be adversely affected by, the rights of the holders of shares of any series of our Preferred Stock that we may designate and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unless such action is required by applicable law or the rules of any securities exchange or automated quotation system on which our securities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54" w:lineRule="auto"/>
        <w:rPr>
          <w:sz w:val="20"/>
          <w:szCs w:val="20"/>
          <w:color w:val="auto"/>
        </w:rPr>
      </w:pPr>
      <w:r>
        <w:rPr>
          <w:rFonts w:ascii="Times New Roman" w:cs="Times New Roman" w:eastAsia="Times New Roman" w:hAnsi="Times New Roman"/>
          <w:sz w:val="18"/>
          <w:szCs w:val="18"/>
          <w:color w:val="auto"/>
        </w:rPr>
        <w:t>listed or traded, to issue up to 10,000,000 shares of Preferred Stock consisting of: (a) 4,818,654 shares of undesignated “blank check” Preferred Stock, par value $0.0001 per share, and (b) 5,181,346 shares of Series A Preferred Stock, par value $0.0001 per share. The “blank check” Preferred Stock may be issued in one or more series and our board of directors has the authority to fix the designations, powers, rights, preferences, qualifications, limitations and restrictions thereof. These designations, powers, rights and preferences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DELAWARE LAW,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CHARTER AND RESTATED BYLAWS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of Delaware law, our Charter, and our Restated Bylaws may have the effect of delaying, deferring, or discouraging another person from acquiring control of our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Delaware Law</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(“DGCL”).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specified employee stock plans; or</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“business combination” includes mergers, asset sales or other transactions resulting in a financial benefit to the stockholder. In general,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Charter and Restated Bylaw Provisions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Various provisions of our Charter and Restated Bylaws could deter hostile takeovers or delay or prevent changes in control of our management team, including the following:</w:t>
      </w:r>
    </w:p>
    <w:p>
      <w:pPr>
        <w:spacing w:after="0" w:line="160" w:lineRule="exact"/>
        <w:rPr>
          <w:sz w:val="20"/>
          <w:szCs w:val="20"/>
          <w:color w:val="auto"/>
        </w:rPr>
      </w:pPr>
    </w:p>
    <w:p>
      <w:pPr>
        <w:jc w:val="both"/>
        <w:ind w:left="760" w:hanging="378"/>
        <w:spacing w:after="0" w:line="267"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The ability to authorize undesignated preferred stock makes it possible for our board of directors to issue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series of preferred stock with voting or other rights or preferences that could impede the success of any attempt to change control of our company.</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of Directors and Filling of Vacancies. </w:t>
      </w:r>
      <w:r>
        <w:rPr>
          <w:rFonts w:ascii="Times New Roman" w:cs="Times New Roman" w:eastAsia="Times New Roman" w:hAnsi="Times New Roman"/>
          <w:sz w:val="18"/>
          <w:szCs w:val="18"/>
          <w:color w:val="auto"/>
        </w:rPr>
        <w:t>Our Restated Bylaws require the vote of stockholders representing not less than a majority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and outstanding capital stock entitled to voting power in order to remove a director from office, with or without cause. In addition, vacancies on our board of directors (including vacancies created by the removal of directors) may be filled by a majority of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ind w:left="760" w:right="20"/>
        <w:spacing w:after="0" w:line="282" w:lineRule="auto"/>
        <w:rPr>
          <w:sz w:val="20"/>
          <w:szCs w:val="20"/>
          <w:color w:val="auto"/>
        </w:rPr>
      </w:pPr>
      <w:r>
        <w:rPr>
          <w:rFonts w:ascii="Times New Roman" w:cs="Times New Roman" w:eastAsia="Times New Roman" w:hAnsi="Times New Roman"/>
          <w:sz w:val="18"/>
          <w:szCs w:val="18"/>
          <w:color w:val="auto"/>
        </w:rPr>
        <w:t>directors, even if less than a quorum, or by a sole remaining director, and each director so appointed shall hold office until his or her successor is elected at an annual or a special meeting of our stockholders.</w:t>
      </w:r>
    </w:p>
    <w:p>
      <w:pPr>
        <w:spacing w:after="0" w:line="160" w:lineRule="exact"/>
        <w:rPr>
          <w:sz w:val="20"/>
          <w:szCs w:val="20"/>
          <w:color w:val="auto"/>
        </w:rPr>
      </w:pPr>
    </w:p>
    <w:p>
      <w:pPr>
        <w:jc w:val="both"/>
        <w:ind w:left="760" w:hanging="378"/>
        <w:spacing w:after="0" w:line="261"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Meeting of Stockholders. </w:t>
      </w:r>
      <w:r>
        <w:rPr>
          <w:rFonts w:ascii="Times New Roman" w:cs="Times New Roman" w:eastAsia="Times New Roman" w:hAnsi="Times New Roman"/>
          <w:sz w:val="18"/>
          <w:szCs w:val="18"/>
          <w:color w:val="auto"/>
        </w:rPr>
        <w:t>Our Restated Bylaws provide that a special meeting of stockholders may be called only by a majority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our president, the chairperson of our board or such other person as our board may designate, in each case, for the purpose specified in the notice of meeting. Our stockholders are not permitted to propose business to be brought before a special meeting of our stockholders.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w:t>
      </w:r>
      <w:r>
        <w:rPr>
          <w:rFonts w:ascii="Times New Roman" w:cs="Times New Roman" w:eastAsia="Times New Roman" w:hAnsi="Times New Roman"/>
          <w:sz w:val="18"/>
          <w:szCs w:val="18"/>
          <w:color w:val="auto"/>
        </w:rPr>
        <w:t>Our Restated Bylaws establish advance notice procedures with respect to stockholder proposals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 of candidates for election as directors, other than nominations made by or at the direction of our board of directors or a committee of the board. These provisions may have the effect of deterring unsolicited offers to acquire our company or delaying stockholder actions, even if they are favored by the holders of a majority of our outstanding voting securities.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Our Charter does not permit cumulative voting. Without cumulative voting, a minority stockholder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as many seats on our board of directors as the stockholder would be able to gain if cumulative voting were permitted. The absence of cumulative voting makes it more difficult for a minority stockholder to gain a seat on our board to influence our board’s decision regarding a takeover.</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of Directors and Officers. </w:t>
      </w:r>
      <w:r>
        <w:rPr>
          <w:rFonts w:ascii="Times New Roman" w:cs="Times New Roman" w:eastAsia="Times New Roman" w:hAnsi="Times New Roman"/>
          <w:sz w:val="18"/>
          <w:szCs w:val="18"/>
          <w:color w:val="auto"/>
        </w:rPr>
        <w:t>Our Charter provides that no director or officer of the Company shall be personally liable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its stockholders for monetary damages for breach of fiduciary duty, except, if required by DGCL, as amended from time to time, for liability (i) for any breach of the director's or officer's duty of loyalty to the Company or its stockholders, (ii) for acts or omissions not in good</w:t>
      </w:r>
    </w:p>
    <w:p>
      <w:pPr>
        <w:spacing w:after="0" w:line="1"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18"/>
          <w:szCs w:val="18"/>
          <w:color w:val="auto"/>
        </w:rPr>
        <w:t>faith or which involve intentional misconduct or a knowing violation of law, (iii) for a director under Section 174 of the DGCL, (iv) for any transaction from which the director or officer derived an improper personal benefit, or (v) for an officer, in any action by or in the right of the Company. Our Charter further provides that if the DGCL is amended to authorize corporate action further eliminating or limiting personal liability of directors or officers, such liability shall be eliminated or limited to the fullest extent permitted by the DGCL, as amended.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Capital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“TENX”.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(Nos. 333-266833, 333-167175, 333-196464, 333-210182, 333-224120, 333-233571, 333-259266, 333-283482, and 333-281874), Form S-3 (Nos. 333-286557, 333-281873, 333-265209, 333-258981, and 333-248201), and Form S-1 (Nos. 333-275856 and 333-269363) of our report dated March 10, 2026, included in this Annual Report on Form 10-K of Tenax Therapeutics, Inc. and Subsidiaries (the “Company”), relating to the consolidated balance sheets of the Company as of December 31, 2025 and 2024, and the related consolidated statements of operations, stockholders’ equity, and cash flows, and the related notes (which report expresses an unqualified opinion for each of the years in the two-year period ended December 31,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Giordano, certify that:</w:t>
      </w:r>
    </w:p>
    <w:p>
      <w:pPr>
        <w:spacing w:after="0" w:line="185"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Tenax Therapeutics, Inc.;</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Christopher T. Giordano</w:t>
            </w:r>
          </w:p>
        </w:tc>
      </w:tr>
      <w:tr>
        <w:trPr>
          <w:trHeight w:val="189"/>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Christopher T. Giordano</w:t>
            </w:r>
          </w:p>
        </w:tc>
      </w:tr>
      <w:tr>
        <w:trPr>
          <w:trHeight w:val="216"/>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627"/>
        </w:trPr>
        <w:tc>
          <w:tcPr>
            <w:tcW w:w="36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McGauley, certify that:</w:t>
      </w:r>
    </w:p>
    <w:p>
      <w:pPr>
        <w:spacing w:after="0" w:line="185"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Tenax Therapeutics, Inc.;</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664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By:/s/ Thomas A. McGauley</w:t>
            </w:r>
          </w:p>
        </w:tc>
      </w:tr>
      <w:tr>
        <w:trPr>
          <w:trHeight w:val="189"/>
        </w:trPr>
        <w:tc>
          <w:tcPr>
            <w:tcW w:w="46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3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Thomas A. McGauley</w:t>
            </w:r>
          </w:p>
        </w:tc>
      </w:tr>
      <w:tr>
        <w:trPr>
          <w:trHeight w:val="216"/>
        </w:trPr>
        <w:tc>
          <w:tcPr>
            <w:tcW w:w="46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r>
      <w:tr>
        <w:trPr>
          <w:trHeight w:val="236"/>
        </w:trPr>
        <w:tc>
          <w:tcPr>
            <w:tcW w:w="46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1627"/>
        </w:trPr>
        <w:tc>
          <w:tcPr>
            <w:tcW w:w="46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Tenax Therapeutics, Inc. (the “Company”) on Form 10-K for the year ended December 31, 2025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39"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Giordano</w:t>
            </w:r>
          </w:p>
        </w:tc>
      </w:tr>
      <w:tr>
        <w:trPr>
          <w:trHeight w:val="189"/>
        </w:trPr>
        <w:tc>
          <w:tcPr>
            <w:tcW w:w="574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Christopher T. Giordano</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Tenax Therapeutics, Inc. (the “Company”) on Form 10-K for the period year December 31, 2025 as filed with the Securities and Exchange Commission on the date hereof (the “Report”), I, Thomas A. McGauley, Interim Chief Financial Officer (Principal Financial and Accounting Officer) of the Company, certify pursuant to 18 U.S.C. Section 1350, as adopted pursuant to Section 906 of the Sarbanes-Oxley Act of 2002, that, to my knowledge:</w:t>
      </w:r>
    </w:p>
    <w:p>
      <w:pPr>
        <w:spacing w:after="0" w:line="139"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A. McGauley</w:t>
            </w:r>
          </w:p>
        </w:tc>
      </w:tr>
      <w:tr>
        <w:trPr>
          <w:trHeight w:val="189"/>
        </w:trPr>
        <w:tc>
          <w:tcPr>
            <w:tcW w:w="562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Thomas A. McGauley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lowerRoman"/>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lowerRoman"/>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80" Type="http://schemas.openxmlformats.org/officeDocument/2006/relationships/image" Target="media/image117.png"/><Relationship Id="rId181" Type="http://schemas.openxmlformats.org/officeDocument/2006/relationships/image" Target="media/image118.png"/><Relationship Id="rId195" Type="http://schemas.openxmlformats.org/officeDocument/2006/relationships/image" Target="media/image119.png"/><Relationship Id="rId196" Type="http://schemas.openxmlformats.org/officeDocument/2006/relationships/image" Target="media/image120.png"/><Relationship Id="rId197" Type="http://schemas.openxmlformats.org/officeDocument/2006/relationships/image" Target="media/image121.png"/><Relationship Id="rId198" Type="http://schemas.openxmlformats.org/officeDocument/2006/relationships/image" Target="media/image122.png"/><Relationship Id="rId199" Type="http://schemas.openxmlformats.org/officeDocument/2006/relationships/image" Target="media/image123.png"/><Relationship Id="rId200" Type="http://schemas.openxmlformats.org/officeDocument/2006/relationships/image" Target="media/image124.png"/><Relationship Id="rId201" Type="http://schemas.openxmlformats.org/officeDocument/2006/relationships/image" Target="media/image125.png"/><Relationship Id="rId202" Type="http://schemas.openxmlformats.org/officeDocument/2006/relationships/image" Target="media/image126.png"/><Relationship Id="rId203" Type="http://schemas.openxmlformats.org/officeDocument/2006/relationships/image" Target="media/image127.png"/><Relationship Id="rId204" Type="http://schemas.openxmlformats.org/officeDocument/2006/relationships/image" Target="media/image128.png"/><Relationship Id="rId205" Type="http://schemas.openxmlformats.org/officeDocument/2006/relationships/image" Target="media/image129.png"/><Relationship Id="rId206" Type="http://schemas.openxmlformats.org/officeDocument/2006/relationships/image" Target="media/image130.png"/><Relationship Id="rId207" Type="http://schemas.openxmlformats.org/officeDocument/2006/relationships/image" Target="media/image131.png"/><Relationship Id="rId208" Type="http://schemas.openxmlformats.org/officeDocument/2006/relationships/image" Target="media/image132.png"/><Relationship Id="rId209" Type="http://schemas.openxmlformats.org/officeDocument/2006/relationships/image" Target="media/image133.png"/><Relationship Id="rId210" Type="http://schemas.openxmlformats.org/officeDocument/2006/relationships/image" Target="media/image134.png"/><Relationship Id="rId211" Type="http://schemas.openxmlformats.org/officeDocument/2006/relationships/image" Target="media/image135.png"/><Relationship Id="rId212" Type="http://schemas.openxmlformats.org/officeDocument/2006/relationships/image" Target="media/image136.png"/><Relationship Id="rId214" Type="http://schemas.openxmlformats.org/officeDocument/2006/relationships/image" Target="media/image137.png"/><Relationship Id="rId215" Type="http://schemas.openxmlformats.org/officeDocument/2006/relationships/image" Target="media/image138.png"/><Relationship Id="rId216" Type="http://schemas.openxmlformats.org/officeDocument/2006/relationships/image" Target="media/image139.png"/><Relationship Id="rId217" Type="http://schemas.openxmlformats.org/officeDocument/2006/relationships/image" Target="media/image140.png"/><Relationship Id="rId218" Type="http://schemas.openxmlformats.org/officeDocument/2006/relationships/image" Target="media/image141.png"/><Relationship Id="rId219" Type="http://schemas.openxmlformats.org/officeDocument/2006/relationships/image" Target="media/image142.png"/><Relationship Id="rId220" Type="http://schemas.openxmlformats.org/officeDocument/2006/relationships/image" Target="media/image143.png"/><Relationship Id="rId221" Type="http://schemas.openxmlformats.org/officeDocument/2006/relationships/image" Target="media/image144.png"/><Relationship Id="rId222" Type="http://schemas.openxmlformats.org/officeDocument/2006/relationships/image" Target="media/image145.png"/><Relationship Id="rId223" Type="http://schemas.openxmlformats.org/officeDocument/2006/relationships/image" Target="media/image146.png"/><Relationship Id="rId224" Type="http://schemas.openxmlformats.org/officeDocument/2006/relationships/image" Target="media/image147.png"/><Relationship Id="rId225" Type="http://schemas.openxmlformats.org/officeDocument/2006/relationships/image" Target="media/image148.png"/><Relationship Id="rId226" Type="http://schemas.openxmlformats.org/officeDocument/2006/relationships/image" Target="media/image149.png"/><Relationship Id="rId227" Type="http://schemas.openxmlformats.org/officeDocument/2006/relationships/image" Target="media/image150.png"/><Relationship Id="rId228" Type="http://schemas.openxmlformats.org/officeDocument/2006/relationships/image" Target="media/image151.png"/><Relationship Id="rId229" Type="http://schemas.openxmlformats.org/officeDocument/2006/relationships/image" Target="media/image152.png"/><Relationship Id="rId230" Type="http://schemas.openxmlformats.org/officeDocument/2006/relationships/image" Target="media/image153.png"/><Relationship Id="rId231" Type="http://schemas.openxmlformats.org/officeDocument/2006/relationships/image" Target="media/image154.png"/><Relationship Id="rId232" Type="http://schemas.openxmlformats.org/officeDocument/2006/relationships/image" Target="media/image155.png"/><Relationship Id="rId233" Type="http://schemas.openxmlformats.org/officeDocument/2006/relationships/image" Target="media/image156.png"/><Relationship Id="rId234" Type="http://schemas.openxmlformats.org/officeDocument/2006/relationships/image" Target="media/image157.png"/><Relationship Id="rId235" Type="http://schemas.openxmlformats.org/officeDocument/2006/relationships/image" Target="media/image158.png"/><Relationship Id="rId236" Type="http://schemas.openxmlformats.org/officeDocument/2006/relationships/image" Target="media/image159.png"/><Relationship Id="rId237" Type="http://schemas.openxmlformats.org/officeDocument/2006/relationships/image" Target="media/image160.png"/><Relationship Id="rId238" Type="http://schemas.openxmlformats.org/officeDocument/2006/relationships/image" Target="media/image161.png"/><Relationship Id="rId239" Type="http://schemas.openxmlformats.org/officeDocument/2006/relationships/image" Target="media/image162.png"/><Relationship Id="rId240" Type="http://schemas.openxmlformats.org/officeDocument/2006/relationships/image" Target="media/image163.png"/><Relationship Id="rId241" Type="http://schemas.openxmlformats.org/officeDocument/2006/relationships/image" Target="media/image164.png"/><Relationship Id="rId242" Type="http://schemas.openxmlformats.org/officeDocument/2006/relationships/image" Target="media/image165.png"/><Relationship Id="rId243" Type="http://schemas.openxmlformats.org/officeDocument/2006/relationships/image" Target="media/image166.png"/><Relationship Id="rId244" Type="http://schemas.openxmlformats.org/officeDocument/2006/relationships/image" Target="media/image167.png"/><Relationship Id="rId245" Type="http://schemas.openxmlformats.org/officeDocument/2006/relationships/image" Target="media/image168.png"/><Relationship Id="rId246" Type="http://schemas.openxmlformats.org/officeDocument/2006/relationships/image" Target="media/image169.png"/><Relationship Id="rId247" Type="http://schemas.openxmlformats.org/officeDocument/2006/relationships/image" Target="media/image170.png"/><Relationship Id="rId248" Type="http://schemas.openxmlformats.org/officeDocument/2006/relationships/image" Target="media/image171.png"/><Relationship Id="rId249" Type="http://schemas.openxmlformats.org/officeDocument/2006/relationships/image" Target="media/image172.png"/><Relationship Id="rId250" Type="http://schemas.openxmlformats.org/officeDocument/2006/relationships/image" Target="media/image173.png"/><Relationship Id="rId251" Type="http://schemas.openxmlformats.org/officeDocument/2006/relationships/image" Target="media/image174.png"/><Relationship Id="rId252" Type="http://schemas.openxmlformats.org/officeDocument/2006/relationships/image" Target="media/image175.png"/><Relationship Id="rId253" Type="http://schemas.openxmlformats.org/officeDocument/2006/relationships/image" Target="media/image176.png"/><Relationship Id="rId254" Type="http://schemas.openxmlformats.org/officeDocument/2006/relationships/image" Target="media/image177.png"/><Relationship Id="rId255" Type="http://schemas.openxmlformats.org/officeDocument/2006/relationships/image" Target="media/image178.png"/><Relationship Id="rId256" Type="http://schemas.openxmlformats.org/officeDocument/2006/relationships/image" Target="media/image179.png"/><Relationship Id="rId257" Type="http://schemas.openxmlformats.org/officeDocument/2006/relationships/image" Target="media/image180.png"/><Relationship Id="rId258" Type="http://schemas.openxmlformats.org/officeDocument/2006/relationships/image" Target="media/image181.png"/><Relationship Id="rId259" Type="http://schemas.openxmlformats.org/officeDocument/2006/relationships/image" Target="media/image182.png"/><Relationship Id="rId260" Type="http://schemas.openxmlformats.org/officeDocument/2006/relationships/image" Target="media/image183.png"/><Relationship Id="rId261" Type="http://schemas.openxmlformats.org/officeDocument/2006/relationships/image" Target="media/image184.png"/><Relationship Id="rId262" Type="http://schemas.openxmlformats.org/officeDocument/2006/relationships/image" Target="media/image185.png"/><Relationship Id="rId263" Type="http://schemas.openxmlformats.org/officeDocument/2006/relationships/image" Target="media/image186.png"/><Relationship Id="rId264" Type="http://schemas.openxmlformats.org/officeDocument/2006/relationships/image" Target="media/image187.png"/><Relationship Id="rId265" Type="http://schemas.openxmlformats.org/officeDocument/2006/relationships/image" Target="media/image188.png"/><Relationship Id="rId266" Type="http://schemas.openxmlformats.org/officeDocument/2006/relationships/image" Target="media/image189.png"/><Relationship Id="rId267" Type="http://schemas.openxmlformats.org/officeDocument/2006/relationships/image" Target="media/image190.png"/><Relationship Id="rId268" Type="http://schemas.openxmlformats.org/officeDocument/2006/relationships/image" Target="media/image191.png"/><Relationship Id="rId269" Type="http://schemas.openxmlformats.org/officeDocument/2006/relationships/image" Target="media/image192.png"/><Relationship Id="rId270" Type="http://schemas.openxmlformats.org/officeDocument/2006/relationships/image" Target="media/image193.png"/><Relationship Id="rId271" Type="http://schemas.openxmlformats.org/officeDocument/2006/relationships/image" Target="media/image194.png"/><Relationship Id="rId272" Type="http://schemas.openxmlformats.org/officeDocument/2006/relationships/image" Target="media/image195.png"/><Relationship Id="rId273" Type="http://schemas.openxmlformats.org/officeDocument/2006/relationships/image" Target="media/image196.png"/><Relationship Id="rId274" Type="http://schemas.openxmlformats.org/officeDocument/2006/relationships/image" Target="media/image197.png"/><Relationship Id="rId275" Type="http://schemas.openxmlformats.org/officeDocument/2006/relationships/image" Target="media/image198.png"/><Relationship Id="rId276" Type="http://schemas.openxmlformats.org/officeDocument/2006/relationships/image" Target="media/image199.png"/><Relationship Id="rId277" Type="http://schemas.openxmlformats.org/officeDocument/2006/relationships/image" Target="media/image200.png"/><Relationship Id="rId278" Type="http://schemas.openxmlformats.org/officeDocument/2006/relationships/image" Target="media/image201.png"/><Relationship Id="rId279" Type="http://schemas.openxmlformats.org/officeDocument/2006/relationships/image" Target="media/image202.png"/><Relationship Id="rId280" Type="http://schemas.openxmlformats.org/officeDocument/2006/relationships/image" Target="media/image203.png"/><Relationship Id="rId281" Type="http://schemas.openxmlformats.org/officeDocument/2006/relationships/image" Target="media/image204.png"/><Relationship Id="rId282" Type="http://schemas.openxmlformats.org/officeDocument/2006/relationships/image" Target="media/image205.png"/><Relationship Id="rId283" Type="http://schemas.openxmlformats.org/officeDocument/2006/relationships/image" Target="media/image206.png"/><Relationship Id="rId284" Type="http://schemas.openxmlformats.org/officeDocument/2006/relationships/image" Target="media/image207.png"/><Relationship Id="rId285" Type="http://schemas.openxmlformats.org/officeDocument/2006/relationships/image" Target="media/image208.png"/><Relationship Id="rId286" Type="http://schemas.openxmlformats.org/officeDocument/2006/relationships/image" Target="media/image209.png"/><Relationship Id="rId287" Type="http://schemas.openxmlformats.org/officeDocument/2006/relationships/image" Target="media/image210.png"/><Relationship Id="rId288" Type="http://schemas.openxmlformats.org/officeDocument/2006/relationships/image" Target="media/image211.png"/><Relationship Id="rId289" Type="http://schemas.openxmlformats.org/officeDocument/2006/relationships/image" Target="media/image212.png"/><Relationship Id="rId290" Type="http://schemas.openxmlformats.org/officeDocument/2006/relationships/image" Target="media/image213.png"/><Relationship Id="rId291" Type="http://schemas.openxmlformats.org/officeDocument/2006/relationships/image" Target="media/image214.png"/><Relationship Id="rId292" Type="http://schemas.openxmlformats.org/officeDocument/2006/relationships/image" Target="media/image215.png"/><Relationship Id="rId293" Type="http://schemas.openxmlformats.org/officeDocument/2006/relationships/image" Target="media/image216.png"/><Relationship Id="rId294" Type="http://schemas.openxmlformats.org/officeDocument/2006/relationships/image" Target="media/image217.png"/><Relationship Id="rId295" Type="http://schemas.openxmlformats.org/officeDocument/2006/relationships/image" Target="media/image218.png"/><Relationship Id="rId296" Type="http://schemas.openxmlformats.org/officeDocument/2006/relationships/image" Target="media/image219.png"/><Relationship Id="rId297" Type="http://schemas.openxmlformats.org/officeDocument/2006/relationships/image" Target="media/image220.png"/><Relationship Id="rId298" Type="http://schemas.openxmlformats.org/officeDocument/2006/relationships/image" Target="media/image221.png"/><Relationship Id="rId299" Type="http://schemas.openxmlformats.org/officeDocument/2006/relationships/image" Target="media/image222.png"/><Relationship Id="rId300" Type="http://schemas.openxmlformats.org/officeDocument/2006/relationships/image" Target="media/image223.png"/><Relationship Id="rId301" Type="http://schemas.openxmlformats.org/officeDocument/2006/relationships/image" Target="media/image224.png"/><Relationship Id="rId302" Type="http://schemas.openxmlformats.org/officeDocument/2006/relationships/image" Target="media/image225.png"/><Relationship Id="rId303" Type="http://schemas.openxmlformats.org/officeDocument/2006/relationships/image" Target="media/image226.png"/><Relationship Id="rId304" Type="http://schemas.openxmlformats.org/officeDocument/2006/relationships/image" Target="media/image227.png"/><Relationship Id="rId305" Type="http://schemas.openxmlformats.org/officeDocument/2006/relationships/image" Target="media/image228.png"/><Relationship Id="rId306" Type="http://schemas.openxmlformats.org/officeDocument/2006/relationships/image" Target="media/image229.png"/><Relationship Id="rId307" Type="http://schemas.openxmlformats.org/officeDocument/2006/relationships/image" Target="media/image230.png"/><Relationship Id="rId308" Type="http://schemas.openxmlformats.org/officeDocument/2006/relationships/image" Target="media/image231.png"/><Relationship Id="rId309" Type="http://schemas.openxmlformats.org/officeDocument/2006/relationships/image" Target="media/image232.png"/><Relationship Id="rId310" Type="http://schemas.openxmlformats.org/officeDocument/2006/relationships/image" Target="media/image233.png"/><Relationship Id="rId311" Type="http://schemas.openxmlformats.org/officeDocument/2006/relationships/image" Target="media/image234.png"/><Relationship Id="rId312" Type="http://schemas.openxmlformats.org/officeDocument/2006/relationships/image" Target="media/image235.png"/><Relationship Id="rId313" Type="http://schemas.openxmlformats.org/officeDocument/2006/relationships/image" Target="media/image236.png"/><Relationship Id="rId314" Type="http://schemas.openxmlformats.org/officeDocument/2006/relationships/image" Target="media/image237.png"/><Relationship Id="rId315" Type="http://schemas.openxmlformats.org/officeDocument/2006/relationships/image" Target="media/image238.png"/><Relationship Id="rId316" Type="http://schemas.openxmlformats.org/officeDocument/2006/relationships/image" Target="media/image239.png"/><Relationship Id="rId317" Type="http://schemas.openxmlformats.org/officeDocument/2006/relationships/image" Target="media/image240.png"/><Relationship Id="rId318" Type="http://schemas.openxmlformats.org/officeDocument/2006/relationships/image" Target="media/image241.png"/><Relationship Id="rId319" Type="http://schemas.openxmlformats.org/officeDocument/2006/relationships/image" Target="media/image242.png"/><Relationship Id="rId320" Type="http://schemas.openxmlformats.org/officeDocument/2006/relationships/image" Target="media/image243.png"/><Relationship Id="rId321" Type="http://schemas.openxmlformats.org/officeDocument/2006/relationships/image" Target="media/image244.png"/><Relationship Id="rId322" Type="http://schemas.openxmlformats.org/officeDocument/2006/relationships/image" Target="media/image245.png"/><Relationship Id="rId323" Type="http://schemas.openxmlformats.org/officeDocument/2006/relationships/image" Target="media/image246.png"/><Relationship Id="rId324" Type="http://schemas.openxmlformats.org/officeDocument/2006/relationships/image" Target="media/image247.png"/><Relationship Id="rId325" Type="http://schemas.openxmlformats.org/officeDocument/2006/relationships/image" Target="media/image248.png"/><Relationship Id="rId326" Type="http://schemas.openxmlformats.org/officeDocument/2006/relationships/image" Target="media/image249.png"/><Relationship Id="rId327" Type="http://schemas.openxmlformats.org/officeDocument/2006/relationships/image" Target="media/image250.png"/><Relationship Id="rId328" Type="http://schemas.openxmlformats.org/officeDocument/2006/relationships/image" Target="media/image251.png"/><Relationship Id="rId329" Type="http://schemas.openxmlformats.org/officeDocument/2006/relationships/image" Target="media/image252.png"/><Relationship Id="rId330" Type="http://schemas.openxmlformats.org/officeDocument/2006/relationships/image" Target="media/image253.png"/><Relationship Id="rId331" Type="http://schemas.openxmlformats.org/officeDocument/2006/relationships/image" Target="media/image254.png"/><Relationship Id="rId332" Type="http://schemas.openxmlformats.org/officeDocument/2006/relationships/image" Target="media/image255.png"/><Relationship Id="rId333" Type="http://schemas.openxmlformats.org/officeDocument/2006/relationships/image" Target="media/image256.png"/><Relationship Id="rId334" Type="http://schemas.openxmlformats.org/officeDocument/2006/relationships/image" Target="media/image257.png"/><Relationship Id="rId335" Type="http://schemas.openxmlformats.org/officeDocument/2006/relationships/image" Target="media/image258.png"/><Relationship Id="rId336" Type="http://schemas.openxmlformats.org/officeDocument/2006/relationships/image" Target="media/image259.png"/><Relationship Id="rId337" Type="http://schemas.openxmlformats.org/officeDocument/2006/relationships/image" Target="media/image260.png"/><Relationship Id="rId338" Type="http://schemas.openxmlformats.org/officeDocument/2006/relationships/image" Target="media/image261.png"/><Relationship Id="rId339" Type="http://schemas.openxmlformats.org/officeDocument/2006/relationships/image" Target="media/image262.png"/><Relationship Id="rId340" Type="http://schemas.openxmlformats.org/officeDocument/2006/relationships/image" Target="media/image263.png"/><Relationship Id="rId341" Type="http://schemas.openxmlformats.org/officeDocument/2006/relationships/image" Target="media/image264.png"/><Relationship Id="rId342" Type="http://schemas.openxmlformats.org/officeDocument/2006/relationships/image" Target="media/image265.png"/><Relationship Id="rId343" Type="http://schemas.openxmlformats.org/officeDocument/2006/relationships/image" Target="media/image266.png"/><Relationship Id="rId344" Type="http://schemas.openxmlformats.org/officeDocument/2006/relationships/image" Target="media/image267.png"/><Relationship Id="rId345" Type="http://schemas.openxmlformats.org/officeDocument/2006/relationships/image" Target="media/image268.png"/><Relationship Id="rId346" Type="http://schemas.openxmlformats.org/officeDocument/2006/relationships/image" Target="media/image269.png"/><Relationship Id="rId347" Type="http://schemas.openxmlformats.org/officeDocument/2006/relationships/image" Target="media/image270.png"/><Relationship Id="rId72" Type="http://schemas.openxmlformats.org/officeDocument/2006/relationships/hyperlink" Target="https://www.sec.gov/Archives/edgar/data/34956/000135448813005858/oxbt_ex21.htm" TargetMode="External"/><Relationship Id="rId73" Type="http://schemas.openxmlformats.org/officeDocument/2006/relationships/hyperlink" Target="https://www.sec.gov/Archives/edgar/data/34956/000165495421000585/tenx_ex21.htm" TargetMode="External"/><Relationship Id="rId74" Type="http://schemas.openxmlformats.org/officeDocument/2006/relationships/hyperlink" Target="https://www.sec.gov/Archives/edgar/data/34956/000165495425007104/tennx_ex32.htm" TargetMode="External"/><Relationship Id="rId75" Type="http://schemas.openxmlformats.org/officeDocument/2006/relationships/hyperlink" Target="https://www.sec.gov/Archives/edgar/data/34956/000165495418013810/tnx_ex41.htm" TargetMode="External"/><Relationship Id="rId76" Type="http://schemas.openxmlformats.org/officeDocument/2006/relationships/hyperlink" Target="https://www.sec.gov/Archives/edgar/data/34956/000135448815004246/tenx_ex31.htm" TargetMode="External"/><Relationship Id="rId77" Type="http://schemas.openxmlformats.org/officeDocument/2006/relationships/hyperlink" Target="https://www.sec.gov/Archives/edgar/data/34956/000165495420002581/tenx_ex42.htm" TargetMode="External"/><Relationship Id="rId78" Type="http://schemas.openxmlformats.org/officeDocument/2006/relationships/hyperlink" Target="https://www.sec.gov/Archives/edgar/data/34956/000165495420002581/tenx_ex43.htm" TargetMode="External"/><Relationship Id="rId79" Type="http://schemas.openxmlformats.org/officeDocument/2006/relationships/hyperlink" Target="https://www.sec.gov/Archives/edgar/data/34956/000165495420007444/tenx_ex42.htm" TargetMode="External"/><Relationship Id="rId80" Type="http://schemas.openxmlformats.org/officeDocument/2006/relationships/hyperlink" Target="https://www.sec.gov/Archives/edgar/data/34956/000165495420007444/tenx_ex43.htm" TargetMode="External"/><Relationship Id="rId81" Type="http://schemas.openxmlformats.org/officeDocument/2006/relationships/hyperlink" Target="https://www.sec.gov/Archives/edgar/data/34956/000165495421007745/tenx_ex42.htm" TargetMode="External"/><Relationship Id="rId82" Type="http://schemas.openxmlformats.org/officeDocument/2006/relationships/hyperlink" Target="https://www.sec.gov/Archives/edgar/data/34956/000165495421007745/tenx_ex43.htm" TargetMode="External"/><Relationship Id="rId94" Type="http://schemas.openxmlformats.org/officeDocument/2006/relationships/hyperlink" Target="https://www.sec.gov/Archives/edgar/data/34956/000165495422007316/tenx_ex41.htm" TargetMode="External"/><Relationship Id="rId95" Type="http://schemas.openxmlformats.org/officeDocument/2006/relationships/hyperlink" Target="https://www.sec.gov/Archives/edgar/data/34956/000165495422007316/tenx_ex42.htm" TargetMode="External"/><Relationship Id="rId96" Type="http://schemas.openxmlformats.org/officeDocument/2006/relationships/hyperlink" Target="https://www.sec.gov/Archives/edgar/data/34956/000165495423001434/tenx_ex41.htm" TargetMode="External"/><Relationship Id="rId97" Type="http://schemas.openxmlformats.org/officeDocument/2006/relationships/hyperlink" Target="https://www.sec.gov/Archives/edgar/data/34956/000165495422007316/tenx_ex43.htm" TargetMode="External"/><Relationship Id="rId98" Type="http://schemas.openxmlformats.org/officeDocument/2006/relationships/hyperlink" Target="https://www.sec.gov/Archives/edgar/data/34956/000165495424001591/tenx_ex41.htm" TargetMode="External"/><Relationship Id="rId99" Type="http://schemas.openxmlformats.org/officeDocument/2006/relationships/hyperlink" Target="https://www.sec.gov/Archives/edgar/data/34956/000165495423001434/tenx_ex43.htm" TargetMode="External"/><Relationship Id="rId100" Type="http://schemas.openxmlformats.org/officeDocument/2006/relationships/hyperlink" Target="https://www.sec.gov/Archives/edgar/data/34956/000165495424009988/tenx_ex41.htm" TargetMode="External"/><Relationship Id="rId101" Type="http://schemas.openxmlformats.org/officeDocument/2006/relationships/hyperlink" Target="https://www.sec.gov/ix?doc=/Archives/edgar/data/0000034956/000165495424009988/tenx_8k.htm" TargetMode="External"/><Relationship Id="rId102" Type="http://schemas.openxmlformats.org/officeDocument/2006/relationships/hyperlink" Target="https://www.sec.gov/Archives/edgar/data/34956/000165495425002385/tenx_ex41.htm" TargetMode="External"/><Relationship Id="rId103" Type="http://schemas.openxmlformats.org/officeDocument/2006/relationships/hyperlink" Target="https://www.sec.gov/Archives/edgar/data/34956/000119312508176263/dex1015.htm" TargetMode="External"/><Relationship Id="rId104" Type="http://schemas.openxmlformats.org/officeDocument/2006/relationships/hyperlink" Target="https://www.sec.gov/Archives/edgar/data/34956/000135448814003782/oxbt_ex1019.htm" TargetMode="External"/><Relationship Id="rId105" Type="http://schemas.openxmlformats.org/officeDocument/2006/relationships/hyperlink" Target="https://www.sec.gov/Archives/edgar/data/34956/000135448814003782/oxbt_ex1020.htm" TargetMode="External"/><Relationship Id="rId106" Type="http://schemas.openxmlformats.org/officeDocument/2006/relationships/hyperlink" Target="https://www.sec.gov/Archives/edgar/data/34956/000119312504140189/dex105.htm" TargetMode="External"/><Relationship Id="rId107" Type="http://schemas.openxmlformats.org/officeDocument/2006/relationships/hyperlink" Target="https://www.sec.gov/Archives/edgar/data/34956/000119312504140189/dex106.htm" TargetMode="External"/><Relationship Id="rId108" Type="http://schemas.openxmlformats.org/officeDocument/2006/relationships/hyperlink" Target="https://www.sec.gov/Archives/edgar/data/34956/000165495417002098/tenx_ex109.htm" TargetMode="External"/><Relationship Id="rId109" Type="http://schemas.openxmlformats.org/officeDocument/2006/relationships/hyperlink" Target="https://www.sec.gov/Archives/edgar/data/34956/000135448811002180/oxbt_ex1036.htm" TargetMode="External"/><Relationship Id="rId110" Type="http://schemas.openxmlformats.org/officeDocument/2006/relationships/hyperlink" Target="https://www.sec.gov/Archives/edgar/data/34956/000135448814001188/oxbt_103.htm" TargetMode="External"/><Relationship Id="rId130" Type="http://schemas.openxmlformats.org/officeDocument/2006/relationships/hyperlink" Target="https://www.sec.gov/Archives/edgar/data/0000034956/000165495420011170/tenx_ex101.htm" TargetMode="External"/><Relationship Id="rId131" Type="http://schemas.openxmlformats.org/officeDocument/2006/relationships/hyperlink" Target="https://www.sec.gov/Archives/edgar/data/34956/000165495422000860/tenx_ex101.htm" TargetMode="External"/><Relationship Id="rId132" Type="http://schemas.openxmlformats.org/officeDocument/2006/relationships/hyperlink" Target="https://www.sec.gov/Archives/edgar/data/34956/000165495424001923/tenx_ex101.htm" TargetMode="External"/><Relationship Id="rId133" Type="http://schemas.openxmlformats.org/officeDocument/2006/relationships/hyperlink" Target="https://www.sec.gov/Archives/edgar/data/34956/000095017025044398/tennx-ex10_3.htm" TargetMode="External"/><Relationship Id="rId134" Type="http://schemas.openxmlformats.org/officeDocument/2006/relationships/hyperlink" Target="https://www.sec.gov/Archives/edgar/data/34956/000165495425010510/tennx_ex101.htm" TargetMode="External"/><Relationship Id="rId135" Type="http://schemas.openxmlformats.org/officeDocument/2006/relationships/hyperlink" Target="https://www.sec.gov/Archives/edgar/data/34956/000165495416001314/tenx_ex101.htm" TargetMode="External"/><Relationship Id="rId136" Type="http://schemas.openxmlformats.org/officeDocument/2006/relationships/hyperlink" Target="https://www.sec.gov/Archives/edgar/data/34956/000165495419009589/tenx_ex101.htm" TargetMode="External"/><Relationship Id="rId137" Type="http://schemas.openxmlformats.org/officeDocument/2006/relationships/hyperlink" Target="https://www.sec.gov/Archives/edgar/data/34956/000165495421009088/tenx_ex101.htm" TargetMode="External"/><Relationship Id="rId138" Type="http://schemas.openxmlformats.org/officeDocument/2006/relationships/hyperlink" Target="https://www.sec.gov/Archives/edgar/data/34956/000165495418009137/tenx_ex102.htm" TargetMode="External"/><Relationship Id="rId139" Type="http://schemas.openxmlformats.org/officeDocument/2006/relationships/hyperlink" Target="https://www.sec.gov/Archives/edgar/data/34956/000165495418009137/tenx_ex104.htm" TargetMode="External"/><Relationship Id="rId140" Type="http://schemas.openxmlformats.org/officeDocument/2006/relationships/hyperlink" Target="https://www.sec.gov/Archives/edgar/data/0000034956/000165495420002581/tenx_ex101.htm" TargetMode="External"/><Relationship Id="rId141" Type="http://schemas.openxmlformats.org/officeDocument/2006/relationships/hyperlink" Target="https://www.sec.gov/Archives/edgar/data/0000034956/000165495420007444/tenx_ex101.htm" TargetMode="External"/><Relationship Id="rId142" Type="http://schemas.openxmlformats.org/officeDocument/2006/relationships/hyperlink" Target="https://www.sec.gov/Archives/edgar/data/0000034956/000165495420007444/tenx_ex102.htm" TargetMode="External"/><Relationship Id="rId158" Type="http://schemas.openxmlformats.org/officeDocument/2006/relationships/hyperlink" Target="https://www.sec.gov/Archives/edgar/data/34956/000165495422008452/tenx_101.htm" TargetMode="External"/><Relationship Id="rId159" Type="http://schemas.openxmlformats.org/officeDocument/2006/relationships/hyperlink" Target="https://www.sec.gov/Archives/edgar/data/0000034956/000165495420007444/tenx_ex103.htm" TargetMode="External"/><Relationship Id="rId160" Type="http://schemas.openxmlformats.org/officeDocument/2006/relationships/hyperlink" Target="https://www.sec.gov/Archives/edgar/data/34956/000165495421000585/tenx_ex101.htm" TargetMode="External"/><Relationship Id="rId161" Type="http://schemas.openxmlformats.org/officeDocument/2006/relationships/hyperlink" Target="https://www.sec.gov/Archives/edgar/data/34956/000165495424007727/tenx_ex102.htm" TargetMode="External"/><Relationship Id="rId162" Type="http://schemas.openxmlformats.org/officeDocument/2006/relationships/hyperlink" Target="https://www.sec.gov/Archives/edgar/data/34956/000165495426000232/tennx_ex101.htm" TargetMode="External"/><Relationship Id="rId163" Type="http://schemas.openxmlformats.org/officeDocument/2006/relationships/hyperlink" Target="https://www.sec.gov/Archives/edgar/data/34956/000165495421007745/tenx_ex101.htm" TargetMode="External"/><Relationship Id="rId171" Type="http://schemas.openxmlformats.org/officeDocument/2006/relationships/hyperlink" Target="https://www.sec.gov/Archives/edgar/data/34956/000165495421007745/tenx_ex102.htm" TargetMode="External"/><Relationship Id="rId172" Type="http://schemas.openxmlformats.org/officeDocument/2006/relationships/hyperlink" Target="https://www.sec.gov/Archives/edgar/data/34956/000165495421007745/tenx_ex104.htm" TargetMode="External"/><Relationship Id="rId173" Type="http://schemas.openxmlformats.org/officeDocument/2006/relationships/hyperlink" Target="https://www.sec.gov/Archives/edgar/data/34956/000165495421007745/tenx_ex105.htm" TargetMode="External"/><Relationship Id="rId174" Type="http://schemas.openxmlformats.org/officeDocument/2006/relationships/hyperlink" Target="https://www.sec.gov/Archives/edgar/data/34956/000165495422004036/tenx_ex1020.htm" TargetMode="External"/><Relationship Id="rId175" Type="http://schemas.openxmlformats.org/officeDocument/2006/relationships/hyperlink" Target="https://www.sec.gov/Archives/edgar/data/34956/000165495422007316/tenx_ex101.htm" TargetMode="External"/><Relationship Id="rId176" Type="http://schemas.openxmlformats.org/officeDocument/2006/relationships/hyperlink" Target="https://www.sec.gov/Archives/edgar/data/34956/000165495422007316/tenx_ex102.htm" TargetMode="External"/><Relationship Id="rId177" Type="http://schemas.openxmlformats.org/officeDocument/2006/relationships/hyperlink" Target="https://www.sec.gov/Archives/edgar/data/34956/000165495422008221/tenx_ex101.htm" TargetMode="External"/><Relationship Id="rId178" Type="http://schemas.openxmlformats.org/officeDocument/2006/relationships/hyperlink" Target="https://www.sec.gov/Archives/edgar/data/34956/000165495424007727/tenx_ex101.htm" TargetMode="External"/><Relationship Id="rId179" Type="http://schemas.openxmlformats.org/officeDocument/2006/relationships/hyperlink" Target="https://www.sec.gov/Archives/edgar/data/34956/000165495424013505/tenx_ex101.htm" TargetMode="External"/><Relationship Id="rId182" Type="http://schemas.openxmlformats.org/officeDocument/2006/relationships/hyperlink" Target="https://www.sec.gov/Archives/edgar/data/34956/000165495422008221/tenx_ex102.htm" TargetMode="External"/><Relationship Id="rId183" Type="http://schemas.openxmlformats.org/officeDocument/2006/relationships/hyperlink" Target="https://www.sec.gov/Archives/edgar/data/34956/000165495423001434/tenx_ex101.htm" TargetMode="External"/><Relationship Id="rId184" Type="http://schemas.openxmlformats.org/officeDocument/2006/relationships/hyperlink" Target="https://www.sec.gov/Archives/edgar/data/34956/000165495423001434/tenx_ex102.htm" TargetMode="External"/><Relationship Id="rId185" Type="http://schemas.openxmlformats.org/officeDocument/2006/relationships/hyperlink" Target="https://www.sec.gov/Archives/edgar/data/34956/000165495423001434/tenx_ex103.htm" TargetMode="External"/><Relationship Id="rId186" Type="http://schemas.openxmlformats.org/officeDocument/2006/relationships/hyperlink" Target="https://www.sec.gov/Archives/edgar/data/34956/000165495424001591/tenx_ex101.htm" TargetMode="External"/><Relationship Id="rId187" Type="http://schemas.openxmlformats.org/officeDocument/2006/relationships/hyperlink" Target="https://www.sec.gov/Archives/edgar/data/34956/000165495424001591/tenx_ex102.htm" TargetMode="External"/><Relationship Id="rId188" Type="http://schemas.openxmlformats.org/officeDocument/2006/relationships/hyperlink" Target="https://www.sec.gov/Archives/edgar/data/34956/000165495424009988/tenx_ex101.htm" TargetMode="External"/><Relationship Id="rId189" Type="http://schemas.openxmlformats.org/officeDocument/2006/relationships/hyperlink" Target="https://www.sec.gov/Archives/edgar/data/34956/000165495424009988/tenx_ex102.htm" TargetMode="External"/><Relationship Id="rId190" Type="http://schemas.openxmlformats.org/officeDocument/2006/relationships/hyperlink" Target="https://www.sec.gov/Archives/edgar/data/34956/000095017025044398/tennx-ex10_26.htm" TargetMode="External"/><Relationship Id="rId191" Type="http://schemas.openxmlformats.org/officeDocument/2006/relationships/hyperlink" Target="https://www.sec.gov/Archives/edgar/data/34956/000165495425002385/tenx_ex101.htm" TargetMode="External"/><Relationship Id="rId192" Type="http://schemas.openxmlformats.org/officeDocument/2006/relationships/hyperlink" Target="https://www.sec.gov/Archives/edgar/data/34956/000165495425002385/tenx_ex102.htm" TargetMode="External"/><Relationship Id="rId193" Type="http://schemas.openxmlformats.org/officeDocument/2006/relationships/hyperlink" Target="https://www.sec.gov/Archives/edgar/data/34956/000095017025044398/tennx-ex19_1.htm" TargetMode="External"/><Relationship Id="rId194" Type="http://schemas.openxmlformats.org/officeDocument/2006/relationships/hyperlink" Target="https://www.sec.gov/Archives/edgar/data/34956/000165495423003945/tenx_ex211.htm" TargetMode="External"/><Relationship Id="rId213" Type="http://schemas.openxmlformats.org/officeDocument/2006/relationships/hyperlink" Target="https://www.sec.gov/Archives/edgar/data/34956/000165495424003827/tenx_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2026-03-10T06:53:32Z</dcterms:created>
  <dcterms:modified xsi:type="dcterms:W3CDTF">2026-03-10T06:53:32Z</dcterms:modified>
</cp:coreProperties>
</file>