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ind w:left="0" w:right="0" w:hanging="0"/>
        <w:jc w:val="left"/>
        <w:rPr>
          <w:sz w:val="4"/>
          <w:szCs w:val="4"/>
        </w:rPr>
      </w:pPr>
      <w:r>
        <w:rPr>
          <w:sz w:val="4"/>
          <w:szCs w:val="4"/>
        </w:rPr>
      </w:r>
      <w:bookmarkStart w:id="0" w:name="tenx_defa14a.htm"/>
      <w:bookmarkStart w:id="1" w:name="kstenx_defa14a"/>
      <w:bookmarkStart w:id="2" w:name="tenx_defa14a.htm"/>
      <w:bookmarkStart w:id="3" w:name="kstenx_defa14a"/>
      <w:bookmarkEnd w:id="2"/>
      <w:bookmarkEnd w:id="3"/>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sz w:val="24"/>
        </w:rPr>
        <w:t>UNITED STATES</w:t>
      </w:r>
    </w:p>
    <w:p>
      <w:pPr>
        <w:pStyle w:val="TextBody"/>
        <w:bidi w:val="0"/>
        <w:spacing w:before="0" w:after="0"/>
        <w:ind w:left="0" w:right="0" w:hanging="0"/>
        <w:jc w:val="center"/>
        <w:rPr/>
      </w:pPr>
      <w:r>
        <w:rPr>
          <w:rStyle w:val="StrongEmphasis"/>
          <w:rFonts w:ascii="times new roman" w:hAnsi="times new roman"/>
          <w:sz w:val="24"/>
        </w:rPr>
        <w:t>SECURITIES AND EXCHANGE COMMISSION</w:t>
      </w:r>
    </w:p>
    <w:p>
      <w:pPr>
        <w:pStyle w:val="TextBody"/>
        <w:bidi w:val="0"/>
        <w:spacing w:before="0" w:after="0"/>
        <w:ind w:left="0" w:right="0" w:hanging="0"/>
        <w:jc w:val="center"/>
        <w:rPr/>
      </w:pPr>
      <w:r>
        <w:rPr>
          <w:rStyle w:val="StrongEmphasis"/>
          <w:rFonts w:ascii="times new roman" w:hAnsi="times new roman"/>
          <w:sz w:val="24"/>
        </w:rPr>
        <w:t>WASHINGTON, D.C. 20549</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4" w:name="del_fontebd91c57-a9d0-4107-89e9-4eee1805"/>
      <w:bookmarkEnd w:id="4"/>
      <w:r>
        <w:rPr>
          <w:rStyle w:val="StrongEmphasis"/>
          <w:rFonts w:ascii="times new roman" w:hAnsi="times new roman"/>
          <w:sz w:val="36"/>
        </w:rPr>
        <w:t>SCHEDULE 14A INFORMATION</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Proxy Statement Pursuant to Section 14(a) of</w:t>
      </w:r>
    </w:p>
    <w:p>
      <w:pPr>
        <w:pStyle w:val="TextBody"/>
        <w:bidi w:val="0"/>
        <w:spacing w:before="0" w:after="0"/>
        <w:ind w:left="0" w:right="0" w:hanging="0"/>
        <w:jc w:val="center"/>
        <w:rPr/>
      </w:pPr>
      <w:r>
        <w:rPr>
          <w:rStyle w:val="StrongEmphasis"/>
          <w:rFonts w:ascii="times new roman" w:hAnsi="times new roman"/>
          <w:sz w:val="20"/>
        </w:rPr>
        <w:t>the Securities Exchange Act of 1934</w:t>
      </w:r>
    </w:p>
    <w:p>
      <w:pPr>
        <w:pStyle w:val="TextBody"/>
        <w:bidi w:val="0"/>
        <w:spacing w:before="0" w:after="0"/>
        <w:ind w:left="0" w:right="0" w:hanging="0"/>
        <w:jc w:val="both"/>
        <w:rPr>
          <w:rFonts w:ascii="times new roman" w:hAnsi="times new roman"/>
          <w:sz w:val="20"/>
        </w:rPr>
      </w:pPr>
      <w:r>
        <w:rPr>
          <w:rFonts w:ascii="times new roman" w:hAnsi="times new roman"/>
          <w:sz w:val="20"/>
        </w:rPr>
        <w:t>Filed by the Registrant   ☒</w:t>
      </w:r>
    </w:p>
    <w:p>
      <w:pPr>
        <w:pStyle w:val="TextBody"/>
        <w:bidi w:val="0"/>
        <w:spacing w:before="0" w:after="0"/>
        <w:ind w:left="0" w:right="0" w:hanging="0"/>
        <w:jc w:val="both"/>
        <w:rPr>
          <w:rFonts w:ascii="times new roman" w:hAnsi="times new roman"/>
          <w:sz w:val="20"/>
        </w:rPr>
      </w:pPr>
      <w:r>
        <w:rPr>
          <w:rFonts w:ascii="times new roman" w:hAnsi="times new roman"/>
          <w:sz w:val="20"/>
        </w:rPr>
        <w:t>Filed by a Party other than the Registrant   ☐</w:t>
      </w:r>
    </w:p>
    <w:p>
      <w:pPr>
        <w:pStyle w:val="TextBody"/>
        <w:bidi w:val="0"/>
        <w:spacing w:before="0" w:after="0"/>
        <w:ind w:left="0" w:right="0" w:hanging="0"/>
        <w:jc w:val="both"/>
        <w:rPr>
          <w:rFonts w:ascii="times new roman" w:hAnsi="times new roman"/>
          <w:sz w:val="20"/>
        </w:rPr>
      </w:pPr>
      <w:r>
        <w:rPr>
          <w:rFonts w:ascii="times new roman" w:hAnsi="times new roman"/>
          <w:sz w:val="20"/>
        </w:rPr>
        <w:t>Check the appropriate box:</w:t>
      </w:r>
    </w:p>
    <w:p>
      <w:pPr>
        <w:pStyle w:val="TextBody"/>
        <w:bidi w:val="0"/>
        <w:spacing w:before="0" w:after="0"/>
        <w:ind w:left="0" w:right="0" w:hanging="0"/>
        <w:jc w:val="both"/>
        <w:rPr/>
      </w:pPr>
      <w:r>
        <w:rPr/>
        <w:t> </w:t>
      </w:r>
    </w:p>
    <w:tbl>
      <w:tblPr>
        <w:tblW w:w="8095" w:type="dxa"/>
        <w:jc w:val="left"/>
        <w:tblInd w:w="0" w:type="dxa"/>
        <w:tblLayout w:type="fixed"/>
        <w:tblCellMar>
          <w:top w:w="0" w:type="dxa"/>
          <w:left w:w="0" w:type="dxa"/>
          <w:bottom w:w="0" w:type="dxa"/>
          <w:right w:w="0" w:type="dxa"/>
        </w:tblCellMar>
      </w:tblPr>
      <w:tblGrid>
        <w:gridCol w:w="335"/>
        <w:gridCol w:w="7760"/>
      </w:tblGrid>
      <w:tr>
        <w:trPr/>
        <w:tc>
          <w:tcPr>
            <w:tcW w:w="335" w:type="dxa"/>
            <w:tcBorders/>
            <w:vAlign w:val="center"/>
          </w:tcPr>
          <w:p>
            <w:pPr>
              <w:pStyle w:val="TableContents"/>
              <w:bidi w:val="0"/>
              <w:spacing w:before="0" w:after="0"/>
              <w:ind w:left="0" w:right="0" w:hanging="0"/>
              <w:jc w:val="left"/>
              <w:rPr/>
            </w:pPr>
            <w:r>
              <w:rPr/>
              <w:t>☐</w:t>
            </w:r>
          </w:p>
        </w:tc>
        <w:tc>
          <w:tcPr>
            <w:tcW w:w="7760" w:type="dxa"/>
            <w:tcBorders/>
            <w:vAlign w:val="center"/>
          </w:tcPr>
          <w:p>
            <w:pPr>
              <w:pStyle w:val="TableContents"/>
              <w:bidi w:val="0"/>
              <w:spacing w:before="0" w:after="0"/>
              <w:ind w:left="0" w:right="0" w:hanging="0"/>
              <w:jc w:val="left"/>
              <w:rPr/>
            </w:pPr>
            <w:r>
              <w:rPr/>
              <w:t>Preliminary Proxy Statement</w:t>
            </w:r>
          </w:p>
        </w:tc>
      </w:tr>
      <w:tr>
        <w:trPr/>
        <w:tc>
          <w:tcPr>
            <w:tcW w:w="335" w:type="dxa"/>
            <w:tcBorders/>
            <w:vAlign w:val="center"/>
          </w:tcPr>
          <w:p>
            <w:pPr>
              <w:pStyle w:val="TableContents"/>
              <w:bidi w:val="0"/>
              <w:spacing w:before="0" w:after="283"/>
              <w:jc w:val="left"/>
              <w:rPr>
                <w:sz w:val="4"/>
                <w:szCs w:val="4"/>
              </w:rPr>
            </w:pPr>
            <w:r>
              <w:rPr>
                <w:sz w:val="4"/>
                <w:szCs w:val="4"/>
              </w:rPr>
            </w:r>
          </w:p>
        </w:tc>
        <w:tc>
          <w:tcPr>
            <w:tcW w:w="7760" w:type="dxa"/>
            <w:tcBorders/>
            <w:vAlign w:val="center"/>
          </w:tcPr>
          <w:p>
            <w:pPr>
              <w:pStyle w:val="TableContents"/>
              <w:bidi w:val="0"/>
              <w:spacing w:before="0" w:after="283"/>
              <w:jc w:val="left"/>
              <w:rPr>
                <w:sz w:val="4"/>
                <w:szCs w:val="4"/>
              </w:rPr>
            </w:pPr>
            <w:r>
              <w:rPr>
                <w:sz w:val="4"/>
                <w:szCs w:val="4"/>
              </w:rPr>
            </w:r>
          </w:p>
        </w:tc>
      </w:tr>
      <w:tr>
        <w:trPr/>
        <w:tc>
          <w:tcPr>
            <w:tcW w:w="335" w:type="dxa"/>
            <w:tcBorders/>
            <w:vAlign w:val="center"/>
          </w:tcPr>
          <w:p>
            <w:pPr>
              <w:pStyle w:val="TableContents"/>
              <w:bidi w:val="0"/>
              <w:spacing w:before="0" w:after="0"/>
              <w:ind w:left="0" w:right="0" w:hanging="0"/>
              <w:jc w:val="left"/>
              <w:rPr/>
            </w:pPr>
            <w:r>
              <w:rPr/>
              <w:t>☐</w:t>
            </w:r>
          </w:p>
        </w:tc>
        <w:tc>
          <w:tcPr>
            <w:tcW w:w="7760" w:type="dxa"/>
            <w:tcBorders/>
            <w:vAlign w:val="center"/>
          </w:tcPr>
          <w:p>
            <w:pPr>
              <w:pStyle w:val="TableContents"/>
              <w:bidi w:val="0"/>
              <w:spacing w:before="0" w:after="0"/>
              <w:ind w:left="0" w:right="0" w:hanging="0"/>
              <w:jc w:val="left"/>
              <w:rPr/>
            </w:pPr>
            <w:r>
              <w:rPr/>
              <w:t>Confidential, for Use of the Commission Only (as permitted by Rule 14a-6(e)(2))</w:t>
            </w:r>
          </w:p>
        </w:tc>
      </w:tr>
      <w:tr>
        <w:trPr/>
        <w:tc>
          <w:tcPr>
            <w:tcW w:w="335" w:type="dxa"/>
            <w:tcBorders/>
            <w:vAlign w:val="center"/>
          </w:tcPr>
          <w:p>
            <w:pPr>
              <w:pStyle w:val="TableContents"/>
              <w:bidi w:val="0"/>
              <w:spacing w:before="0" w:after="283"/>
              <w:jc w:val="left"/>
              <w:rPr>
                <w:sz w:val="4"/>
                <w:szCs w:val="4"/>
              </w:rPr>
            </w:pPr>
            <w:r>
              <w:rPr>
                <w:sz w:val="4"/>
                <w:szCs w:val="4"/>
              </w:rPr>
            </w:r>
          </w:p>
        </w:tc>
        <w:tc>
          <w:tcPr>
            <w:tcW w:w="7760" w:type="dxa"/>
            <w:tcBorders/>
            <w:vAlign w:val="center"/>
          </w:tcPr>
          <w:p>
            <w:pPr>
              <w:pStyle w:val="TableContents"/>
              <w:bidi w:val="0"/>
              <w:spacing w:before="0" w:after="283"/>
              <w:jc w:val="left"/>
              <w:rPr>
                <w:sz w:val="4"/>
                <w:szCs w:val="4"/>
              </w:rPr>
            </w:pPr>
            <w:r>
              <w:rPr>
                <w:sz w:val="4"/>
                <w:szCs w:val="4"/>
              </w:rPr>
            </w:r>
          </w:p>
        </w:tc>
      </w:tr>
      <w:tr>
        <w:trPr/>
        <w:tc>
          <w:tcPr>
            <w:tcW w:w="335" w:type="dxa"/>
            <w:tcBorders/>
            <w:vAlign w:val="center"/>
          </w:tcPr>
          <w:p>
            <w:pPr>
              <w:pStyle w:val="TableContents"/>
              <w:bidi w:val="0"/>
              <w:spacing w:before="0" w:after="0"/>
              <w:ind w:left="0" w:right="0" w:hanging="0"/>
              <w:jc w:val="left"/>
              <w:rPr/>
            </w:pPr>
            <w:r>
              <w:rPr/>
              <w:t xml:space="preserve">☐ </w:t>
            </w:r>
          </w:p>
        </w:tc>
        <w:tc>
          <w:tcPr>
            <w:tcW w:w="7760" w:type="dxa"/>
            <w:tcBorders/>
            <w:vAlign w:val="center"/>
          </w:tcPr>
          <w:p>
            <w:pPr>
              <w:pStyle w:val="TableContents"/>
              <w:bidi w:val="0"/>
              <w:spacing w:before="0" w:after="0"/>
              <w:ind w:left="0" w:right="0" w:hanging="0"/>
              <w:jc w:val="left"/>
              <w:rPr/>
            </w:pPr>
            <w:r>
              <w:rPr/>
              <w:t>Definitive Proxy Statement</w:t>
            </w:r>
          </w:p>
        </w:tc>
      </w:tr>
      <w:tr>
        <w:trPr/>
        <w:tc>
          <w:tcPr>
            <w:tcW w:w="335" w:type="dxa"/>
            <w:tcBorders/>
            <w:vAlign w:val="center"/>
          </w:tcPr>
          <w:p>
            <w:pPr>
              <w:pStyle w:val="TableContents"/>
              <w:bidi w:val="0"/>
              <w:spacing w:before="0" w:after="283"/>
              <w:jc w:val="left"/>
              <w:rPr>
                <w:sz w:val="4"/>
                <w:szCs w:val="4"/>
              </w:rPr>
            </w:pPr>
            <w:r>
              <w:rPr>
                <w:sz w:val="4"/>
                <w:szCs w:val="4"/>
              </w:rPr>
            </w:r>
          </w:p>
        </w:tc>
        <w:tc>
          <w:tcPr>
            <w:tcW w:w="7760" w:type="dxa"/>
            <w:tcBorders/>
            <w:vAlign w:val="center"/>
          </w:tcPr>
          <w:p>
            <w:pPr>
              <w:pStyle w:val="TableContents"/>
              <w:bidi w:val="0"/>
              <w:spacing w:before="0" w:after="283"/>
              <w:jc w:val="left"/>
              <w:rPr>
                <w:sz w:val="4"/>
                <w:szCs w:val="4"/>
              </w:rPr>
            </w:pPr>
            <w:r>
              <w:rPr>
                <w:sz w:val="4"/>
                <w:szCs w:val="4"/>
              </w:rPr>
            </w:r>
          </w:p>
        </w:tc>
      </w:tr>
      <w:tr>
        <w:trPr/>
        <w:tc>
          <w:tcPr>
            <w:tcW w:w="335" w:type="dxa"/>
            <w:tcBorders/>
            <w:vAlign w:val="center"/>
          </w:tcPr>
          <w:p>
            <w:pPr>
              <w:pStyle w:val="TableContents"/>
              <w:bidi w:val="0"/>
              <w:spacing w:before="0" w:after="0"/>
              <w:ind w:left="0" w:right="0" w:hanging="0"/>
              <w:jc w:val="left"/>
              <w:rPr/>
            </w:pPr>
            <w:r>
              <w:rPr/>
              <w:t xml:space="preserve">☒ </w:t>
            </w:r>
          </w:p>
        </w:tc>
        <w:tc>
          <w:tcPr>
            <w:tcW w:w="7760" w:type="dxa"/>
            <w:tcBorders/>
            <w:vAlign w:val="center"/>
          </w:tcPr>
          <w:p>
            <w:pPr>
              <w:pStyle w:val="TableContents"/>
              <w:bidi w:val="0"/>
              <w:spacing w:before="0" w:after="0"/>
              <w:ind w:left="0" w:right="0" w:hanging="0"/>
              <w:jc w:val="left"/>
              <w:rPr/>
            </w:pPr>
            <w:r>
              <w:rPr/>
              <w:t>Definitive Additional Materials</w:t>
            </w:r>
          </w:p>
        </w:tc>
      </w:tr>
      <w:tr>
        <w:trPr/>
        <w:tc>
          <w:tcPr>
            <w:tcW w:w="335" w:type="dxa"/>
            <w:tcBorders/>
            <w:vAlign w:val="center"/>
          </w:tcPr>
          <w:p>
            <w:pPr>
              <w:pStyle w:val="TableContents"/>
              <w:bidi w:val="0"/>
              <w:spacing w:before="0" w:after="283"/>
              <w:jc w:val="left"/>
              <w:rPr>
                <w:sz w:val="4"/>
                <w:szCs w:val="4"/>
              </w:rPr>
            </w:pPr>
            <w:r>
              <w:rPr>
                <w:sz w:val="4"/>
                <w:szCs w:val="4"/>
              </w:rPr>
            </w:r>
          </w:p>
        </w:tc>
        <w:tc>
          <w:tcPr>
            <w:tcW w:w="7760" w:type="dxa"/>
            <w:tcBorders/>
            <w:vAlign w:val="center"/>
          </w:tcPr>
          <w:p>
            <w:pPr>
              <w:pStyle w:val="TableContents"/>
              <w:bidi w:val="0"/>
              <w:spacing w:before="0" w:after="283"/>
              <w:jc w:val="left"/>
              <w:rPr>
                <w:sz w:val="4"/>
                <w:szCs w:val="4"/>
              </w:rPr>
            </w:pPr>
            <w:r>
              <w:rPr>
                <w:sz w:val="4"/>
                <w:szCs w:val="4"/>
              </w:rPr>
            </w:r>
          </w:p>
        </w:tc>
      </w:tr>
      <w:tr>
        <w:trPr/>
        <w:tc>
          <w:tcPr>
            <w:tcW w:w="335" w:type="dxa"/>
            <w:tcBorders/>
            <w:vAlign w:val="center"/>
          </w:tcPr>
          <w:p>
            <w:pPr>
              <w:pStyle w:val="TableContents"/>
              <w:bidi w:val="0"/>
              <w:spacing w:before="0" w:after="0"/>
              <w:ind w:left="0" w:right="0" w:hanging="0"/>
              <w:jc w:val="left"/>
              <w:rPr/>
            </w:pPr>
            <w:r>
              <w:rPr/>
              <w:t xml:space="preserve">☐ </w:t>
            </w:r>
          </w:p>
        </w:tc>
        <w:tc>
          <w:tcPr>
            <w:tcW w:w="7760" w:type="dxa"/>
            <w:tcBorders/>
            <w:vAlign w:val="center"/>
          </w:tcPr>
          <w:p>
            <w:pPr>
              <w:pStyle w:val="TableContents"/>
              <w:bidi w:val="0"/>
              <w:spacing w:before="0" w:after="0"/>
              <w:ind w:left="0" w:right="0" w:hanging="0"/>
              <w:jc w:val="left"/>
              <w:rPr/>
            </w:pPr>
            <w:r>
              <w:rPr/>
              <w:t>Soliciting Material Pursuant to Rule 14a-12</w:t>
            </w:r>
          </w:p>
        </w:tc>
      </w:tr>
    </w:tbl>
    <w:p>
      <w:pPr>
        <w:pStyle w:val="TextBody"/>
        <w:bidi w:val="0"/>
        <w:spacing w:before="0" w:after="0"/>
        <w:ind w:left="0" w:right="0" w:hanging="0"/>
        <w:jc w:val="both"/>
        <w:rPr/>
      </w:pPr>
      <w:r>
        <w:rPr/>
        <w:t> </w:t>
      </w:r>
    </w:p>
    <w:tbl>
      <w:tblPr>
        <w:tblW w:w="5180" w:type="dxa"/>
        <w:jc w:val="left"/>
        <w:tblInd w:w="0" w:type="dxa"/>
        <w:tblLayout w:type="fixed"/>
        <w:tblCellMar>
          <w:top w:w="0" w:type="dxa"/>
          <w:left w:w="0" w:type="dxa"/>
          <w:bottom w:w="28" w:type="dxa"/>
          <w:right w:w="0" w:type="dxa"/>
        </w:tblCellMar>
      </w:tblPr>
      <w:tblGrid>
        <w:gridCol w:w="5180"/>
      </w:tblGrid>
      <w:tr>
        <w:trPr/>
        <w:tc>
          <w:tcPr>
            <w:tcW w:w="5180" w:type="dxa"/>
            <w:tcBorders>
              <w:bottom w:val="single" w:sz="2" w:space="0" w:color="000000"/>
            </w:tcBorders>
            <w:vAlign w:val="center"/>
          </w:tcPr>
          <w:p>
            <w:pPr>
              <w:pStyle w:val="TableContents"/>
              <w:bidi w:val="0"/>
              <w:spacing w:before="0" w:after="0"/>
              <w:ind w:left="0" w:right="0" w:hanging="0"/>
              <w:jc w:val="center"/>
              <w:rPr/>
            </w:pPr>
            <w:bookmarkStart w:id="5" w:name="del_font55c3a29c-3ebc-4b00-b25b-3fb58871"/>
            <w:bookmarkEnd w:id="5"/>
            <w:r>
              <w:rPr>
                <w:rStyle w:val="StrongEmphasis"/>
                <w:sz w:val="36"/>
              </w:rPr>
              <w:t>TENAX THERAPEUTICS, INC.</w:t>
            </w:r>
          </w:p>
        </w:tc>
      </w:tr>
      <w:tr>
        <w:trPr/>
        <w:tc>
          <w:tcPr>
            <w:tcW w:w="5180" w:type="dxa"/>
            <w:tcBorders/>
            <w:tcMar>
              <w:bottom w:w="0" w:type="dxa"/>
            </w:tcMar>
            <w:vAlign w:val="center"/>
          </w:tcPr>
          <w:p>
            <w:pPr>
              <w:pStyle w:val="TableContents"/>
              <w:bidi w:val="0"/>
              <w:spacing w:before="0" w:after="0"/>
              <w:ind w:left="0" w:right="0" w:hanging="0"/>
              <w:jc w:val="center"/>
              <w:rPr/>
            </w:pPr>
            <w:r>
              <w:rPr>
                <w:rStyle w:val="StrongEmphasis"/>
              </w:rPr>
              <w:t>(Name of Registrant as Specified In Its Charter)</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6" w:name="del_u2fe47103-15b2-425f-be56-53c882d75d8"/>
      <w:bookmarkEnd w:id="6"/>
      <w:r>
        <w:rPr>
          <w:rStyle w:val="StrongEmphasis"/>
          <w:rFonts w:ascii="times new roman" w:hAnsi="times new roman"/>
          <w:sz w:val="20"/>
          <w:u w:val="single"/>
        </w:rPr>
        <w:t>Not Applicable</w:t>
      </w:r>
    </w:p>
    <w:p>
      <w:pPr>
        <w:pStyle w:val="TextBody"/>
        <w:bidi w:val="0"/>
        <w:spacing w:before="0" w:after="0"/>
        <w:ind w:left="0" w:right="0" w:hanging="0"/>
        <w:jc w:val="center"/>
        <w:rPr/>
      </w:pPr>
      <w:r>
        <w:rPr>
          <w:rStyle w:val="StrongEmphasis"/>
          <w:rFonts w:ascii="times new roman" w:hAnsi="times new roman"/>
          <w:sz w:val="20"/>
        </w:rPr>
        <w:t>(Name of Person(s) Filing Proxy Statement if other than the Registrant)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Payment of Filing Fee (Check all boxes that apply):</w:t>
      </w:r>
    </w:p>
    <w:p>
      <w:pPr>
        <w:pStyle w:val="TextBody"/>
        <w:bidi w:val="0"/>
        <w:spacing w:before="0" w:after="0"/>
        <w:ind w:left="0" w:right="0" w:hanging="0"/>
        <w:jc w:val="both"/>
        <w:rPr/>
      </w:pPr>
      <w:r>
        <w:rPr/>
        <w:t> </w:t>
      </w:r>
    </w:p>
    <w:tbl>
      <w:tblPr>
        <w:tblW w:w="10120" w:type="dxa"/>
        <w:jc w:val="left"/>
        <w:tblInd w:w="0" w:type="dxa"/>
        <w:tblLayout w:type="fixed"/>
        <w:tblCellMar>
          <w:top w:w="0" w:type="dxa"/>
          <w:left w:w="0" w:type="dxa"/>
          <w:bottom w:w="0" w:type="dxa"/>
          <w:right w:w="0" w:type="dxa"/>
        </w:tblCellMar>
      </w:tblPr>
      <w:tblGrid>
        <w:gridCol w:w="335"/>
        <w:gridCol w:w="9785"/>
      </w:tblGrid>
      <w:tr>
        <w:trPr/>
        <w:tc>
          <w:tcPr>
            <w:tcW w:w="335" w:type="dxa"/>
            <w:tcBorders/>
            <w:vAlign w:val="center"/>
          </w:tcPr>
          <w:p>
            <w:pPr>
              <w:pStyle w:val="TableContents"/>
              <w:bidi w:val="0"/>
              <w:spacing w:before="0" w:after="0"/>
              <w:ind w:left="0" w:right="0" w:hanging="0"/>
              <w:jc w:val="left"/>
              <w:rPr/>
            </w:pPr>
            <w:r>
              <w:rPr/>
              <w:t xml:space="preserve">☒ </w:t>
            </w:r>
          </w:p>
        </w:tc>
        <w:tc>
          <w:tcPr>
            <w:tcW w:w="9785" w:type="dxa"/>
            <w:tcBorders/>
            <w:vAlign w:val="center"/>
          </w:tcPr>
          <w:p>
            <w:pPr>
              <w:pStyle w:val="TableContents"/>
              <w:bidi w:val="0"/>
              <w:spacing w:before="0" w:after="0"/>
              <w:ind w:left="0" w:right="0" w:hanging="0"/>
              <w:jc w:val="left"/>
              <w:rPr/>
            </w:pPr>
            <w:r>
              <w:rPr/>
              <w:t>No fee required.</w:t>
            </w:r>
          </w:p>
        </w:tc>
      </w:tr>
      <w:tr>
        <w:trPr/>
        <w:tc>
          <w:tcPr>
            <w:tcW w:w="335" w:type="dxa"/>
            <w:tcBorders/>
            <w:vAlign w:val="center"/>
          </w:tcPr>
          <w:p>
            <w:pPr>
              <w:pStyle w:val="TableContents"/>
              <w:bidi w:val="0"/>
              <w:spacing w:before="0" w:after="0"/>
              <w:ind w:left="0" w:right="0" w:hanging="0"/>
              <w:jc w:val="left"/>
              <w:rPr/>
            </w:pPr>
            <w:r>
              <w:rPr/>
              <w:t> </w:t>
            </w:r>
          </w:p>
        </w:tc>
        <w:tc>
          <w:tcPr>
            <w:tcW w:w="9785" w:type="dxa"/>
            <w:tcBorders/>
            <w:vAlign w:val="center"/>
          </w:tcPr>
          <w:p>
            <w:pPr>
              <w:pStyle w:val="TableContents"/>
              <w:bidi w:val="0"/>
              <w:spacing w:before="0" w:after="0"/>
              <w:ind w:left="0" w:right="0" w:hanging="0"/>
              <w:jc w:val="left"/>
              <w:rPr/>
            </w:pPr>
            <w:r>
              <w:rPr/>
              <w:t> </w:t>
            </w:r>
          </w:p>
        </w:tc>
      </w:tr>
      <w:tr>
        <w:trPr/>
        <w:tc>
          <w:tcPr>
            <w:tcW w:w="335" w:type="dxa"/>
            <w:tcBorders/>
            <w:vAlign w:val="center"/>
          </w:tcPr>
          <w:p>
            <w:pPr>
              <w:pStyle w:val="TableContents"/>
              <w:bidi w:val="0"/>
              <w:spacing w:before="0" w:after="0"/>
              <w:ind w:left="0" w:right="0" w:hanging="0"/>
              <w:jc w:val="left"/>
              <w:rPr/>
            </w:pPr>
            <w:r>
              <w:rPr/>
              <w:t>☐ </w:t>
            </w:r>
          </w:p>
        </w:tc>
        <w:tc>
          <w:tcPr>
            <w:tcW w:w="9785" w:type="dxa"/>
            <w:tcBorders/>
            <w:vAlign w:val="center"/>
          </w:tcPr>
          <w:p>
            <w:pPr>
              <w:pStyle w:val="TableContents"/>
              <w:bidi w:val="0"/>
              <w:spacing w:before="0" w:after="0"/>
              <w:ind w:left="0" w:right="0" w:hanging="0"/>
              <w:jc w:val="left"/>
              <w:rPr/>
            </w:pPr>
            <w:r>
              <w:rPr/>
              <w:t>Fee paid previously with preliminary materials.</w:t>
            </w:r>
          </w:p>
        </w:tc>
      </w:tr>
      <w:tr>
        <w:trPr/>
        <w:tc>
          <w:tcPr>
            <w:tcW w:w="335" w:type="dxa"/>
            <w:tcBorders/>
            <w:vAlign w:val="center"/>
          </w:tcPr>
          <w:p>
            <w:pPr>
              <w:pStyle w:val="TableContents"/>
              <w:bidi w:val="0"/>
              <w:spacing w:before="0" w:after="0"/>
              <w:ind w:left="0" w:right="0" w:hanging="0"/>
              <w:jc w:val="left"/>
              <w:rPr/>
            </w:pPr>
            <w:r>
              <w:rPr/>
              <w:t> </w:t>
            </w:r>
          </w:p>
        </w:tc>
        <w:tc>
          <w:tcPr>
            <w:tcW w:w="9785" w:type="dxa"/>
            <w:tcBorders/>
            <w:vAlign w:val="center"/>
          </w:tcPr>
          <w:p>
            <w:pPr>
              <w:pStyle w:val="TableContents"/>
              <w:bidi w:val="0"/>
              <w:spacing w:before="0" w:after="0"/>
              <w:ind w:left="0" w:right="0" w:hanging="0"/>
              <w:jc w:val="left"/>
              <w:rPr/>
            </w:pPr>
            <w:r>
              <w:rPr/>
              <w:t> </w:t>
            </w:r>
          </w:p>
        </w:tc>
      </w:tr>
      <w:tr>
        <w:trPr/>
        <w:tc>
          <w:tcPr>
            <w:tcW w:w="335" w:type="dxa"/>
            <w:tcBorders/>
            <w:vAlign w:val="center"/>
          </w:tcPr>
          <w:p>
            <w:pPr>
              <w:pStyle w:val="TableContents"/>
              <w:bidi w:val="0"/>
              <w:spacing w:before="0" w:after="0"/>
              <w:ind w:left="0" w:right="0" w:hanging="0"/>
              <w:jc w:val="left"/>
              <w:rPr/>
            </w:pPr>
            <w:r>
              <w:rPr/>
              <w:t xml:space="preserve">☐ </w:t>
            </w:r>
          </w:p>
        </w:tc>
        <w:tc>
          <w:tcPr>
            <w:tcW w:w="9785" w:type="dxa"/>
            <w:tcBorders/>
            <w:vAlign w:val="center"/>
          </w:tcPr>
          <w:p>
            <w:pPr>
              <w:pStyle w:val="TableContents"/>
              <w:bidi w:val="0"/>
              <w:spacing w:before="0" w:after="0"/>
              <w:ind w:left="0" w:right="0" w:hanging="0"/>
              <w:jc w:val="left"/>
              <w:rPr/>
            </w:pPr>
            <w:r>
              <w:rPr/>
              <w:t>Fee computed on table in exhibit required by Item 25(b) per Exchange Act Rules 14a-6(i)(1) and 0-11.</w:t>
            </w:r>
          </w:p>
        </w:tc>
      </w:tr>
    </w:tbl>
    <w:p>
      <w:pPr>
        <w:pStyle w:val="TextBody"/>
        <w:bidi w:val="0"/>
        <w:spacing w:before="0" w:after="0"/>
        <w:ind w:left="0" w:right="0" w:hanging="0"/>
        <w:jc w:val="center"/>
        <w:rPr/>
      </w:pPr>
      <w:r>
        <w:rPr/>
        <w:t>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Pr>
        <w:drawing>
          <wp:inline distT="0" distB="0" distL="0" distR="0">
            <wp:extent cx="3381375"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81375" cy="962025"/>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***IMPORTANT NOTICE – IF YOU ARE RECEIVING THIS LETTER YOU HAVE THE RIGHT TO VOTE***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Dear Fellow Tenax Therapeutics, Inc. Stockholder,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Thank you for investing in Tenax Therapeutics.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sz w:val="20"/>
        </w:rPr>
        <w:t xml:space="preserve">I write today with a simple appeal:  </w:t>
      </w:r>
      <w:bookmarkStart w:id="7" w:name="del_u951caf66-359a-4d54-9601-3ed053120ae"/>
      <w:bookmarkEnd w:id="7"/>
      <w:r>
        <w:rPr>
          <w:rStyle w:val="StrongEmphasis"/>
          <w:rFonts w:ascii="times new roman" w:hAnsi="times new roman"/>
          <w:sz w:val="20"/>
          <w:u w:val="single"/>
        </w:rPr>
        <w:t>Please vote your Tenax Therapeutics shares</w:t>
      </w:r>
      <w:r>
        <w:rPr>
          <w:rFonts w:ascii="times new roman" w:hAnsi="times new roman"/>
          <w:sz w:val="20"/>
        </w:rPr>
        <w:t xml:space="preserve">. The Company needs its stockholders to vote ahead of its annual meeting on June 9, 2023, in order to ensure the Company has a sufficient number of votes to proceed with the meeting. </w:t>
      </w:r>
      <w:r>
        <w:rPr>
          <w:rStyle w:val="StrongEmphasis"/>
          <w:rFonts w:ascii="times new roman" w:hAnsi="times new roman"/>
          <w:sz w:val="20"/>
        </w:rPr>
        <w:t>As of today, the Company has still not received your vote.</w:t>
      </w:r>
      <w:r>
        <w:rPr>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sz w:val="20"/>
        </w:rPr>
        <w:t xml:space="preserve">The Company’s stock is held by a large, diverse group of investors, so in order to achieve a quorum and hold its annual meeting as planned, the Company needs more shares voted. Each stockholder’s vote is extremely important, and should be voted, no matter how many shares you own. </w:t>
      </w:r>
      <w:bookmarkStart w:id="8" w:name="del_uc66226e3-6444-424f-887c-446c6aaf924"/>
      <w:bookmarkEnd w:id="8"/>
      <w:r>
        <w:rPr>
          <w:rStyle w:val="StrongEmphasis"/>
          <w:rFonts w:ascii="times new roman" w:hAnsi="times new roman"/>
          <w:sz w:val="20"/>
          <w:u w:val="single"/>
        </w:rPr>
        <w:t>Even if you no longer hold shares in Tenax Therapeutics, if you are receiving this letter you were a stockholder of record as of the record date for the annual meeting</w:t>
      </w:r>
      <w:bookmarkStart w:id="9" w:name="del_u3d551734-f544-480b-966a-102756fe0fb"/>
      <w:bookmarkEnd w:id="9"/>
      <w:r>
        <w:rPr>
          <w:rFonts w:ascii="times new roman" w:hAnsi="times new roman"/>
          <w:sz w:val="20"/>
          <w:u w:val="single"/>
        </w:rPr>
        <w:t xml:space="preserve"> </w:t>
      </w:r>
      <w:r>
        <w:rPr>
          <w:rStyle w:val="StrongEmphasis"/>
          <w:rFonts w:ascii="times new roman" w:hAnsi="times new roman"/>
          <w:sz w:val="20"/>
          <w:u w:val="single"/>
        </w:rPr>
        <w:t>and have the right to vote</w:t>
      </w:r>
      <w:r>
        <w:rPr>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This email contains a link you can use to quickly cast your vote.</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0" w:name="del_ub2458655-ee6f-4b4b-9277-c1b6f0c45f2"/>
      <w:bookmarkEnd w:id="10"/>
      <w:r>
        <w:rPr>
          <w:rStyle w:val="StrongEmphasis"/>
          <w:rFonts w:ascii="times new roman" w:hAnsi="times new roman"/>
          <w:sz w:val="20"/>
          <w:u w:val="single"/>
        </w:rPr>
        <w:t>An important update on Company progress</w:t>
      </w:r>
      <w:r>
        <w:rPr>
          <w:rFonts w:ascii="times new roman" w:hAnsi="times new roman"/>
          <w:sz w:val="20"/>
        </w:rPr>
        <w:t xml:space="preserve">: You may have seen the press release the Company issued yesterday, on May 31, 2023, announcing that the U.S. Patent and Trademark Office has allowed patent claims covering the use of our oral formulation of levosimendan in patients with PH-HFpEF. This is great news for the Company and for patients with this devastating disease. The Company intends to start a Phase 3 trial of this formulation in 2023, so its clinical development goals and this newly announced intellectual property are aligned. This patent on the most convenient formulation of levosimendan will provide the Company exclusivity </w:t>
      </w:r>
      <w:r>
        <w:rPr>
          <w:rStyle w:val="Emphasis"/>
          <w:rFonts w:ascii="times new roman" w:hAnsi="times new roman"/>
          <w:sz w:val="20"/>
        </w:rPr>
        <w:t>through 2040</w:t>
      </w:r>
      <w:r>
        <w:rPr>
          <w:rFonts w:ascii="times new roman" w:hAnsi="times new roman"/>
          <w:sz w:val="20"/>
        </w:rPr>
        <w:t>, pending approval of the product in this population.</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1" w:name="del_uc0e4a93c-7b1e-4e2a-8aa0-24b8cffebcc"/>
      <w:bookmarkEnd w:id="11"/>
      <w:r>
        <w:rPr>
          <w:rStyle w:val="StrongEmphasis"/>
          <w:rFonts w:ascii="times new roman" w:hAnsi="times new roman"/>
          <w:sz w:val="20"/>
          <w:u w:val="single"/>
        </w:rPr>
        <w:t>A note regarding Proposal 2 (reverse stock split)</w:t>
      </w:r>
      <w:r>
        <w:rPr>
          <w:rFonts w:ascii="times new roman" w:hAnsi="times new roman"/>
          <w:sz w:val="20"/>
        </w:rPr>
        <w:t xml:space="preserve">: In order to help our stock remain listed on NASDAQ by trading at or above $1.00 again, the Company is requesting stockholders grant the Board of Directors the option to execute a reverse stock split. </w:t>
      </w:r>
      <w:r>
        <w:rPr>
          <w:rStyle w:val="StrongEmphasis"/>
          <w:rFonts w:ascii="times new roman" w:hAnsi="times new roman"/>
          <w:sz w:val="20"/>
        </w:rPr>
        <w:t>The leading</w:t>
      </w:r>
      <w:r>
        <w:rPr>
          <w:rFonts w:ascii="times new roman" w:hAnsi="times new roman"/>
          <w:sz w:val="20"/>
        </w:rPr>
        <w:t xml:space="preserve"> </w:t>
      </w:r>
      <w:r>
        <w:rPr>
          <w:rStyle w:val="StrongEmphasis"/>
          <w:rFonts w:ascii="times new roman" w:hAnsi="times new roman"/>
          <w:sz w:val="20"/>
        </w:rPr>
        <w:t xml:space="preserve">proxy advisory firm, ISS, recommended stockholders vote </w:t>
      </w:r>
      <w:bookmarkStart w:id="12" w:name="del_u9bfe6d95-bcc9-4faf-b52b-0038be9a248"/>
      <w:bookmarkEnd w:id="12"/>
      <w:r>
        <w:rPr>
          <w:rStyle w:val="StrongEmphasis"/>
          <w:rFonts w:ascii="times new roman" w:hAnsi="times new roman"/>
          <w:sz w:val="20"/>
          <w:u w:val="single"/>
        </w:rPr>
        <w:t>FOR</w:t>
      </w:r>
      <w:r>
        <w:rPr>
          <w:rStyle w:val="StrongEmphasis"/>
          <w:rFonts w:ascii="times new roman" w:hAnsi="times new roman"/>
          <w:sz w:val="20"/>
        </w:rPr>
        <w:t xml:space="preserve"> of all proposals before Tenax Therapeutics stockholders at the annual meeting, including the reverse stock split.</w:t>
      </w:r>
      <w:r>
        <w:rPr>
          <w:rFonts w:ascii="times new roman" w:hAnsi="times new roman"/>
          <w:sz w:val="20"/>
        </w:rPr>
        <w:t xml:space="preserve"> Your approval of Proposal 2 will help the Company maintain its NASDAQ listing, and is the reason the Board asks you to join it in supporting the reverse stock split.</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13" w:name="del_ue1cdeed0-398b-47bf-abfd-5241a49a98f"/>
      <w:bookmarkEnd w:id="13"/>
      <w:r>
        <w:rPr>
          <w:rStyle w:val="StrongEmphasis"/>
          <w:rFonts w:ascii="times new roman" w:hAnsi="times new roman"/>
          <w:sz w:val="20"/>
          <w:u w:val="single"/>
        </w:rPr>
        <w:t>WE URGE YOU TO VOTE YOUR SHARES TODAY</w:t>
      </w:r>
      <w:r>
        <w:rPr>
          <w:rStyle w:val="StrongEmphasis"/>
          <w:rFonts w:ascii="times new roman" w:hAnsi="times new roman"/>
          <w:sz w:val="20"/>
        </w:rPr>
        <w:t>.</w:t>
      </w:r>
    </w:p>
    <w:p>
      <w:pPr>
        <w:pStyle w:val="TextBody"/>
        <w:bidi w:val="0"/>
        <w:spacing w:before="0" w:after="0"/>
        <w:ind w:left="0" w:right="0" w:hanging="0"/>
        <w:jc w:val="both"/>
        <w:rPr/>
      </w:pPr>
      <w:r>
        <w:rPr/>
        <w:t> </w:t>
      </w:r>
    </w:p>
    <w:tbl>
      <w:tblPr>
        <w:tblW w:w="2450" w:type="dxa"/>
        <w:jc w:val="left"/>
        <w:tblInd w:w="0" w:type="dxa"/>
        <w:tblLayout w:type="fixed"/>
        <w:tblCellMar>
          <w:top w:w="0" w:type="dxa"/>
          <w:left w:w="0" w:type="dxa"/>
          <w:bottom w:w="0" w:type="dxa"/>
          <w:right w:w="0" w:type="dxa"/>
        </w:tblCellMar>
      </w:tblPr>
      <w:tblGrid>
        <w:gridCol w:w="2450"/>
      </w:tblGrid>
      <w:tr>
        <w:trPr/>
        <w:tc>
          <w:tcPr>
            <w:tcW w:w="2450" w:type="dxa"/>
            <w:tcBorders/>
            <w:vAlign w:val="center"/>
          </w:tcPr>
          <w:p>
            <w:pPr>
              <w:pStyle w:val="TableContents"/>
              <w:bidi w:val="0"/>
              <w:spacing w:before="0" w:after="0"/>
              <w:ind w:left="0" w:right="0" w:hanging="0"/>
              <w:jc w:val="left"/>
              <w:rPr/>
            </w:pPr>
            <w:r>
              <w:rPr/>
              <w:t>Thank you,</w:t>
            </w:r>
          </w:p>
        </w:tc>
      </w:tr>
      <w:tr>
        <w:trPr/>
        <w:tc>
          <w:tcPr>
            <w:tcW w:w="2450" w:type="dxa"/>
            <w:tcBorders/>
            <w:vAlign w:val="center"/>
          </w:tcPr>
          <w:p>
            <w:pPr>
              <w:pStyle w:val="TableContents"/>
              <w:bidi w:val="0"/>
              <w:spacing w:before="0" w:after="0"/>
              <w:ind w:left="0" w:right="0" w:hanging="0"/>
              <w:jc w:val="left"/>
              <w:rPr/>
            </w:pPr>
            <w:r>
              <w:rPr/>
              <w:t> </w:t>
            </w:r>
          </w:p>
        </w:tc>
      </w:tr>
      <w:tr>
        <w:trPr/>
        <w:tc>
          <w:tcPr>
            <w:tcW w:w="2450" w:type="dxa"/>
            <w:tcBorders/>
            <w:vAlign w:val="center"/>
          </w:tcPr>
          <w:p>
            <w:pPr>
              <w:pStyle w:val="TableContents"/>
              <w:bidi w:val="0"/>
              <w:spacing w:before="0" w:after="0"/>
              <w:ind w:left="0" w:right="0" w:hanging="0"/>
              <w:jc w:val="left"/>
              <w:rPr/>
            </w:pPr>
            <w:r>
              <w:rPr/>
              <w:t>Christopher T. Giordano</w:t>
            </w:r>
          </w:p>
          <w:p>
            <w:pPr>
              <w:pStyle w:val="TableContents"/>
              <w:bidi w:val="0"/>
              <w:spacing w:before="0" w:after="0"/>
              <w:ind w:left="0" w:right="0" w:hanging="0"/>
              <w:jc w:val="both"/>
              <w:rPr/>
            </w:pPr>
            <w:r>
              <w:rPr/>
              <w:t>President &amp; CEO</w:t>
            </w:r>
          </w:p>
        </w:tc>
      </w:tr>
    </w:tbl>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0"/>
              <w:ind w:left="0" w:right="0" w:hanging="0"/>
              <w:jc w:val="center"/>
              <w:rPr/>
            </w:pPr>
            <w:r>
              <w:rPr/>
              <w:t>1</w:t>
            </w:r>
          </w:p>
        </w:tc>
      </w:tr>
    </w:tbl>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547</Words>
  <Characters>2778</Characters>
  <CharactersWithSpaces>3327</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