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2,966,661.00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2,966,661.00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2,966,661.00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2,966,661.00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2,966,661.00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2,966,661.00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141,570.00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141,570.00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141,570.00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141,570.00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141,570.00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141,570.00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3,108,231.00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3,108,231.00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3,108,231.00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3,110,363.00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3,110,363.00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3,110,363.00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3,110,363.00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3,110,363.00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3,110,363.00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3,110,363.00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3,110,363.00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3,110,363.00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Persons and a certain Partners managed account (the "Partners Managed Account") held pre-funded warrants (the "Pre-Funded Warrants") exercisable for an aggregate of 7,698,531 shares of the Issuer's Common Stock, $0.0001 par value per share (the "Shares"). Each Pre-Funded Warrant is exercisable for one Share at an exercise price of $0.01 per Share. The Pre-Funded Warrants are immediately exercisable and have no expiration date. The exercise of the Pre-Funded Warrants is subject to the limitations of the Pre-Funded Warrants Blocker (as defined and described below). The Pre-Funded Warrants provide that a holder of Pre-Funded Warrants will not have the right to exercise any portion of its Pre-Funded Warrants if such holder, together with its Attribution Parties (as defined in the Form of Prefunded Warrant to Purchase Common Stock, which is attached as Exhibit 4.1 to the Issuer's Current Report on Form 8-K filed with the Securities and Exchange Commission on August 6, 2024 (the "August 2024 8-K")), would beneficially own in excess of 9.99% of the number of Shares outstanding immediately after giving effect to such exercise (the "Pre-Funded Warrants Blocker"). As of June 30, 2026, the Pre-Funded Warrants Blocker limits the exercise of the Pre-Funded Warrants by the Reporting Persons and the Partners Managed Account to 2,770,814 Shares out of 7,698,531 Shares underlying the Pre-Funded Warrants held by them. As of the close of business on June 30, 2026, the Reporting Persons and the Partners Managed Account also held an aggregate of 3,970,596 warrants (the "Warrants"). The Warrants can be exercised at any time after their original issuance for Shares, or in lieu thereof, additional Pre-Funded Warrants. The Warrants are immediately exercisable and expire at the earlier of (i) 30 trading days following the date of the Issuer's initial public announcement of topline data from its Phase 3 LEVEL trial (the "Topline Data Announcement"), (ii) immediately upon the exercise of the Pre-Funded Warrants if such exercise is prior to the Topline Data Announcement, provided that if the Pre-Funded Warrant is not exercised in full, the Warrant expires proportionally to the extent the Pre-Funded Warrant is exercised, and (iii) August 8, 2029. The Warrants provide that a holder of Warrants will not have the right to exercise any portion of its Warrants if such holder, together with its Attribution Parties (as defined in the Form of Warrant to Purchase Common Stock or Pre-Funded Warrants, which is attached as Exhibit 4.2 to the August 2024 8-K), would beneficially own in excess of 9.99% of the number of Shares outstanding immediately after giving effect to such exercise (the "Warrants Blocker"). If the holder is not permitted to exercise a Warrant for Shares due to the foregoing limitation, then the holder may exercise the Warrant for an equivalent number of Pre-Funded Warrants with an exercise price of $0.01 as long as the Pre-Funded Warrants Blocker is equivalent to the Warrants Blocker. As of June 30, 2026, none of the Warrants held by the Reporting Persons are exercisable due to the Warrants Blocker. As of the close of business on June 30, 2026 (i) BVF beneficially owned 2,966,661 Shares, including 2,770,814 Shares underlying certain Pre-Funded Warrants held by it and excluding (a) 1,283,738 Shares underlying certain Pre-Funded Warrants and (b) 2,091,179 Shares underlying the Warrants held by it; (ii) BVF2 beneficially owned 141,570 Shares, excluding (a) 3,061,625 Shares underlying the Pre-Funded Warrants and (b) 1,579,065 Shares underlying the Warrants held by it; and (iii) Trading Fund OS beneficially owned 7 Shares, excluding (a) 466,213 Shares underlying the Pre-Funded Warrants and (b) 240,455 Shares underlying the Warrants held by it. BVF GP, as the general partner of BVF, may be deemed to beneficially own the 2,966,661 Shares beneficially owned by BVF. BVF2 GP, as the general partner of BVF2, may be deemed to beneficially own the 141,570 Shares beneficially owned by BVF2. Partners OS, as the general partner of Trading Fund OS, may be deemed to beneficially own the 7 Shares beneficially owned by Trading Fund OS. BVF GPH, as the sole member of each of BVF GP and BVF2 GP, may be deemed to beneficially own the 3,108,231 Shares beneficially owned in the aggregate by BVF and BVF2. Partners, as the investment manager of BVF, BVF2 and Trading Fund OS, and the sole member of Partners OS, may be deemed to beneficially own the 3,110,363 Shares beneficially owned in the aggregate by BVF, BVF2 and Trading Fund OS and held in the Partners Managed Account, including 2,125 Shares held in the Partners Managed Account, which excludes (a) 116,141 Shares underlying the Pre-Funded Warrants and (b) 59,897 Shares underlying the Warrants held in the Partners Managed Account. BVF Inc., as the general partner of Partners, may be deemed to beneficially own the 3,110,363 Shares beneficially owned by Partners. Mr. Lampert, as a director and officer of BVF Inc., may be deemed to beneficially own the 3,110,363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26,525,159 Shares outstanding, as of May 8, 2026, which is the total number of Shares outstanding as reported in the Issuer's Quarterly Report on Form 10-Q filed with the Securities and Exchange Commission on May 12, 2026 (ii) 1,838,796 Shares issued to the Reporting Persons and Partners Managed Account upon the exercise of certain Pre-Funded Warrants and Warrants previously held by the Reporting Persons and Partners Managed Account, as applicable, and (iii) 2,770,814 Shares issuable upon the exercise of certain Pre-Funded Warrants held by the Reporting Persons, as applicable. As of the close of business on June 30, 2026, (i) BVF beneficially owned approximately 9.5% of the outstanding Shares, (ii) BVF2 beneficially owned less than 1% of the outstanding Shares, (iii) Trading Fund OS beneficially owned less than 1% of the outstanding Shares, (iv) BVF GP may be deemed to beneficially own approximately 9.5% of the outstanding Shares, (v) BVF2 GP may be deemed to beneficially own less than 1% of the outstanding Shares, (vi) Partners OS may be deemed to beneficially own less than 1% of the outstanding Shares, (vii) BVF GPH may be deemed to beneficially own approximately 9.98%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August 19, 2024.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3608</Words>
  <Characters>18523</Characters>
  <CharactersWithSpaces>21940</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