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 xml:space="preserve">Tenax Therapeutics, Inc. </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Venrock Healthcare Capital Partners III,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1,574,892.00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1,574,892.00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1,574,892.00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Co-Investment Holdings III, LLC</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1,574,892.00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1,574,892.00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1,574,892.00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Venrock Healthcare Capital Partners EG,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1,574,892.00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1,574,892.00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1,574,892.00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Management III,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1,574,892.00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1,574,892.00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1,574,892.00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Management EG,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1,574,892.00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1,574,892.00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1,574,892.00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Nimish Shah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1,574,892.00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1,574,892.00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1,574,892.00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Bong Y. Koh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1,574,892.00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1,574,892.00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1,574,892.00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 xml:space="preserve">Tenax Therapeutics, Inc.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Glen Lennox Drive, Suite 300, Chapel Hill, NC, 27517.</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The names of the persons filing this report (collectively, the "Reporting Persons") are: Venrock Healthcare Capital Partners III, L.P. ("VHCP III") VHCP Co-Investment Holdings III, LLC ("VHCP Co-Investment III") Venrock Healthcare Capital Partners EG, L.P. ("VHCP EG") VHCP Management III, LLC ("VHCP Management III") VHCP Management EG, LLC ("VHCP Management EG") Nimish Shah ("Shah") Bong Koh ("Koh") The Reporting Persons are members of a group for the purposes of this Schedule 13G/A.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New York Office: 7 Bryant Park, 23rd Floor New York, NY 10018 Palo Alto Office: 3340 Hillview Avenue Palo Alto, CA 94304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Citizenship: </w:t>
            </w:r>
          </w:p>
          <w:p>
            <w:pPr>
              <w:pStyle w:val="TableContents"/>
              <w:bidi w:val="0"/>
              <w:spacing w:before="0" w:after="0"/>
              <w:jc w:val="left"/>
              <w:rPr/>
            </w:pPr>
            <w:r>
              <w:rPr/>
              <w:t>All of the entities were organized in Delaware. Shah and Koh are both United States citizens.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(g)</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(h)</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(j)</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(k)</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13G/A sets forth the aggregate number of shares of common stock of the Issuer beneficially owned by such Reporting Person as of June 30, 2026 and is incorporated by reference. The Reporting Persons' ownership of the Issuer's securities consists of (i) pre-funded warrants (the "Pre-Funded Warrants") exercisable for up to 164,164 shares of common stock and common warrants (the "Common Warrants" and together with the Pre-Funded Warrants, the "Warrants") exercisable for up to 86,402 shares of common stock held by VHCP III, (ii) Pre-Funded Warrants exercisable for up to 16,406 shares of common stock and Common Warrants exercisable for up to 8,634 shares of common stock held by VHCP Co-Investment III, and (iii) Pre-Funded Warrants exercisable for up to 851,256 shares of common stock and Common Warrants exercisable for up to 448,030 shares of common stock held by VHCP EG. VHCP Management III is the general partner of VHCP III and the manager of VHCP Co-Investment III. VHCP Management EG is the general partner of VHCP EG. Messrs. Shah and Koh are the voting members of VHCP Management III and VHCP Management EG.</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13G/A sets forth the percentages of the shares of common stock of the Issuer beneficially owned by such Reporting Person as of June 30, 2026 and is incorporated by reference. The percentage set forth in each row 11 is based upon upon the sum of (i) 31,949,785 shares of the Issuer's common stock outstanding as of June 30, 2026, as reported in the Issuer's Quarterly Report on Form 10-Q filed with the Securities and Exchange Commission (the "SEC") on July 31, 2026, and (ii) 1,574,892 shares of common stock issuable upon the exercise of the Warrants.   %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13G/A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13G/A sets forth the shared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13G/A sets forth the sole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13G/A sets forth the shared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8.</w:t>
            </w:r>
          </w:p>
        </w:tc>
        <w:tc>
          <w:tcPr>
            <w:tcW w:w="88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9.</w:t>
            </w:r>
          </w:p>
        </w:tc>
        <w:tc>
          <w:tcPr>
            <w:tcW w:w="88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06" w:type="dxa"/>
        <w:jc w:val="left"/>
        <w:tblInd w:w="0" w:type="dxa"/>
        <w:tblLayout w:type="fixed"/>
        <w:tblCellMar>
          <w:top w:w="28" w:type="dxa"/>
          <w:left w:w="28" w:type="dxa"/>
          <w:bottom w:w="28" w:type="dxa"/>
          <w:right w:w="28" w:type="dxa"/>
        </w:tblCellMar>
      </w:tblPr>
      <w:tblGrid>
        <w:gridCol w:w="4603"/>
        <w:gridCol w:w="4603"/>
      </w:tblGrid>
      <w:tr>
        <w:trPr/>
        <w:tc>
          <w:tcPr>
            <w:tcW w:w="4603" w:type="dxa"/>
            <w:tcBorders/>
            <w:vAlign w:val="center"/>
          </w:tcPr>
          <w:p>
            <w:pPr>
              <w:pStyle w:val="TableContents"/>
              <w:bidi w:val="0"/>
              <w:spacing w:before="0" w:after="0"/>
              <w:jc w:val="left"/>
              <w:rPr/>
            </w:pPr>
            <w:r>
              <w:rPr/>
              <w:t> </w:t>
            </w:r>
          </w:p>
          <w:tbl>
            <w:tblPr>
              <w:tblW w:w="4441" w:type="dxa"/>
              <w:jc w:val="left"/>
              <w:tblInd w:w="0" w:type="dxa"/>
              <w:tblLayout w:type="fixed"/>
              <w:tblCellMar>
                <w:top w:w="28" w:type="dxa"/>
                <w:left w:w="28" w:type="dxa"/>
                <w:bottom w:w="28" w:type="dxa"/>
                <w:right w:w="28" w:type="dxa"/>
              </w:tblCellMar>
            </w:tblPr>
            <w:tblGrid>
              <w:gridCol w:w="4441"/>
            </w:tblGrid>
            <w:tr>
              <w:trPr/>
              <w:tc>
                <w:tcPr>
                  <w:tcW w:w="4441" w:type="dxa"/>
                  <w:tcBorders/>
                  <w:vAlign w:val="center"/>
                </w:tcPr>
                <w:p>
                  <w:pPr>
                    <w:pStyle w:val="TableContents"/>
                    <w:bidi w:val="0"/>
                    <w:spacing w:before="0" w:after="0"/>
                    <w:jc w:val="left"/>
                    <w:rPr/>
                  </w:pPr>
                  <w:r>
                    <w:rPr/>
                    <w:t>Venrock Healthcare Capital Partners III, L.P.</w:t>
                  </w:r>
                </w:p>
              </w:tc>
            </w:tr>
          </w:tbl>
          <w:p>
            <w:pPr>
              <w:pStyle w:val="TableContents"/>
              <w:bidi w:val="0"/>
              <w:spacing w:before="0" w:after="283"/>
              <w:jc w:val="left"/>
              <w:rPr/>
            </w:pPr>
            <w:r>
              <w:rPr/>
            </w:r>
          </w:p>
        </w:tc>
        <w:tc>
          <w:tcPr>
            <w:tcW w:w="46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4"/>
        <w:gridCol w:w="4231"/>
      </w:tblGrid>
      <w:tr>
        <w:trPr/>
        <w:tc>
          <w:tcPr>
            <w:tcW w:w="59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VHCP Management III, LLC, its General Partner, By Sherman G. Souther,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1"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VHCP Co-Investment Holdings III, LLC</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Sherman G. Souther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VHCP Management III, LLC, its Manager, By Sherman G. Souther, Authorized Signatory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9412" w:type="dxa"/>
        <w:jc w:val="left"/>
        <w:tblInd w:w="0" w:type="dxa"/>
        <w:tblLayout w:type="fixed"/>
        <w:tblCellMar>
          <w:top w:w="28" w:type="dxa"/>
          <w:left w:w="28" w:type="dxa"/>
          <w:bottom w:w="28" w:type="dxa"/>
          <w:right w:w="28" w:type="dxa"/>
        </w:tblCellMar>
      </w:tblPr>
      <w:tblGrid>
        <w:gridCol w:w="4706"/>
        <w:gridCol w:w="4706"/>
      </w:tblGrid>
      <w:tr>
        <w:trPr/>
        <w:tc>
          <w:tcPr>
            <w:tcW w:w="4706" w:type="dxa"/>
            <w:tcBorders/>
            <w:vAlign w:val="center"/>
          </w:tcPr>
          <w:p>
            <w:pPr>
              <w:pStyle w:val="TableContents"/>
              <w:bidi w:val="0"/>
              <w:spacing w:before="0" w:after="0"/>
              <w:jc w:val="left"/>
              <w:rPr/>
            </w:pPr>
            <w:r>
              <w:rPr/>
              <w:t> </w:t>
            </w:r>
          </w:p>
          <w:tbl>
            <w:tblPr>
              <w:tblW w:w="4546" w:type="dxa"/>
              <w:jc w:val="left"/>
              <w:tblInd w:w="0" w:type="dxa"/>
              <w:tblLayout w:type="fixed"/>
              <w:tblCellMar>
                <w:top w:w="28" w:type="dxa"/>
                <w:left w:w="28" w:type="dxa"/>
                <w:bottom w:w="28" w:type="dxa"/>
                <w:right w:w="28" w:type="dxa"/>
              </w:tblCellMar>
            </w:tblPr>
            <w:tblGrid>
              <w:gridCol w:w="4546"/>
            </w:tblGrid>
            <w:tr>
              <w:trPr/>
              <w:tc>
                <w:tcPr>
                  <w:tcW w:w="4546" w:type="dxa"/>
                  <w:tcBorders/>
                  <w:vAlign w:val="center"/>
                </w:tcPr>
                <w:p>
                  <w:pPr>
                    <w:pStyle w:val="TableContents"/>
                    <w:bidi w:val="0"/>
                    <w:spacing w:before="0" w:after="0"/>
                    <w:jc w:val="left"/>
                    <w:rPr/>
                  </w:pPr>
                  <w:r>
                    <w:rPr/>
                    <w:t>Venrock Healthcare Capital Partners EG, L.P.</w:t>
                  </w:r>
                </w:p>
              </w:tc>
            </w:tr>
          </w:tbl>
          <w:p>
            <w:pPr>
              <w:pStyle w:val="TableContents"/>
              <w:bidi w:val="0"/>
              <w:spacing w:before="0" w:after="283"/>
              <w:jc w:val="left"/>
              <w:rPr/>
            </w:pPr>
            <w:r>
              <w:rPr/>
            </w:r>
          </w:p>
        </w:tc>
        <w:tc>
          <w:tcPr>
            <w:tcW w:w="47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Sherman G. Souther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VHCP Management EG, LLC, its General Partner, By Sherman G. Souther,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VHCP Management III,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Sherman G. Souther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Sherman G. Souther,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VHCP Management EG, LLC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Sherman G. Souther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Sherman G. Souther,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Nimish Shah</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Sherman G. Souther,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Bong Y. Koh</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Sherman G. Souther,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24.1 Power of Attorney for Nimish Shah (incorporated by reference to Exhibit B to Schedule 13G filed on August 19, 2024) Exhibit 24.2 Power of Attorney for Bong Koh (incorporated by reference to Exhibit C to Schedule 13G filed on August 19, 2024) Exhibit 99.1 Joint Filing Agreement (incorporated by reference to Exhibit 99.1 to Schedule 13G/A filed on May 15, 2025)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checked.jpg"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2191</Words>
  <Characters>11253</Characters>
  <CharactersWithSpaces>13324</CharactersWithSpaces>
  <Paragraphs>440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