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328930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405765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3020" w:right="1640" w:hanging="3012"/>
        <w:spacing w:after="0" w:line="500" w:lineRule="auto"/>
        <w:tabs>
          <w:tab w:leader="none" w:pos="46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200"/>
        <w:spacing w:after="0"/>
        <w:tabs>
          <w:tab w:leader="none" w:pos="71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4175125</wp:posOffset>
            </wp:positionH>
            <wp:positionV relativeFrom="paragraph">
              <wp:posOffset>-7620</wp:posOffset>
            </wp:positionV>
            <wp:extent cx="934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001-34600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TENAX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24130</wp:posOffset>
            </wp:positionV>
            <wp:extent cx="42773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240" w:type="dxa"/>
            <w:vAlign w:val="bottom"/>
            <w:gridSpan w:val="2"/>
          </w:tcPr>
          <w:p>
            <w:pPr>
              <w:jc w:val="right"/>
              <w:ind w:right="1630"/>
              <w:spacing w:after="0"/>
              <w:rPr>
                <w:sz w:val="20"/>
                <w:szCs w:val="20"/>
                <w:color w:val="auto"/>
              </w:rPr>
            </w:pPr>
            <w:r>
              <w:rPr>
                <w:rFonts w:ascii="Arial" w:cs="Arial" w:eastAsia="Arial" w:hAnsi="Arial"/>
                <w:sz w:val="18"/>
                <w:szCs w:val="18"/>
                <w:b w:val="1"/>
                <w:bCs w:val="1"/>
                <w:color w:val="auto"/>
              </w:rPr>
              <w:t>26-2593535</w:t>
            </w:r>
          </w:p>
        </w:tc>
      </w:tr>
      <w:tr>
        <w:trPr>
          <w:trHeight w:val="228"/>
        </w:trPr>
        <w:tc>
          <w:tcPr>
            <w:tcW w:w="4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(State of incorporation)</w:t>
            </w:r>
          </w:p>
        </w:tc>
        <w:tc>
          <w:tcPr>
            <w:tcW w:w="940" w:type="dxa"/>
            <w:vAlign w:val="bottom"/>
          </w:tcPr>
          <w:p>
            <w:pPr>
              <w:spacing w:after="0"/>
              <w:rPr>
                <w:sz w:val="19"/>
                <w:szCs w:val="19"/>
                <w:color w:val="auto"/>
              </w:rPr>
            </w:pPr>
          </w:p>
        </w:tc>
        <w:tc>
          <w:tcPr>
            <w:tcW w:w="4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101 Glen Lennox Drive, Suite 300, Chapel Hill, North Carolina 27517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(919) 855-2100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ind w:left="6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TENX</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ind w:firstLine="607"/>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220" w:val="left"/>
        </w:tabs>
        <w:rPr>
          <w:sz w:val="20"/>
          <w:szCs w:val="20"/>
          <w:color w:val="auto"/>
        </w:rPr>
      </w:pPr>
      <w:r>
        <w:rPr>
          <w:rFonts w:ascii="Arial" w:cs="Arial" w:eastAsia="Arial" w:hAnsi="Arial"/>
          <w:sz w:val="18"/>
          <w:szCs w:val="18"/>
          <w:color w:val="auto"/>
        </w:rPr>
        <w:t xml:space="preserve">requirements for the past 90 days.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firstLine="607"/>
        <w:spacing w:after="0" w:line="23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4" w:lineRule="exact"/>
        <w:rPr>
          <w:sz w:val="24"/>
          <w:szCs w:val="24"/>
          <w:color w:val="auto"/>
        </w:rPr>
      </w:pPr>
    </w:p>
    <w:p>
      <w:pPr>
        <w:jc w:val="both"/>
        <w:ind w:firstLine="60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860" w:type="dxa"/>
        <w:tblCellMar>
          <w:top w:w="0" w:type="dxa"/>
          <w:left w:w="0" w:type="dxa"/>
          <w:bottom w:w="0" w:type="dxa"/>
          <w:right w:w="0" w:type="dxa"/>
        </w:tblCellMar>
      </w:tblPr>
      <w:tr>
        <w:trPr>
          <w:trHeight w:val="221"/>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69" w:lineRule="exact"/>
        <w:rPr>
          <w:sz w:val="24"/>
          <w:szCs w:val="24"/>
          <w:color w:val="auto"/>
        </w:rPr>
      </w:pPr>
    </w:p>
    <w:p>
      <w:pPr>
        <w:ind w:firstLine="607"/>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ind w:left="620"/>
        <w:spacing w:after="0" w:line="196" w:lineRule="exact"/>
        <w:tabs>
          <w:tab w:leader="none" w:pos="9600" w:val="left"/>
        </w:tabs>
        <w:rPr>
          <w:sz w:val="20"/>
          <w:szCs w:val="20"/>
          <w:color w:val="auto"/>
        </w:rPr>
      </w:pPr>
      <w:r>
        <w:rPr>
          <w:rFonts w:ascii="Arial" w:cs="Arial" w:eastAsia="Arial" w:hAnsi="Arial"/>
          <w:sz w:val="17"/>
          <w:szCs w:val="17"/>
          <w:color w:val="auto"/>
        </w:rPr>
        <w:t xml:space="preserve">Indicate by check mark whether the registrant is a shell company (as defined by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620"/>
        <w:spacing w:after="0"/>
        <w:rPr>
          <w:sz w:val="20"/>
          <w:szCs w:val="20"/>
          <w:color w:val="auto"/>
        </w:rPr>
      </w:pPr>
      <w:r>
        <w:rPr>
          <w:rFonts w:ascii="Arial" w:cs="Arial" w:eastAsia="Arial" w:hAnsi="Arial"/>
          <w:sz w:val="18"/>
          <w:szCs w:val="18"/>
          <w:color w:val="auto"/>
        </w:rPr>
        <w:t>As of November 8, 2023 the registrant had outstanding 23,862,434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70980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237490</wp:posOffset>
            </wp:positionV>
            <wp:extent cx="709803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60" w:type="dxa"/>
            <w:vAlign w:val="bottom"/>
            <w:gridSpan w:val="3"/>
          </w:tcPr>
          <w:p>
            <w:pPr>
              <w:ind w:left="158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140" w:type="dxa"/>
            <w:vAlign w:val="bottom"/>
            <w:gridSpan w:val="8"/>
            <w:vMerge w:val="restart"/>
          </w:tcPr>
          <w:p>
            <w:pPr>
              <w:spacing w:after="0"/>
              <w:rPr>
                <w:sz w:val="20"/>
                <w:szCs w:val="20"/>
                <w:color w:val="auto"/>
              </w:rPr>
            </w:pPr>
            <w:r>
              <w:rPr>
                <w:rFonts w:ascii="Arial" w:cs="Arial" w:eastAsia="Arial" w:hAnsi="Arial"/>
                <w:sz w:val="18"/>
                <w:szCs w:val="18"/>
                <w:b w:val="1"/>
                <w:bCs w:val="1"/>
                <w:color w:val="0000EE"/>
              </w:rPr>
              <w:t>PART I. FINANCIAL INFORMATION</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169"/>
        </w:trPr>
        <w:tc>
          <w:tcPr>
            <w:tcW w:w="10140" w:type="dxa"/>
            <w:vAlign w:val="bottom"/>
            <w:gridSpan w:val="8"/>
            <w:vMerge w:val="continue"/>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1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Item 1.  Financial Statements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80" w:type="dxa"/>
            <w:vAlign w:val="bottom"/>
            <w:gridSpan w:val="6"/>
          </w:tcPr>
          <w:p>
            <w:pPr>
              <w:spacing w:after="0" w:line="176" w:lineRule="exact"/>
              <w:rPr>
                <w:sz w:val="20"/>
                <w:szCs w:val="20"/>
                <w:color w:val="auto"/>
              </w:rPr>
            </w:pPr>
            <w:r>
              <w:rPr>
                <w:rFonts w:ascii="Arial" w:cs="Arial" w:eastAsia="Arial" w:hAnsi="Arial"/>
                <w:sz w:val="18"/>
                <w:szCs w:val="18"/>
                <w:color w:val="0000EE"/>
              </w:rPr>
              <w:t>Condensed Consolidated Balance Sheets as of September 30, 2023 (Unaudited) and December 31, 2022</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8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14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90"/>
              </w:rPr>
              <w:t>Condensed Consolidated Statement of Operations (Unaudited) for the Three and Nine Months Ended September 30, 2023 and</w:t>
            </w:r>
          </w:p>
        </w:tc>
        <w:tc>
          <w:tcPr>
            <w:tcW w:w="3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80" w:type="dxa"/>
            <w:vAlign w:val="bottom"/>
            <w:gridSpan w:val="4"/>
            <w:shd w:val="clear" w:color="auto" w:fill="CCEEFF"/>
          </w:tcPr>
          <w:p>
            <w:pPr>
              <w:ind w:left="660"/>
              <w:spacing w:after="0" w:line="196" w:lineRule="exact"/>
              <w:rPr>
                <w:sz w:val="20"/>
                <w:szCs w:val="20"/>
                <w:color w:val="auto"/>
              </w:rPr>
            </w:pPr>
            <w:r>
              <w:rPr>
                <w:rFonts w:ascii="Arial" w:cs="Arial" w:eastAsia="Arial" w:hAnsi="Arial"/>
                <w:sz w:val="18"/>
                <w:szCs w:val="18"/>
                <w:color w:val="0000EE"/>
              </w:rPr>
              <w:t>2022</w:t>
            </w:r>
          </w:p>
        </w:tc>
        <w:tc>
          <w:tcPr>
            <w:tcW w:w="900" w:type="dxa"/>
            <w:vAlign w:val="bottom"/>
            <w:shd w:val="clear" w:color="auto" w:fill="CCEEFF"/>
          </w:tcPr>
          <w:p>
            <w:pPr>
              <w:spacing w:after="0"/>
              <w:rPr>
                <w:sz w:val="17"/>
                <w:szCs w:val="17"/>
                <w:color w:val="auto"/>
              </w:rPr>
            </w:pPr>
          </w:p>
        </w:tc>
        <w:tc>
          <w:tcPr>
            <w:tcW w:w="50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91" w:right="3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60" w:type="dxa"/>
            <w:vAlign w:val="bottom"/>
            <w:gridSpan w:val="18"/>
          </w:tcPr>
          <w:p>
            <w:pPr>
              <w:spacing w:after="0"/>
              <w:rPr>
                <w:sz w:val="20"/>
                <w:szCs w:val="20"/>
                <w:color w:val="auto"/>
              </w:rPr>
            </w:pPr>
            <w:r>
              <w:rPr>
                <w:rFonts w:ascii="Arial" w:cs="Arial" w:eastAsia="Arial" w:hAnsi="Arial"/>
                <w:sz w:val="18"/>
                <w:szCs w:val="18"/>
                <w:color w:val="0000EE"/>
                <w:w w:val="92"/>
              </w:rPr>
              <w:t>Condensed Consolidated Statements of Stockholders’ Equity (Unaudited) for the Three and Nine Months Ended September 30,</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4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2023 and 2022</w:t>
            </w:r>
          </w:p>
        </w:tc>
        <w:tc>
          <w:tcPr>
            <w:tcW w:w="1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36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w w:val="94"/>
              </w:rPr>
              <w:t>Condensed Consolidated Statements of Cash Flows (Unaudited) for the Nine Months Ended September 30, 2023 and 2022</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40" w:type="dxa"/>
            <w:vAlign w:val="bottom"/>
            <w:tcBorders>
              <w:top w:val="single" w:sz="8" w:color="0000EE"/>
            </w:tcBorders>
            <w:gridSpan w:val="12"/>
          </w:tcPr>
          <w:p>
            <w:pPr>
              <w:spacing w:after="0" w:line="176" w:lineRule="exact"/>
              <w:rPr>
                <w:sz w:val="20"/>
                <w:szCs w:val="20"/>
                <w:color w:val="auto"/>
              </w:rPr>
            </w:pPr>
            <w:r>
              <w:rPr>
                <w:rFonts w:ascii="Arial" w:cs="Arial" w:eastAsia="Arial" w:hAnsi="Arial"/>
                <w:sz w:val="18"/>
                <w:szCs w:val="18"/>
                <w:color w:val="0000EE"/>
              </w:rPr>
              <w:t>Notes to Condensed Consolidated Financial Statements (Unaudited)</w:t>
            </w:r>
          </w:p>
        </w:tc>
        <w:tc>
          <w:tcPr>
            <w:tcW w:w="10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7</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0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00" w:type="dxa"/>
            <w:vAlign w:val="bottom"/>
            <w:gridSpan w:val="15"/>
          </w:tcPr>
          <w:p>
            <w:pPr>
              <w:spacing w:after="0" w:line="176" w:lineRule="exact"/>
              <w:rPr>
                <w:sz w:val="20"/>
                <w:szCs w:val="20"/>
                <w:color w:val="auto"/>
              </w:rPr>
            </w:pPr>
            <w:r>
              <w:rPr>
                <w:rFonts w:ascii="Arial" w:cs="Arial" w:eastAsia="Arial" w:hAnsi="Arial"/>
                <w:sz w:val="18"/>
                <w:szCs w:val="18"/>
                <w:color w:val="0000EE"/>
              </w:rPr>
              <w:t>Item 3.  Quantitative and Qualitative Disclosures About Market Risk</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Item 4.  Controls and Procedures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8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 OTHER INFORMATION</w:t>
            </w:r>
          </w:p>
        </w:tc>
        <w:tc>
          <w:tcPr>
            <w:tcW w:w="5920" w:type="dxa"/>
            <w:vAlign w:val="bottom"/>
            <w:tcBorders>
              <w:bottom w:val="single" w:sz="8" w:color="CCEEFF"/>
            </w:tcBorders>
            <w:gridSpan w:val="4"/>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60" w:type="dxa"/>
            <w:vAlign w:val="bottom"/>
            <w:gridSpan w:val="3"/>
          </w:tcPr>
          <w:p>
            <w:pPr>
              <w:spacing w:after="0" w:line="176" w:lineRule="exact"/>
              <w:rPr>
                <w:sz w:val="20"/>
                <w:szCs w:val="20"/>
                <w:color w:val="auto"/>
              </w:rPr>
            </w:pPr>
            <w:r>
              <w:rPr>
                <w:rFonts w:ascii="Arial" w:cs="Arial" w:eastAsia="Arial" w:hAnsi="Arial"/>
                <w:sz w:val="18"/>
                <w:szCs w:val="18"/>
                <w:color w:val="0000EE"/>
              </w:rPr>
              <w:t>Item 1.</w:t>
            </w:r>
          </w:p>
        </w:tc>
        <w:tc>
          <w:tcPr>
            <w:tcW w:w="8040" w:type="dxa"/>
            <w:vAlign w:val="bottom"/>
            <w:gridSpan w:val="12"/>
          </w:tcPr>
          <w:p>
            <w:pPr>
              <w:spacing w:after="0" w:line="176" w:lineRule="exact"/>
              <w:rPr>
                <w:sz w:val="20"/>
                <w:szCs w:val="20"/>
                <w:color w:val="auto"/>
              </w:rPr>
            </w:pPr>
            <w:r>
              <w:rPr>
                <w:rFonts w:ascii="Arial" w:cs="Arial" w:eastAsia="Arial" w:hAnsi="Arial"/>
                <w:sz w:val="18"/>
                <w:szCs w:val="18"/>
                <w:color w:val="0000EE"/>
              </w:rPr>
              <w:t>Legal Proceedings</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Item 1A. Risk Factors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40" w:type="dxa"/>
            <w:vAlign w:val="bottom"/>
            <w:tcBorders>
              <w:top w:val="single" w:sz="8" w:color="0000EE"/>
            </w:tcBorders>
            <w:gridSpan w:val="2"/>
          </w:tcPr>
          <w:p>
            <w:pPr>
              <w:spacing w:after="0" w:line="176" w:lineRule="exact"/>
              <w:rPr>
                <w:sz w:val="20"/>
                <w:szCs w:val="20"/>
                <w:color w:val="auto"/>
              </w:rPr>
            </w:pPr>
            <w:r>
              <w:rPr>
                <w:rFonts w:ascii="Arial" w:cs="Arial" w:eastAsia="Arial" w:hAnsi="Arial"/>
                <w:sz w:val="18"/>
                <w:szCs w:val="18"/>
                <w:color w:val="0000EE"/>
              </w:rPr>
              <w:t>Item 6.</w:t>
            </w:r>
          </w:p>
        </w:tc>
        <w:tc>
          <w:tcPr>
            <w:tcW w:w="20" w:type="dxa"/>
            <w:vAlign w:val="bottom"/>
            <w:tcBorders>
              <w:top w:val="single" w:sz="8" w:color="CCEEFF"/>
            </w:tcBorders>
          </w:tcPr>
          <w:p>
            <w:pPr>
              <w:spacing w:after="0"/>
              <w:rPr>
                <w:sz w:val="15"/>
                <w:szCs w:val="15"/>
                <w:color w:val="auto"/>
              </w:rPr>
            </w:pPr>
          </w:p>
        </w:tc>
        <w:tc>
          <w:tcPr>
            <w:tcW w:w="920" w:type="dxa"/>
            <w:vAlign w:val="bottom"/>
            <w:tcBorders>
              <w:top w:val="single" w:sz="8" w:color="0000EE"/>
            </w:tcBorders>
            <w:gridSpan w:val="4"/>
          </w:tcPr>
          <w:p>
            <w:pPr>
              <w:spacing w:after="0" w:line="176" w:lineRule="exact"/>
              <w:rPr>
                <w:sz w:val="20"/>
                <w:szCs w:val="20"/>
                <w:color w:val="auto"/>
              </w:rPr>
            </w:pPr>
            <w:r>
              <w:rPr>
                <w:rFonts w:ascii="Arial" w:cs="Arial" w:eastAsia="Arial" w:hAnsi="Arial"/>
                <w:sz w:val="18"/>
                <w:szCs w:val="18"/>
                <w:color w:val="0000EE"/>
              </w:rPr>
              <w:t>Exhibits</w:t>
            </w:r>
          </w:p>
        </w:tc>
        <w:tc>
          <w:tcPr>
            <w:tcW w:w="7120" w:type="dxa"/>
            <w:vAlign w:val="bottom"/>
            <w:tcBorders>
              <w:top w:val="single" w:sz="8" w:color="CCEEFF"/>
            </w:tcBorders>
            <w:gridSpan w:val="8"/>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29</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700" w:type="dxa"/>
            <w:vAlign w:val="bottom"/>
            <w:gridSpan w:val="15"/>
          </w:tcPr>
          <w:p>
            <w:pPr>
              <w:spacing w:after="0" w:line="176" w:lineRule="exact"/>
              <w:rPr>
                <w:sz w:val="20"/>
                <w:szCs w:val="20"/>
                <w:color w:val="auto"/>
              </w:rPr>
            </w:pPr>
            <w:r>
              <w:rPr>
                <w:rFonts w:ascii="Arial" w:cs="Arial" w:eastAsia="Arial" w:hAnsi="Arial"/>
                <w:sz w:val="18"/>
                <w:szCs w:val="18"/>
                <w:b w:val="1"/>
                <w:bCs w:val="1"/>
                <w:color w:val="0000EE"/>
              </w:rPr>
              <w:t>SIGNATURES</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8"/>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5960" w:type="dxa"/>
            <w:vAlign w:val="bottom"/>
            <w:tcBorders>
              <w:bottom w:val="single" w:sz="8" w:color="auto"/>
            </w:tcBorders>
            <w:gridSpan w:val="10"/>
          </w:tcPr>
          <w:p>
            <w:pPr>
              <w:jc w:val="center"/>
              <w:ind w:left="2870"/>
              <w:spacing w:after="0"/>
              <w:rPr>
                <w:sz w:val="20"/>
                <w:szCs w:val="20"/>
                <w:color w:val="auto"/>
              </w:rPr>
            </w:pPr>
            <w:r>
              <w:rPr>
                <w:rFonts w:ascii="Arial" w:cs="Arial" w:eastAsia="Arial" w:hAnsi="Arial"/>
                <w:sz w:val="18"/>
                <w:szCs w:val="18"/>
                <w:color w:val="auto"/>
                <w:w w:val="79"/>
              </w:rPr>
              <w:t>2</w:t>
            </w: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700" w:type="dxa"/>
            <w:vAlign w:val="bottom"/>
            <w:gridSpan w:val="15"/>
          </w:tcPr>
          <w:p>
            <w:pPr>
              <w:spacing w:after="0"/>
              <w:rPr>
                <w:sz w:val="20"/>
                <w:szCs w:val="20"/>
                <w:color w:val="auto"/>
              </w:rPr>
            </w:pPr>
            <w:r>
              <w:rPr>
                <w:rFonts w:ascii="Arial" w:cs="Arial" w:eastAsia="Arial" w:hAnsi="Arial"/>
                <w:sz w:val="18"/>
                <w:szCs w:val="18"/>
                <w:i w:val="1"/>
                <w:iCs w:val="1"/>
                <w:color w:val="0000EE"/>
              </w:rPr>
              <w:t>Table of Contents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15"/>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TENAX THERAPEUTICS, INC.</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9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920" w:type="dxa"/>
            <w:vAlign w:val="bottom"/>
            <w:gridSpan w:val="4"/>
            <w:vMerge w:val="restart"/>
          </w:tcPr>
          <w:p>
            <w:pPr>
              <w:jc w:val="center"/>
              <w:ind w:right="2880"/>
              <w:spacing w:after="0"/>
              <w:rPr>
                <w:sz w:val="20"/>
                <w:szCs w:val="20"/>
                <w:color w:val="auto"/>
              </w:rPr>
            </w:pPr>
            <w:r>
              <w:rPr>
                <w:rFonts w:ascii="Arial" w:cs="Arial" w:eastAsia="Arial" w:hAnsi="Arial"/>
                <w:sz w:val="18"/>
                <w:szCs w:val="18"/>
                <w:b w:val="1"/>
                <w:bCs w:val="1"/>
                <w:color w:val="auto"/>
                <w:w w:val="94"/>
              </w:rPr>
              <w:t>ASSETS</w:t>
            </w:r>
          </w:p>
        </w:tc>
        <w:tc>
          <w:tcPr>
            <w:tcW w:w="100" w:type="dxa"/>
            <w:vAlign w:val="bottom"/>
          </w:tcPr>
          <w:p>
            <w:pPr>
              <w:spacing w:after="0"/>
              <w:rPr>
                <w:sz w:val="19"/>
                <w:szCs w:val="19"/>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9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700" w:type="dxa"/>
            <w:vAlign w:val="bottom"/>
            <w:gridSpan w:val="15"/>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gridSpan w:val="15"/>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11,141,136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2,123,682</w:t>
            </w:r>
          </w:p>
        </w:tc>
        <w:tc>
          <w:tcPr>
            <w:tcW w:w="0" w:type="dxa"/>
            <w:vAlign w:val="bottom"/>
          </w:tcPr>
          <w:p>
            <w:pPr>
              <w:spacing w:after="0"/>
              <w:rPr>
                <w:sz w:val="1"/>
                <w:szCs w:val="1"/>
                <w:color w:val="auto"/>
              </w:rPr>
            </w:pPr>
          </w:p>
        </w:tc>
      </w:tr>
      <w:tr>
        <w:trPr>
          <w:trHeight w:val="216"/>
        </w:trPr>
        <w:tc>
          <w:tcPr>
            <w:tcW w:w="8700" w:type="dxa"/>
            <w:vAlign w:val="bottom"/>
            <w:gridSpan w:val="15"/>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474,866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738,927</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gridSpan w:val="15"/>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267,084</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5"/>
          </w:tcPr>
          <w:p>
            <w:pPr>
              <w:ind w:left="1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11,883,086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179,503</w:t>
            </w:r>
          </w:p>
        </w:tc>
        <w:tc>
          <w:tcPr>
            <w:tcW w:w="0" w:type="dxa"/>
            <w:vAlign w:val="bottom"/>
          </w:tcPr>
          <w:p>
            <w:pPr>
              <w:spacing w:after="0"/>
              <w:rPr>
                <w:sz w:val="1"/>
                <w:szCs w:val="1"/>
                <w:color w:val="auto"/>
              </w:rPr>
            </w:pPr>
          </w:p>
        </w:tc>
      </w:tr>
      <w:tr>
        <w:trPr>
          <w:trHeight w:val="216"/>
        </w:trPr>
        <w:tc>
          <w:tcPr>
            <w:tcW w:w="8700" w:type="dxa"/>
            <w:vAlign w:val="bottom"/>
            <w:gridSpan w:val="15"/>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4,706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7,189</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5"/>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11,888,909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3,404,709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700" w:type="dxa"/>
            <w:vAlign w:val="bottom"/>
            <w:gridSpan w:val="6"/>
            <w:vMerge w:val="restart"/>
          </w:tcPr>
          <w:p>
            <w:pPr>
              <w:jc w:val="center"/>
              <w:ind w:right="210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00" w:type="dxa"/>
            <w:vAlign w:val="bottom"/>
            <w:gridSpan w:val="6"/>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00" w:type="dxa"/>
            <w:vAlign w:val="bottom"/>
            <w:gridSpan w:val="15"/>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gridSpan w:val="15"/>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134,787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448,425</w:t>
            </w:r>
          </w:p>
        </w:tc>
        <w:tc>
          <w:tcPr>
            <w:tcW w:w="0" w:type="dxa"/>
            <w:vAlign w:val="bottom"/>
          </w:tcPr>
          <w:p>
            <w:pPr>
              <w:spacing w:after="0"/>
              <w:rPr>
                <w:sz w:val="1"/>
                <w:szCs w:val="1"/>
                <w:color w:val="auto"/>
              </w:rPr>
            </w:pPr>
          </w:p>
        </w:tc>
      </w:tr>
      <w:tr>
        <w:trPr>
          <w:trHeight w:val="216"/>
        </w:trPr>
        <w:tc>
          <w:tcPr>
            <w:tcW w:w="8700" w:type="dxa"/>
            <w:vAlign w:val="bottom"/>
            <w:gridSpan w:val="15"/>
          </w:tcPr>
          <w:p>
            <w:pPr>
              <w:ind w:left="36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292,961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775,045</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gridSpan w:val="15"/>
            <w:shd w:val="clear" w:color="auto" w:fill="CCEEFF"/>
          </w:tcPr>
          <w:p>
            <w:pPr>
              <w:ind w:left="360"/>
              <w:spacing w:after="0"/>
              <w:rPr>
                <w:sz w:val="20"/>
                <w:szCs w:val="20"/>
                <w:color w:val="auto"/>
              </w:rPr>
            </w:pPr>
            <w:r>
              <w:rPr>
                <w:rFonts w:ascii="Arial" w:cs="Arial" w:eastAsia="Arial" w:hAnsi="Arial"/>
                <w:sz w:val="18"/>
                <w:szCs w:val="18"/>
                <w:color w:val="auto"/>
              </w:rPr>
              <w:t>Note Payable</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174,466</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624,302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5"/>
          </w:tcPr>
          <w:p>
            <w:pPr>
              <w:ind w:left="1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602,214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1,847,772</w:t>
            </w:r>
          </w:p>
        </w:tc>
        <w:tc>
          <w:tcPr>
            <w:tcW w:w="0" w:type="dxa"/>
            <w:vAlign w:val="bottom"/>
          </w:tcPr>
          <w:p>
            <w:pPr>
              <w:spacing w:after="0"/>
              <w:rPr>
                <w:sz w:val="1"/>
                <w:szCs w:val="1"/>
                <w:color w:val="auto"/>
              </w:rPr>
            </w:pPr>
          </w:p>
        </w:tc>
      </w:tr>
      <w:tr>
        <w:trPr>
          <w:trHeight w:val="216"/>
        </w:trPr>
        <w:tc>
          <w:tcPr>
            <w:tcW w:w="87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5"/>
          </w:tcPr>
          <w:p>
            <w:pPr>
              <w:ind w:left="360"/>
              <w:spacing w:after="0"/>
              <w:rPr>
                <w:sz w:val="20"/>
                <w:szCs w:val="20"/>
                <w:color w:val="auto"/>
              </w:rPr>
            </w:pPr>
            <w:r>
              <w:rPr>
                <w:rFonts w:ascii="Arial" w:cs="Arial" w:eastAsia="Arial" w:hAnsi="Arial"/>
                <w:sz w:val="18"/>
                <w:szCs w:val="18"/>
                <w:color w:val="auto"/>
              </w:rPr>
              <w:t>Lease liability</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tcBorders>
              <w:bottom w:val="single" w:sz="8" w:color="CCEEFF"/>
            </w:tcBorders>
            <w:gridSpan w:val="15"/>
            <w:shd w:val="clear" w:color="auto" w:fill="CCEEFF"/>
          </w:tcPr>
          <w:p>
            <w:pPr>
              <w:ind w:left="180"/>
              <w:spacing w:after="0"/>
              <w:rPr>
                <w:sz w:val="20"/>
                <w:szCs w:val="20"/>
                <w:color w:val="auto"/>
              </w:rPr>
            </w:pPr>
            <w:r>
              <w:rPr>
                <w:rFonts w:ascii="Arial" w:cs="Arial" w:eastAsia="Arial" w:hAnsi="Arial"/>
                <w:sz w:val="18"/>
                <w:szCs w:val="18"/>
                <w:color w:val="auto"/>
              </w:rPr>
              <w:t>Total long 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5"/>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602,214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1,911,968</w:t>
            </w:r>
          </w:p>
        </w:tc>
        <w:tc>
          <w:tcPr>
            <w:tcW w:w="0" w:type="dxa"/>
            <w:vAlign w:val="bottom"/>
          </w:tcPr>
          <w:p>
            <w:pPr>
              <w:spacing w:after="0"/>
              <w:rPr>
                <w:sz w:val="1"/>
                <w:szCs w:val="1"/>
                <w:color w:val="auto"/>
              </w:rPr>
            </w:pPr>
          </w:p>
        </w:tc>
      </w:tr>
      <w:tr>
        <w:trPr>
          <w:trHeight w:val="210"/>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5"/>
          </w:tcPr>
          <w:p>
            <w:pPr>
              <w:spacing w:after="0"/>
              <w:rPr>
                <w:sz w:val="20"/>
                <w:szCs w:val="20"/>
                <w:color w:val="auto"/>
              </w:rPr>
            </w:pPr>
            <w:r>
              <w:rPr>
                <w:rFonts w:ascii="Arial" w:cs="Arial" w:eastAsia="Arial" w:hAnsi="Arial"/>
                <w:sz w:val="18"/>
                <w:szCs w:val="18"/>
                <w:color w:val="auto"/>
              </w:rPr>
              <w:t>Commitments and contingencies; see Note 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5"/>
          </w:tcPr>
          <w:p>
            <w:pPr>
              <w:spacing w:after="0"/>
              <w:rPr>
                <w:sz w:val="20"/>
                <w:szCs w:val="20"/>
                <w:color w:val="auto"/>
              </w:rPr>
            </w:pPr>
            <w:r>
              <w:rPr>
                <w:rFonts w:ascii="Arial" w:cs="Arial" w:eastAsia="Arial" w:hAnsi="Arial"/>
                <w:sz w:val="18"/>
                <w:szCs w:val="18"/>
                <w:color w:val="auto"/>
              </w:rPr>
              <w:t>Preferred stock, undesignated, authorized 4,818,654 shares; See Note 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00" w:type="dxa"/>
            <w:vAlign w:val="bottom"/>
            <w:gridSpan w:val="15"/>
            <w:shd w:val="clear" w:color="auto" w:fill="CCEEFF"/>
          </w:tcPr>
          <w:p>
            <w:pPr>
              <w:spacing w:after="0" w:line="201" w:lineRule="exact"/>
              <w:rPr>
                <w:sz w:val="20"/>
                <w:szCs w:val="20"/>
                <w:color w:val="auto"/>
              </w:rPr>
            </w:pPr>
            <w:r>
              <w:rPr>
                <w:rFonts w:ascii="Arial" w:cs="Arial" w:eastAsia="Arial" w:hAnsi="Arial"/>
                <w:sz w:val="18"/>
                <w:szCs w:val="18"/>
                <w:color w:val="auto"/>
                <w:w w:val="91"/>
              </w:rPr>
              <w:t>Series A Preferred stock, par value $0.0001, authorized 259,068 shares; issued and outstanding 210, as of September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30, 2023 and December 31, 2022, respectively</w:t>
            </w: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00" w:type="dxa"/>
            <w:vAlign w:val="bottom"/>
            <w:gridSpan w:val="15"/>
          </w:tcPr>
          <w:p>
            <w:pPr>
              <w:spacing w:after="0" w:line="201" w:lineRule="exact"/>
              <w:rPr>
                <w:sz w:val="20"/>
                <w:szCs w:val="20"/>
                <w:color w:val="auto"/>
              </w:rPr>
            </w:pPr>
            <w:r>
              <w:rPr>
                <w:rFonts w:ascii="Arial" w:cs="Arial" w:eastAsia="Arial" w:hAnsi="Arial"/>
                <w:sz w:val="18"/>
                <w:szCs w:val="18"/>
                <w:color w:val="auto"/>
                <w:w w:val="91"/>
              </w:rPr>
              <w:t>Common stock, par value $0.0001 per share; authorized 400,000,000 shares; issued and outstanding 23,862,434 as of</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15"/>
          </w:tcPr>
          <w:p>
            <w:pPr>
              <w:spacing w:after="0"/>
              <w:rPr>
                <w:sz w:val="20"/>
                <w:szCs w:val="20"/>
                <w:color w:val="auto"/>
              </w:rPr>
            </w:pPr>
            <w:r>
              <w:rPr>
                <w:rFonts w:ascii="Arial" w:cs="Arial" w:eastAsia="Arial" w:hAnsi="Arial"/>
                <w:sz w:val="18"/>
                <w:szCs w:val="18"/>
                <w:color w:val="auto"/>
              </w:rPr>
              <w:t>September 30, 2023 and 2,291,809 as of December 31, 2022, respectively</w:t>
            </w: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2,386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87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305,311,462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291,034,592</w:t>
            </w:r>
          </w:p>
        </w:tc>
        <w:tc>
          <w:tcPr>
            <w:tcW w:w="0" w:type="dxa"/>
            <w:vAlign w:val="bottom"/>
          </w:tcPr>
          <w:p>
            <w:pPr>
              <w:spacing w:after="0"/>
              <w:rPr>
                <w:sz w:val="1"/>
                <w:szCs w:val="1"/>
                <w:color w:val="auto"/>
              </w:rPr>
            </w:pPr>
          </w:p>
        </w:tc>
      </w:tr>
      <w:tr>
        <w:trPr>
          <w:trHeight w:val="216"/>
        </w:trPr>
        <w:tc>
          <w:tcPr>
            <w:tcW w:w="8700" w:type="dxa"/>
            <w:vAlign w:val="bottom"/>
            <w:gridSpan w:val="15"/>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20" w:type="dxa"/>
            <w:vAlign w:val="bottom"/>
            <w:gridSpan w:val="5"/>
          </w:tcPr>
          <w:p>
            <w:pPr>
              <w:jc w:val="right"/>
              <w:ind w:right="160"/>
              <w:spacing w:after="0"/>
              <w:rPr>
                <w:sz w:val="20"/>
                <w:szCs w:val="20"/>
                <w:color w:val="auto"/>
              </w:rPr>
            </w:pPr>
            <w:r>
              <w:rPr>
                <w:rFonts w:ascii="Arial" w:cs="Arial" w:eastAsia="Arial" w:hAnsi="Arial"/>
                <w:sz w:val="18"/>
                <w:szCs w:val="18"/>
                <w:color w:val="auto"/>
                <w:w w:val="92"/>
              </w:rPr>
              <w:t>(294,027,153)</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(289,542,080)</w:t>
            </w:r>
          </w:p>
        </w:tc>
        <w:tc>
          <w:tcPr>
            <w:tcW w:w="0" w:type="dxa"/>
            <w:vAlign w:val="bottom"/>
          </w:tcPr>
          <w:p>
            <w:pPr>
              <w:spacing w:after="0"/>
              <w:rPr>
                <w:sz w:val="1"/>
                <w:szCs w:val="1"/>
                <w:color w:val="auto"/>
              </w:rPr>
            </w:pPr>
          </w:p>
        </w:tc>
      </w:tr>
      <w:tr>
        <w:trPr>
          <w:trHeight w:val="210"/>
        </w:trPr>
        <w:tc>
          <w:tcPr>
            <w:tcW w:w="8700" w:type="dxa"/>
            <w:vAlign w:val="bottom"/>
            <w:tcBorders>
              <w:bottom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11,286,695</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1,492,741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gridSpan w:val="15"/>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11,888,909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3,404,709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08"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3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60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426"/>
        </w:trPr>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1,051,524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1,377,283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3,363,511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4,255,454</w:t>
            </w: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1,065,855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1,540,205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1,529,493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4,242,565</w:t>
            </w:r>
          </w:p>
        </w:tc>
      </w:tr>
      <w:tr>
        <w:trPr>
          <w:trHeight w:val="20"/>
        </w:trPr>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2,117,379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2,917,488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4,893,004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8,498,019</w:t>
            </w:r>
          </w:p>
        </w:tc>
      </w:t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2,117,379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2,917,488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4,893,004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8,498,019</w:t>
            </w:r>
          </w:p>
        </w:tc>
      </w:t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4,443</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(150,741)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(366,877)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(3,368)</w:t>
            </w:r>
          </w:p>
        </w:tc>
      </w:tr>
      <w:tr>
        <w:trPr>
          <w:trHeight w:val="20"/>
        </w:trPr>
        <w:tc>
          <w:tcPr>
            <w:tcW w:w="60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1,971,975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2,916,537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4,485,074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8,499,094</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(6.64)</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number of common shares outstanding, basic and diluted</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23,862,434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1,316,504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18,532,270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1,279,271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70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Preferred Stock</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6"/>
          </w:tcPr>
          <w:p>
            <w:pPr>
              <w:ind w:left="360"/>
              <w:spacing w:after="0"/>
              <w:rPr>
                <w:sz w:val="20"/>
                <w:szCs w:val="20"/>
                <w:color w:val="auto"/>
              </w:rPr>
            </w:pPr>
            <w:r>
              <w:rPr>
                <w:rFonts w:ascii="Arial" w:cs="Arial" w:eastAsia="Arial" w:hAnsi="Arial"/>
                <w:sz w:val="18"/>
                <w:szCs w:val="18"/>
                <w:b w:val="1"/>
                <w:bCs w:val="1"/>
                <w:color w:val="auto"/>
              </w:rPr>
              <w:t>Common Stock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98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4"/>
              </w:rPr>
              <w:t>Number</w:t>
            </w:r>
          </w:p>
        </w:tc>
        <w:tc>
          <w:tcPr>
            <w:tcW w:w="7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top w:val="single" w:sz="8" w:color="auto"/>
            </w:tcBorders>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16"/>
                <w:szCs w:val="16"/>
                <w:color w:val="auto"/>
              </w:rPr>
            </w:pPr>
          </w:p>
        </w:tc>
        <w:tc>
          <w:tcPr>
            <w:tcW w:w="1220" w:type="dxa"/>
            <w:vAlign w:val="bottom"/>
            <w:gridSpan w:val="2"/>
          </w:tcPr>
          <w:p>
            <w:pPr>
              <w:jc w:val="right"/>
              <w:ind w:right="160"/>
              <w:spacing w:after="0" w:line="191" w:lineRule="exact"/>
              <w:rPr>
                <w:sz w:val="20"/>
                <w:szCs w:val="20"/>
                <w:color w:val="auto"/>
              </w:rPr>
            </w:pPr>
            <w:r>
              <w:rPr>
                <w:rFonts w:ascii="Arial" w:cs="Arial" w:eastAsia="Arial" w:hAnsi="Arial"/>
                <w:sz w:val="18"/>
                <w:szCs w:val="18"/>
                <w:b w:val="1"/>
                <w:bCs w:val="1"/>
                <w:color w:val="auto"/>
                <w:w w:val="91"/>
              </w:rPr>
              <w:t>Accumulated</w:t>
            </w:r>
          </w:p>
        </w:tc>
        <w:tc>
          <w:tcPr>
            <w:tcW w:w="120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of Shares</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1,260,346</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126</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5"/>
              </w:rPr>
              <w:t>$ 282,738,727</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 (278,494,185)</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4,244,668</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Compensation on options issued</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83,069</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83,069</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(2,721,536)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(2,721,536)</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Pr>
          <w:p>
            <w:pPr>
              <w:spacing w:after="0"/>
              <w:rPr>
                <w:sz w:val="20"/>
                <w:szCs w:val="20"/>
                <w:color w:val="auto"/>
              </w:rPr>
            </w:pPr>
            <w:r>
              <w:rPr>
                <w:rFonts w:ascii="Arial" w:cs="Arial" w:eastAsia="Arial" w:hAnsi="Arial"/>
                <w:sz w:val="18"/>
                <w:szCs w:val="18"/>
                <w:b w:val="1"/>
                <w:bCs w:val="1"/>
                <w:color w:val="auto"/>
              </w:rPr>
              <w:t>Balance at March 31, 2022</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200" w:type="dxa"/>
            <w:vAlign w:val="bottom"/>
          </w:tcPr>
          <w:p>
            <w:pPr>
              <w:spacing w:after="0"/>
              <w:rPr>
                <w:sz w:val="18"/>
                <w:szCs w:val="18"/>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1,260,346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 xml:space="preserve"> 282,821,796</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4"/>
              </w:rPr>
              <w:t>$ (281,215,721)</w:t>
            </w:r>
          </w:p>
        </w:tc>
        <w:tc>
          <w:tcPr>
            <w:tcW w:w="2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1,606,201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5"/>
              </w:rPr>
              <w:t>Pre-funded warrants and warrants sold, net of</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offering costs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7,928,591</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7,928,591</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Compensation on options issued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110,031</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110,031</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(2,861,021)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(2,861,021)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1,260,346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 xml:space="preserve"> 290,860,418</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 (284,076,742)</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6,783,802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tcPr>
          <w:p>
            <w:pPr>
              <w:spacing w:after="0" w:line="196" w:lineRule="exact"/>
              <w:rPr>
                <w:sz w:val="20"/>
                <w:szCs w:val="20"/>
                <w:color w:val="auto"/>
              </w:rPr>
            </w:pPr>
            <w:r>
              <w:rPr>
                <w:rFonts w:ascii="Arial" w:cs="Arial" w:eastAsia="Arial" w:hAnsi="Arial"/>
                <w:sz w:val="18"/>
                <w:szCs w:val="18"/>
                <w:color w:val="auto"/>
              </w:rPr>
              <w:t>Exercise of pre-funded warrants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4,773,269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477</w:t>
            </w:r>
          </w:p>
        </w:tc>
        <w:tc>
          <w:tcPr>
            <w:tcW w:w="220" w:type="dxa"/>
            <w:vAlign w:val="bottom"/>
          </w:tcPr>
          <w:p>
            <w:pPr>
              <w:spacing w:after="0"/>
              <w:rPr>
                <w:sz w:val="17"/>
                <w:szCs w:val="17"/>
                <w:color w:val="auto"/>
              </w:rPr>
            </w:pP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Compensation on options issued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86,109</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86,109</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(2,916,537)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(2,916,537)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6,033,615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603</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 xml:space="preserve"> 290,946,527</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 (286,993,279)</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3,953,851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tcPr>
          <w:p>
            <w:pPr>
              <w:spacing w:after="0" w:line="196" w:lineRule="exact"/>
              <w:rPr>
                <w:sz w:val="20"/>
                <w:szCs w:val="20"/>
                <w:color w:val="auto"/>
              </w:rPr>
            </w:pPr>
            <w:r>
              <w:rPr>
                <w:rFonts w:ascii="Arial" w:cs="Arial" w:eastAsia="Arial" w:hAnsi="Arial"/>
                <w:sz w:val="18"/>
                <w:szCs w:val="18"/>
                <w:b w:val="1"/>
                <w:bCs w:val="1"/>
                <w:color w:val="auto"/>
              </w:rPr>
              <w:t>Balance at December 31. 2022</w:t>
            </w:r>
          </w:p>
        </w:tc>
        <w:tc>
          <w:tcPr>
            <w:tcW w:w="7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210</w:t>
            </w:r>
          </w:p>
        </w:tc>
        <w:tc>
          <w:tcPr>
            <w:tcW w:w="200" w:type="dxa"/>
            <w:vAlign w:val="bottom"/>
          </w:tcPr>
          <w:p>
            <w:pPr>
              <w:spacing w:after="0"/>
              <w:rPr>
                <w:sz w:val="17"/>
                <w:szCs w:val="17"/>
                <w:color w:val="auto"/>
              </w:rPr>
            </w:pPr>
          </w:p>
        </w:tc>
        <w:tc>
          <w:tcPr>
            <w:tcW w:w="720" w:type="dxa"/>
            <w:vAlign w:val="bottom"/>
          </w:tcPr>
          <w:p>
            <w:pPr>
              <w:jc w:val="right"/>
              <w:ind w:right="530"/>
              <w:spacing w:after="0" w:line="196" w:lineRule="exact"/>
              <w:rPr>
                <w:sz w:val="20"/>
                <w:szCs w:val="20"/>
                <w:color w:val="auto"/>
              </w:rPr>
            </w:pPr>
            <w:r>
              <w:rPr>
                <w:rFonts w:ascii="Arial" w:cs="Arial" w:eastAsia="Arial" w:hAnsi="Arial"/>
                <w:sz w:val="18"/>
                <w:szCs w:val="18"/>
                <w:b w:val="1"/>
                <w:bCs w:val="1"/>
                <w:color w:val="auto"/>
                <w:w w:val="79"/>
              </w:rPr>
              <w:t>$</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2,291,809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230</w:t>
            </w:r>
          </w:p>
        </w:tc>
        <w:tc>
          <w:tcPr>
            <w:tcW w:w="220" w:type="dxa"/>
            <w:vAlign w:val="bottom"/>
          </w:tcPr>
          <w:p>
            <w:pPr>
              <w:spacing w:after="0"/>
              <w:rPr>
                <w:sz w:val="17"/>
                <w:szCs w:val="17"/>
                <w:color w:val="auto"/>
              </w:rPr>
            </w:pP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5"/>
              </w:rPr>
              <w:t>$ 291,034,591</w:t>
            </w:r>
          </w:p>
        </w:tc>
        <w:tc>
          <w:tcPr>
            <w:tcW w:w="1300" w:type="dxa"/>
            <w:vAlign w:val="bottom"/>
            <w:gridSpan w:val="3"/>
          </w:tcPr>
          <w:p>
            <w:pPr>
              <w:jc w:val="right"/>
              <w:ind w:right="80"/>
              <w:spacing w:after="0" w:line="196" w:lineRule="exact"/>
              <w:rPr>
                <w:sz w:val="20"/>
                <w:szCs w:val="20"/>
                <w:color w:val="auto"/>
              </w:rPr>
            </w:pPr>
            <w:r>
              <w:rPr>
                <w:rFonts w:ascii="Arial" w:cs="Arial" w:eastAsia="Arial" w:hAnsi="Arial"/>
                <w:sz w:val="18"/>
                <w:szCs w:val="18"/>
                <w:b w:val="1"/>
                <w:bCs w:val="1"/>
                <w:color w:val="auto"/>
                <w:w w:val="94"/>
              </w:rPr>
              <w:t>$ (289,542,080)</w:t>
            </w:r>
          </w:p>
        </w:tc>
        <w:tc>
          <w:tcPr>
            <w:tcW w:w="22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1,492,741</w:t>
            </w: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Public offering sale of common stock and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warrants, net of offering costs</w:t>
            </w:r>
          </w:p>
        </w:tc>
        <w:tc>
          <w:tcPr>
            <w:tcW w:w="78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6,959,444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13,895,829</w:t>
            </w:r>
          </w:p>
        </w:tc>
        <w:tc>
          <w:tcPr>
            <w:tcW w:w="1300" w:type="dxa"/>
            <w:vAlign w:val="bottom"/>
            <w:gridSpan w:val="3"/>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13,896,525</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Offering costs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(282,647)</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(282,647)</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Exercise of pre-funded warrants for cash</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1,446,110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511,166</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511,311</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Exercise of pre-funded warrants, cashless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260,722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 cashless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10,805,503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1,081</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(1,081)</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Stock split and fractional shares issued</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13,846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Compensation on options issued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66,543</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66,543</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(1,406,760)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(1,406,760)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21,777,434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2,178</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 xml:space="preserve"> 305,224,375</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 (290,948,840)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14,277,713</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tcPr>
          <w:p>
            <w:pPr>
              <w:spacing w:after="0" w:line="196" w:lineRule="exact"/>
              <w:rPr>
                <w:sz w:val="20"/>
                <w:szCs w:val="20"/>
                <w:color w:val="auto"/>
              </w:rPr>
            </w:pPr>
            <w:r>
              <w:rPr>
                <w:rFonts w:ascii="Arial" w:cs="Arial" w:eastAsia="Arial" w:hAnsi="Arial"/>
                <w:sz w:val="18"/>
                <w:szCs w:val="18"/>
                <w:color w:val="auto"/>
              </w:rPr>
              <w:t>Exercise of warrants, cashless</w:t>
            </w:r>
          </w:p>
        </w:tc>
        <w:tc>
          <w:tcPr>
            <w:tcW w:w="7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2,085,000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208</w:t>
            </w:r>
          </w:p>
        </w:tc>
        <w:tc>
          <w:tcPr>
            <w:tcW w:w="220" w:type="dxa"/>
            <w:vAlign w:val="bottom"/>
          </w:tcPr>
          <w:p>
            <w:pPr>
              <w:spacing w:after="0"/>
              <w:rPr>
                <w:sz w:val="17"/>
                <w:szCs w:val="17"/>
                <w:color w:val="auto"/>
              </w:rPr>
            </w:pPr>
          </w:p>
        </w:tc>
        <w:tc>
          <w:tcPr>
            <w:tcW w:w="11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(208)</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Compensation on options issued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50,283</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50,283</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(1,106,338)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(1,106,338)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23,862,434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2,386</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 xml:space="preserve"> 305,274,450</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 (292,055,178)</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13,221,658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tcPr>
          <w:p>
            <w:pPr>
              <w:spacing w:after="0" w:line="196" w:lineRule="exact"/>
              <w:rPr>
                <w:sz w:val="20"/>
                <w:szCs w:val="20"/>
                <w:color w:val="auto"/>
              </w:rPr>
            </w:pPr>
            <w:r>
              <w:rPr>
                <w:rFonts w:ascii="Arial" w:cs="Arial" w:eastAsia="Arial" w:hAnsi="Arial"/>
                <w:sz w:val="18"/>
                <w:szCs w:val="18"/>
                <w:color w:val="auto"/>
              </w:rPr>
              <w:t>Compensation on options issued</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37,012</w:t>
            </w:r>
          </w:p>
        </w:tc>
        <w:tc>
          <w:tcPr>
            <w:tcW w:w="1300" w:type="dxa"/>
            <w:vAlign w:val="bottom"/>
            <w:gridSpan w:val="3"/>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37,012</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(1,971,975)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(1,971,975)</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Pr>
          <w:p>
            <w:pPr>
              <w:spacing w:after="0"/>
              <w:rPr>
                <w:sz w:val="20"/>
                <w:szCs w:val="20"/>
                <w:color w:val="auto"/>
              </w:rPr>
            </w:pPr>
            <w:r>
              <w:rPr>
                <w:rFonts w:ascii="Arial" w:cs="Arial" w:eastAsia="Arial" w:hAnsi="Arial"/>
                <w:sz w:val="18"/>
                <w:szCs w:val="18"/>
                <w:b w:val="1"/>
                <w:bCs w:val="1"/>
                <w:color w:val="auto"/>
              </w:rPr>
              <w:t>Balance at September 30, 2023</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200" w:type="dxa"/>
            <w:vAlign w:val="bottom"/>
          </w:tcPr>
          <w:p>
            <w:pPr>
              <w:spacing w:after="0"/>
              <w:rPr>
                <w:sz w:val="18"/>
                <w:szCs w:val="18"/>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23,862,434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2,386</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5"/>
              </w:rPr>
              <w:t>$ 305,311,462</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4"/>
              </w:rPr>
              <w:t>$ (294,027,153)</w:t>
            </w:r>
          </w:p>
        </w:tc>
        <w:tc>
          <w:tcPr>
            <w:tcW w:w="2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11,286,695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ectPr>
          <w:pgSz w:w="11900" w:h="16838" w:orient="portrait"/>
          <w:cols w:equalWidth="0" w:num="1">
            <w:col w:w="11240"/>
          </w:cols>
          <w:pgMar w:left="320" w:top="121" w:right="339" w:bottom="0" w:gutter="0" w:footer="0" w:header="0"/>
        </w:sectPr>
      </w:pPr>
    </w:p>
    <w:bookmarkStart w:id="3" w:name="page4"/>
    <w:bookmarkEnd w:id="3"/>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34"/>
        </w:trPr>
        <w:tc>
          <w:tcPr>
            <w:tcW w:w="8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28"/>
        </w:trPr>
        <w:tc>
          <w:tcPr>
            <w:tcW w:w="8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(Unaudited)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r>
      <w:tr>
        <w:trPr>
          <w:trHeight w:val="414"/>
        </w:trPr>
        <w:tc>
          <w:tcPr>
            <w:tcW w:w="87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(4,485,074)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(8,499,094)</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3,798</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Interest on debt instrument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4,443</w:t>
            </w: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right of use asset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80,332</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Gain on sale of equipment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and vesting of compensatory stock options and warrants</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279,686</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prepaid expenses and other assets</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342,834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(606,559)</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(765,730)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(874,156)</w:t>
            </w: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 term portion of lease liability</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(88,241)</w:t>
            </w:r>
          </w:p>
        </w:tc>
      </w:tr>
      <w:tr>
        <w:trPr>
          <w:trHeight w:val="20"/>
        </w:trPr>
        <w:tc>
          <w:tcPr>
            <w:tcW w:w="8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ind w:left="3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(4,728,992)</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(9,699,791)</w:t>
            </w:r>
          </w:p>
        </w:tc>
      </w:tr>
      <w:tr>
        <w:trPr>
          <w:trHeight w:val="216"/>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Purchase (proceeds) from sale of property and equipment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(6,323)</w:t>
            </w:r>
          </w:p>
        </w:tc>
      </w:tr>
      <w:tr>
        <w:trPr>
          <w:trHeight w:val="20"/>
        </w:trPr>
        <w:tc>
          <w:tcPr>
            <w:tcW w:w="8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ind w:left="36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(6,323)</w:t>
            </w:r>
          </w:p>
        </w:tc>
      </w:tr>
      <w:tr>
        <w:trPr>
          <w:trHeight w:val="216"/>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warrants and pre-funded warrants, net of issuance costs</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14,193,439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7,928,591</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Proceeds from the issuance of note payable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364,546</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Payments on short-term note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(449,836)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(364,546)</w:t>
            </w:r>
          </w:p>
        </w:tc>
      </w:tr>
      <w:tr>
        <w:trPr>
          <w:trHeight w:val="210"/>
        </w:trPr>
        <w:tc>
          <w:tcPr>
            <w:tcW w:w="870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13,743,603</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7,928,591</w:t>
            </w: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9,017,454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(1,777,523)</w:t>
            </w:r>
          </w:p>
        </w:tc>
      </w:tr>
      <w:tr>
        <w:trPr>
          <w:trHeight w:val="209"/>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2,123,682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5,583,922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11,141,136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3,806,399</w:t>
            </w:r>
          </w:p>
        </w:tc>
      </w:tr>
      <w:tr>
        <w:trPr>
          <w:trHeight w:val="20"/>
        </w:trPr>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Tenax Therapeutics, Inc. (the “Company”) was originally formed as a New Jersey corporation in 1967 under the name Rudmer, David &amp; Associates, Inc., and subsequently changed its name to Synthetic Blood International, Inc. On June 17, 2008, the stockholders of Synthetic Blood International approved the Agreement and Plan of Merger dated April 28, 2008, between Synthetic Blood International and Oxygen Biotherapeutics, Inc., a Delaware corporation. Synthetic Blood International formed Oxygen Biotherapeutics on April 17, 2008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into one share of Oxygen Biotherapeutics common stock. On September 19, 2014, the Company changed its name to Tenax Therapeutics, Inc.</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November 13, 2013, the Company, through its wholly-owned subsidiary, Life Newco, Inc., a Delaware corporation (“Life NewCo”), acquired certain assets of Phyxius Pharma, Inc., a Delaware corporation (“Phyxius”) pursuant to an Asset Purchase Agreement dated October 21, 2013 (the “Asset Purchase Agreement”), by and among the Company, Life Newco, Phyxius and the stockholders of Phyxius. Among these assets was a license with Orion Corporation, a global healthcare company incorporated under the laws of Finland (“Orion”) for the exclusive, sublicenseable right to develop and commercialize pharmaceutical products containing levosimendan, 2.5 mg/ml concentrate for solution for infusion / 5ml vial in the United States and Canada (the “Territory”). On October 9, 2020 and January 25, 2022, the Company amended the license (as amended, the “License”), to include two new oral product dose forms containing levosimendan in capsule and solid dosage form, and a subcutaneously administered product containing levosimendan, subject to certain limitations (together, the “Product”). Pursuant to the License, the Company and Orion will agree to a new trademark when commercializing levosimendan in either of these forms. The term of the License has been extended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 The Company intends to conduct two upcoming Phase 3 studies in pulmonary hypertension patients utilizing one of these oral formulations. See “Note 6 - Commitments and Contingencies” below for a further discussion of the License.</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January 15, 2021, the Company, Life Newco II, Inc., a Delaware corporation and a wholly-owned, subsidiary of the Company (“Life Newco II”), PHPrecisionMed Inc., a Delaware corporation (“PHPM”) and Dr. Stuart Rich, solely in his capacity as holders’ representative, entered into an Agreement</w:t>
      </w:r>
    </w:p>
    <w:p>
      <w:pPr>
        <w:sectPr>
          <w:pgSz w:w="11900" w:h="16969" w:orient="portrait"/>
          <w:cols w:equalWidth="0" w:num="1">
            <w:col w:w="11240"/>
          </w:cols>
          <w:pgMar w:left="320" w:top="121" w:right="339" w:bottom="0" w:gutter="0" w:footer="0" w:header="0"/>
        </w:sectPr>
      </w:pPr>
    </w:p>
    <w:bookmarkStart w:id="4" w:name="page5"/>
    <w:bookmarkEnd w:id="4"/>
    <w:p>
      <w:pPr>
        <w:jc w:val="both"/>
        <w:spacing w:after="0" w:line="311" w:lineRule="auto"/>
        <w:rPr>
          <w:sz w:val="20"/>
          <w:szCs w:val="20"/>
          <w:color w:val="auto"/>
        </w:rPr>
      </w:pPr>
      <w:r>
        <w:rPr>
          <w:rFonts w:ascii="Arial" w:cs="Arial" w:eastAsia="Arial" w:hAnsi="Arial"/>
          <w:sz w:val="16"/>
          <w:szCs w:val="16"/>
          <w:color w:val="auto"/>
        </w:rPr>
        <w:t>and Plan of Merger (the “Merger Agreement”) pursuant to which the Company acquired all of the equity of PHPM, a company developing pharmaceutical products containing imatinib for the treatment of pulmonary arterial hypertension (“PAH”) in the United States and the rest of the world. Under the terms of the Merger Agreement, Life Newco II merged with and into PHPM, with PHPM surviving as a wholly-owned subsidiary of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the accompanying unaudited condensed consolidated financial statements have been prepared in conformity with accounting principles generally accepted in the United States of America (“GAAP”), which contemplate continuation of the Company as a going concern. The Company has an accumulated deficit of approximately $294.0 million at September 30, 2023, and used cash in operations of approximately $4.7 million during the nine months ended September 30, 2023. The Company requires substantial additional funds to complete clinical trials and pursue regulatory approvals. Management is actively seeking additional sources of equity and/or debt financing as part of its ongoing strategic process; however, there is no assurance that any additional funding will be available.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accompanying September 30, 2023 balance sheet is dependent upon continued operations of the Company, which in turn is dependent upon the Company’s ability to meet its financing requirements on a continuing basis, to maintain present financing, and to generate cash from future operations. These factors, among others, raise substantial doubt about the Company’s ability to continue as a going concern. The unaudited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The accompanying unaudited condensed consolidated financial statements have been prepared in accordance with GAAP for interim financial information and the instructions to Form 10</w:t>
      </w:r>
      <w:r>
        <w:rPr>
          <w:rFonts w:ascii="MS PGothic" w:cs="MS PGothic" w:eastAsia="MS PGothic" w:hAnsi="MS PGothic"/>
          <w:sz w:val="16"/>
          <w:szCs w:val="16"/>
          <w:color w:val="auto"/>
        </w:rPr>
        <w:t>‑</w:t>
      </w:r>
      <w:r>
        <w:rPr>
          <w:rFonts w:ascii="Arial" w:cs="Arial" w:eastAsia="Arial" w:hAnsi="Arial"/>
          <w:sz w:val="16"/>
          <w:szCs w:val="16"/>
          <w:color w:val="auto"/>
        </w:rPr>
        <w:t>Q and Article 10 of Regulation S-X. Accordingly, they do not include all the information and footnotes required by GAAP for complete financial statements. In the opinion of management, the unaudited condensed consolidated financial statements reflect all adjustments, which include only normal recurring adjustments necessary for the fair statement of the balances and results for the periods presented. Certain information and footnote disclosures normally included in the Company’s annual financial statements prepared in accordance with GAAP have been condensed or omitted. These condensed consolidated financial statement results are not necessarily indicative of results to be expected for the full fiscal year or any future period.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and related disclosures have been prepared with the presumption that users of the unaudited condensed consolidated financial statements have read or have access to the audited financial statements for the preceding fiscal year. Accordingly, these unaudited condensed consolidated financial statements should be read in conjunction with the Company’s Form 10-K, which was filed with the United States Securities and Exchange Commission (“SEC”) on March 31, 2023, from which the Company derived the balance sheet data at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accompanying unaudited condensed consolidated financial statements in conformity with GAAP requires management to make certain estimates and assumptions that affect the reported amounts of assets and liabilities and disclosure of contingent assets and liabilities at the date of the unaudited condensed consolidated financial statements and reported amounts of expenses during the reporting period. Actual results could differ from those estimates.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and transactions of Tenax Therapeutics, Inc., Life Newco, Inc. and PHPM. All material intercompany transactions and balances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adjusted the financial statements to reflect that on January 4, 2023, the Company effected a 1-for-20 reverse stock split of its outstanding common stock (the “Reverse Stock Split”). The Reverse Stock Split did not change the number of authorized shares of capital stock or cause an adjustment to the par value of its capital stock. Pursuant to their terms, a proportionate adjustment was made to the per share exercise price and number of shares issuable under the Company’s outstanding stock options and warrants. The number of shares authorized for issuance pursuant to the Company’s equity incentive plans have also been adjusted proportionately to reflect the Reverse Stock Split.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instruments with a maturity date of three months or less, when acquired,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Concentration Risk</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Federal Deposit Insurance Corporation (the “FDIC”) insurance limits are $250,000 per depositor per insured bank. The Company had cash balances of $345,000 and $1.9 million uninsured by the FDIC as of September 30, 2023 and December 31, 2022, respectively. In August 2023, the Company, through its commercial bank, began to utilize the IntraFi network of commercial banks. IntraFi deposits $250,000 in each of its member banks to maintain the FDIC insurance limit. On September 30, 2023, the Company had $10.5 million deposited in the network which is fully FDIC insured.</w:t>
      </w:r>
    </w:p>
    <w:p>
      <w:pPr>
        <w:sectPr>
          <w:pgSz w:w="11900" w:h="16838" w:orient="portrait"/>
          <w:cols w:equalWidth="0" w:num="1">
            <w:col w:w="11240"/>
          </w:cols>
          <w:pgMar w:left="320" w:top="125" w:right="3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financed its operations since September 1990 through the issuance of debt and equity securities and loans from stockholders. The Company had total current assets of approximately $11.9 million and $3.2 million and working capital of $11.3 million and $1.4 million as of September 30, 2023 and December 31, 2022, respectively.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cash resources were approximately $11.1 million as of September 30, 2023, compared to cash resources of approximately $2.1 million as of December 31, 2022.</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expects to continue to incur expenses related to the development of oral levosimendan to treat pulmonary hypertension and heart failure with preserved ejection fraction (PH-HFpEF) in the Phase 3 LEVEL trial, and, potentially for other indications of levosimendan and imatinib for PAH, as well as identifying and developing other potential product candidates. Based on its resources on September 30, 2023, the Company believes that it has sufficient capital to fund its planned operations through to the first quarter of calendar year 2024. However, the Company will need substantial additional financing in order to fund its operations beyond such period and thereafter until it can achieve profitability, if ever. The Company depends on its ability to raise additional funds through various potential sources, such as equity and debt financing, or to license its product candidates to another pharmaceutical company. The Company intends to continue to fund operations from cash on hand and through sources of capital similar to those previously described. The Company cannot provide assurance that it will be able to secure such additional financing on reasonable terms, or if available, that it will be sufficient to meet its needs.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restrictive covenants in the related transaction documentation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or a similar societal healthcare disruption could in the future, directly or indirectly, adversely affect the Company’s clinical trial operations, including its ability to recruit and retain patients, principal investigators and site staff who, as healthcare providers, may have heightened exposure to or impact from infectious diseases if an outbreak occurs in their geography. Further, some patients may be unable to comply with clinical trial protocols if quarantines or travel restrictions impede patient movement or interrupt healthcare services, or if the patients become infected with coronavirus or a similar virus themselves, which would delay the Company’s ability to initiate and/or complete planned clinical and preclinical studies in the future. In May 2023, the World Health Organization declared that COVID-19 was no longer a global health emergency, however, any lingering impact or resurgence of COVID-19 cannot be estimated.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Any or all of the foregoing may have a material adverse effect on the Company’s business and financial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accounts for stock-based awards to employees in accordance with Accounting Standards Codification (“ASC”) 718, Compensation — Stock Compensation, which provides for the use of the fair value-based method to determine compensation for all arrangements where shares of stock or equity instruments are issued for compensation. Fair values of equity securities are determined by management based predominantly on the trading price of the Company’s common stock. The values of these awards are based upon their grant-date fair value. That cost is recognized over the period during which the employee is required to provide service in exchange for the reward.</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accounts for equity instruments issued to non-employees in accordance with ASC 505-50, Accounting for Equity Instruments That Are Issued to Other Than Employees for Acquiring, or in Conjunction with Selling, Goods or Services. Equity instruments issued to non-employees are recorded at their fair value on the measurement date and are subject to periodic adjustment as the underlying equity instruments vest.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for Common Shares and Derivative Financial Instruments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Warrants for our shares of common stock and other derivative financial instruments are classified as equity if the contracts (1) require physical settlement or net-share settlement or (2) give the Company a choice of net-cash settlement or settlement in its own shares (physical settlement or net-share settlement). Contracts which (1) require net-cash settlement (including a requirement to net cash settle the contract if an event occurs and if that event is outside the control of the Company), (2) give the counterparty a choice of net-cash settlement or settlement in shares (physical settlement or net-share settlement), or</w:t>
      </w:r>
    </w:p>
    <w:p>
      <w:pPr>
        <w:spacing w:after="0" w:line="1" w:lineRule="exact"/>
        <w:rPr>
          <w:sz w:val="20"/>
          <w:szCs w:val="20"/>
          <w:color w:val="auto"/>
        </w:rPr>
      </w:pPr>
    </w:p>
    <w:p>
      <w:pPr>
        <w:jc w:val="both"/>
        <w:ind w:firstLine="8"/>
        <w:spacing w:after="0" w:line="255"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contain reset provisions that do not qualify for the scope exception are classified as equity or liabilities. The Company assesses classification of its warrants for shares of common stock and other derivatives at each reporting date to determine whether a change in classification between equity and liabilities is required.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outstanding options, restricted stock grants, convertible preferred shares and warrants were excluded from the computation of basic and diluted net loss per share for the periods presented because including them would have had an anti-dilutive effect.</w:t>
      </w:r>
    </w:p>
    <w:p>
      <w:pPr>
        <w:spacing w:after="0" w:line="166" w:lineRule="exact"/>
        <w:rPr>
          <w:sz w:val="20"/>
          <w:szCs w:val="20"/>
          <w:color w:val="auto"/>
        </w:rPr>
      </w:pPr>
    </w:p>
    <w:p>
      <w:pPr>
        <w:jc w:val="center"/>
        <w:ind w:left="8580"/>
        <w:spacing w:after="0"/>
        <w:rPr>
          <w:sz w:val="20"/>
          <w:szCs w:val="20"/>
          <w:color w:val="auto"/>
        </w:rPr>
      </w:pPr>
      <w:r>
        <w:rPr>
          <w:rFonts w:ascii="Arial" w:cs="Arial" w:eastAsia="Arial" w:hAnsi="Arial"/>
          <w:sz w:val="17"/>
          <w:szCs w:val="17"/>
          <w:b w:val="1"/>
          <w:bCs w:val="1"/>
          <w:color w:val="auto"/>
        </w:rPr>
        <w:t>Nine months ended September</w:t>
      </w:r>
    </w:p>
    <w:p>
      <w:pPr>
        <w:spacing w:after="0" w:line="39"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5715</wp:posOffset>
            </wp:positionV>
            <wp:extent cx="15430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ectPr>
          <w:pgSz w:w="11900" w:h="16838" w:orient="portrait"/>
          <w:cols w:equalWidth="0" w:num="1">
            <w:col w:w="11240"/>
          </w:cols>
          <w:pgMar w:left="320" w:top="341" w:right="3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1,722,240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1,576,240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Pre-funded warrants to purchase common stock</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792,802</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74,873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77,911</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Convertible preferred shares outstanding</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2016, the FASB issued ASU-2016-13, Financial Instruments-Credit Losses (Topic 326): Measurement of Credit Losses on Financial Instruments, which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is effective for interim and annual reporting periods beginning January 1, 2023, with early adoption permitted. A modified retrospective approach is to be used for certain parts of this guidance, while other parts of the guidance are to be applied using a prospective approach. The adoption of this standard has not had a material impact on its condensed consolidated financial statements and related disclosures.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BALANCE SHEET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primarily consist of office furniture and fixtures.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was $1,000 and $1,200 for the three months ended September 30, 2023 and 2022, respectively. For the nine months ended September 30, 2023 and 2022, depreciation expense was $2,900 and $3,800,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Accrued liabilities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20" w:type="dxa"/>
            <w:vAlign w:val="bottom"/>
            <w:gridSpan w:val="2"/>
          </w:tcPr>
          <w:p>
            <w:pPr>
              <w:spacing w:after="0"/>
              <w:rPr>
                <w:sz w:val="20"/>
                <w:szCs w:val="20"/>
                <w:color w:val="auto"/>
              </w:rPr>
            </w:pPr>
            <w:r>
              <w:rPr>
                <w:rFonts w:ascii="Arial" w:cs="Arial" w:eastAsia="Arial" w:hAnsi="Arial"/>
                <w:sz w:val="18"/>
                <w:szCs w:val="18"/>
                <w:color w:val="auto"/>
              </w:rPr>
              <w:t>Accrued liabilities consist of the following:</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September</w:t>
            </w:r>
          </w:p>
        </w:tc>
        <w:tc>
          <w:tcPr>
            <w:tcW w:w="18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w:t>
            </w:r>
          </w:p>
        </w:tc>
      </w:tr>
      <w:tr>
        <w:trPr>
          <w:trHeight w:val="234"/>
        </w:trPr>
        <w:tc>
          <w:tcPr>
            <w:tcW w:w="86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30, 2023</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31, 2022</w:t>
            </w:r>
          </w:p>
        </w:tc>
        <w:tc>
          <w:tcPr>
            <w:tcW w:w="1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245,391</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Lease liability</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119,393</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related</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292,961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775,045</w:t>
            </w:r>
          </w:p>
        </w:tc>
        <w:tc>
          <w:tcPr>
            <w:tcW w:w="1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4. NOTE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Finance Agreement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31, 2022, the Company executed a premium finance note agreement (the “Note”) with AFCO Credit Corporation. The Note financed the Company’s Directors and Officers Insurance Policy as well as the Errors and Omissions policy. The total amount financed was $693,669. The Company paid a down payment of $69,367 at execution leaving a balance of $624,302 payable in monthly installments of $58,873 through December 1, 2023. The Note has an interest rate of 7.39%. The Company recorded interest expense on the Note in the amount of $5,337 and $21,151 for the three and nine months ended September 30, 2023. The balance on the Note as of September 30, 2023 and December 31, 2022 was $174,466 and $624,302, respectively.</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 LEASE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2011, the Company entered into a lease (the “Lease”) with Concourse Associates, LLC (the “Landlord”) for its headquarters located at ONE Copley Parkway, Suite 490, Morrisville, North Carolina (the “Premises”). The Lease was amended in August 2015, March 2016 and April 2021 to extend the term for the 5,954 square foot rental. Pursuant to the Amendment dated April 2021, the existing lease term was extended through June 30, 2024 and the annual base rent of $125,034 would increase 2.5% annually for lease years two and three. On February 7, 2023, the Company entered into a Lease Termination Agreement with the Landlord, with respect to the Premises. As consideration for the Landlord’s entry into the Lease Termination Agreement, including a release of any claims the Landlord may have had against the Company under the Lease, the Company paid the Landlord $169,867. Pursuant to the Lease Termination Agreement, effective February 8, 2023, the Company has no remaining rent or further obligations to the Landlord pursuant to the Lease.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performed an evaluation of its other contracts with customers and suppliers in accordance with ASC 842, Leases, and determined that, except for the Lease described above, none of the Company’s contracts contain a lease.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owns no real property. Beginning November 1, 2022, we maintain a membership providing dedicated office space, as well as shared services and shared space for meetings, catering, and other business activities, at our principal executive office relocated to 101 Glen Lennox Drive, Suite 300, Chapel Hill, North Carolina 27517.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current rent is approximately $750 per month.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Simdax license agreement</w:t>
      </w:r>
    </w:p>
    <w:p>
      <w:pPr>
        <w:sectPr>
          <w:pgSz w:w="11900" w:h="16838" w:orient="portrait"/>
          <w:cols w:equalWidth="0" w:num="1">
            <w:col w:w="11240"/>
          </w:cols>
          <w:pgMar w:left="320" w:top="121" w:right="339" w:bottom="92" w:gutter="0" w:footer="0" w:header="0"/>
        </w:sectPr>
      </w:pPr>
    </w:p>
    <w:bookmarkStart w:id="7" w:name="page8"/>
    <w:bookmarkEnd w:id="7"/>
    <w:p>
      <w:pPr>
        <w:jc w:val="both"/>
        <w:spacing w:after="0" w:line="254" w:lineRule="auto"/>
        <w:rPr>
          <w:sz w:val="20"/>
          <w:szCs w:val="20"/>
          <w:color w:val="auto"/>
        </w:rPr>
      </w:pPr>
      <w:r>
        <w:rPr>
          <w:rFonts w:ascii="Arial" w:cs="Arial" w:eastAsia="Arial" w:hAnsi="Arial"/>
          <w:sz w:val="18"/>
          <w:szCs w:val="18"/>
          <w:color w:val="auto"/>
        </w:rPr>
        <w:t>On November 13, 2013, the Company acquired, through its wholly-owned subsidiary, Life Newco, that certain License, dated September 20, 2013, as amended on October 9, 2020 and January 25, 2022, by and between Phyxius and Orion, and that certain Side Letter, dated October 15, 2013, by and between Phyxius and Orion. The License grants the Company an exclusive, sublicensable right to develop and commercialize pharmaceutical products containing levosimendan in the Territory and, pursuant to the October 9, 2020 and January 25, 2022 amendments, also includes two product dose forms containing levosimendan, in capsule and solid dosage form, and a subcutaneously administered product containing levosimendan, subject to specified limitations in the License. Pursuant to the License, the Company and Orion will agree to a new trademark when commercializing levosimendan in either of these forms.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License also grants the Company a right of first refusal to commercialize new developments of the Product, including developments as to the formulation, presentation, means of delivery, route of administration, dosage or indication (i.e., line extension products).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the Company has not met any of the developmental milestones under the License and, accordingly, has not recorded any liability for the contingent payments due to Orion.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litigation in the normal course of business, none of which management believes will have a material adverse effect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Company’s Certificate of Incorporation, the Board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Stock</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11, 2018, the Company closed its underwritten offering of 259,068 units for net proceeds of approximately $9.0 million (the “2018 Offering”). Each unit consisted of (i) 20 shares of the Company’s Series A convertible preferred stock, par value $0.0001 per share (the “Series A Stock”),</w:t>
      </w:r>
    </w:p>
    <w:p>
      <w:pPr>
        <w:jc w:val="both"/>
        <w:ind w:firstLine="8"/>
        <w:spacing w:after="0" w:line="302" w:lineRule="auto"/>
        <w:tabs>
          <w:tab w:leader="none" w:pos="265" w:val="left"/>
        </w:tabs>
        <w:numPr>
          <w:ilvl w:val="0"/>
          <w:numId w:val="4"/>
        </w:numPr>
        <w:rPr>
          <w:rFonts w:ascii="Arial" w:cs="Arial" w:eastAsia="Arial" w:hAnsi="Arial"/>
          <w:sz w:val="16"/>
          <w:szCs w:val="16"/>
          <w:color w:val="auto"/>
        </w:rPr>
      </w:pPr>
      <w:r>
        <w:rPr>
          <w:rFonts w:ascii="Arial" w:cs="Arial" w:eastAsia="Arial" w:hAnsi="Arial"/>
          <w:sz w:val="16"/>
          <w:szCs w:val="16"/>
          <w:color w:val="auto"/>
        </w:rPr>
        <w:t>a two-year warrant to purchase one share of common stock at an exercise price of $38.60, and (iii) a five-year warrant to purchase one share of common stock at an exercise price of $38.60. In accordance with ASC 480, Distinguishing Liabilities from Equity, the estimated fair value of $1,800,016 for the beneficial conversion feature was recognized as a deemed dividend on the Series A Stock during the year ended December 31, 2020.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there were 210 shares of Series A Stock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Pre-Funded 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Certificate of Incorporation authorizes it to issue 400,000,000 shares of $0.0001 par value common stock. As of September 30, 2023, and December 31, 2022, there were 23,862,434 and 2,291,809 shares of common stock issued and outstanding, respectively. As of September 30, 2023 and December 31, 2022, there were no pre-funded warrants outstanding.</w:t>
      </w:r>
    </w:p>
    <w:p>
      <w:pPr>
        <w:spacing w:after="0" w:line="184"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Company has adjusted the financial statements to reflect the January 4, 2023, 1-for-20 Reverse Stock Split. The Reverse Stock Split did not change the number of authorized shares of capital stock or cause an adjustment to the par value of our capital stock. Pursuant to their terms, a proportionate adjustment was made to the per share exercise price and number of shares issuable under our outstanding stock options and warrants. The number of shares authorized for issuance pursuant to our equity incentive plans have also been adjusted proportionately to reflect the Reverse Stock Split.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2023 Registered Public Offering (the “February 2023 Offering”)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3, 2023, the Company entered into a securities purchase agreement with certain purchasers for the purchase and sale, in a registered public offering by the Company of (i) an aggregate of 6,959,444 shares of its common stock, and pre-funded warrants to purchase an aggregate of 1,707,222 shares of common stock and (ii) accompanying warrants to purchase up to an aggregate of 17,333,332 shares of its common stock at a combined offering price of $1.80 per share of common stock and associated common warrant, or $1.799 per pre-funded warrant and associated common warrant, resulting in gross proceeds of approximately $15.6 million. The net proceeds of the February 2023 Offering after deducting placement agent fees and direct offering expenses were approximately $13.7 million. The fair value allocated to the common stock, pre-funded warrants and warrants was $5.0 million, $1.2 million and $9.4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2022 Private Placement (the “May 2022 Offering”)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17, 2022, the Company entered into a securities purchase agreement with an institutional investor, pursuant to which the Company agreed to sell and issue to the investor 529,802 units in a private placement at a purchase price of $15.50 per unit. Each unit consisted of (i) one unregistered pre-funded warrant to purchase one share of common stock and (ii) one unregistered warrant to purchase one share of common stock (together with the pre-funded warrants, the “2022 Warrants”). In the aggregate, 1,059,603 shares of the Company’s common stock are underlying the 2022 Warrants. The net proceeds from the private placement, after direct offering expenses, were approximately $7.9 million. The fair value allocated to the pre-funded warrants and warrants was $4.2 million and $3.8 million, respectively.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Also, on May 17, 2022 and in connection with the May 2022 Offering, the Company entered into a registration rights agreement (the “May 2022 Registration Rights Agreement”) with the investor, pursuant to which the Company agreed to register for resale the shares of common stock issuable upon exercise of the 2022 Warrants within 120 days following the effective date of the May 2022 Registration Rights Agreement. Pursuant to the May 2022 Registration Rights Agreement, on May 25, 2022, the Company filed a resale registration statement on Form S-3 with the SEC, which went effective on June 3, 2022.</w:t>
      </w:r>
    </w:p>
    <w:p>
      <w:pPr>
        <w:sectPr>
          <w:pgSz w:w="11900" w:h="16838" w:orient="portrait"/>
          <w:cols w:equalWidth="0" w:num="1">
            <w:col w:w="11240"/>
          </w:cols>
          <w:pgMar w:left="320" w:top="125" w:right="339" w:bottom="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in connection with the May 2022 Offering, the Company entered into a warrant amendment agreement (the “Warrant Amendment Agreement”) with the investor, in consideration for the investor’s purchase of units in the May 2022 Offering, pursuant to which the Company agreed to amend certain previously issued warrants held by the investor. The terms of the amended and restated warrants are described further below under “Note 8 —Stockholders Equity—Warrants”.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the Company has 1,722,240 warrants outstanding. The following table summarizes the Company’s warrant activity for the nine months ended September 30, 2023:</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Exercise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Warrants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2022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1,576,240</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Issued</w:t>
            </w:r>
          </w:p>
        </w:tc>
        <w:tc>
          <w:tcPr>
            <w:tcW w:w="980" w:type="dxa"/>
            <w:vAlign w:val="bottom"/>
          </w:tcPr>
          <w:p>
            <w:pPr>
              <w:jc w:val="right"/>
              <w:spacing w:after="0"/>
              <w:rPr>
                <w:sz w:val="20"/>
                <w:szCs w:val="20"/>
                <w:color w:val="auto"/>
              </w:rPr>
            </w:pPr>
            <w:r>
              <w:rPr>
                <w:rFonts w:ascii="Arial" w:cs="Arial" w:eastAsia="Arial" w:hAnsi="Arial"/>
                <w:sz w:val="18"/>
                <w:szCs w:val="18"/>
                <w:color w:val="auto"/>
              </w:rPr>
              <w:t>17,333,332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(17,187,332)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Outstanding at September 30, 2023</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1,722,240</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2023 Warrants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described above, as a part of the February 2023 Offering, the Company issued unregistered warrants to purchase 17,333,332 shares of its common stock at an exercise price of $2.25 per share and contractual term of five years. The unregistered warrants were offered in a private placement under Section 4(a)</w:t>
      </w:r>
    </w:p>
    <w:p>
      <w:pPr>
        <w:jc w:val="both"/>
        <w:ind w:firstLine="8"/>
        <w:spacing w:after="0" w:line="292" w:lineRule="auto"/>
        <w:tabs>
          <w:tab w:leader="none" w:pos="26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of the Securities Act of 1933, as amended (the “Securities Act”) and Regulation D promulgated thereunder. In accordance with </w:t>
      </w:r>
      <w:r>
        <w:rPr>
          <w:rFonts w:ascii="Arial" w:cs="Arial" w:eastAsia="Arial" w:hAnsi="Arial"/>
          <w:sz w:val="16"/>
          <w:szCs w:val="16"/>
          <w:i w:val="1"/>
          <w:iCs w:val="1"/>
          <w:color w:val="auto"/>
        </w:rPr>
        <w:t>ASC 815, 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and Hedging</w:t>
      </w:r>
      <w:r>
        <w:rPr>
          <w:rFonts w:ascii="Arial" w:cs="Arial" w:eastAsia="Arial" w:hAnsi="Arial"/>
          <w:sz w:val="16"/>
          <w:szCs w:val="16"/>
          <w:color w:val="auto"/>
        </w:rPr>
        <w:t>, these warrants are classified as equity and their relative fair value of approximately $10.6 million was recognized as additional paid in</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 The assumptions used in the Black-Scholes Option Pricing model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Remaining contractual term</w:t>
            </w:r>
          </w:p>
        </w:tc>
        <w:tc>
          <w:tcPr>
            <w:tcW w:w="4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 Years</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49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4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Expected Volatility</w:t>
            </w:r>
          </w:p>
        </w:tc>
        <w:tc>
          <w:tcPr>
            <w:tcW w:w="4960" w:type="dxa"/>
            <w:vAlign w:val="bottom"/>
          </w:tcPr>
          <w:p>
            <w:pPr>
              <w:jc w:val="right"/>
              <w:spacing w:after="0"/>
              <w:rPr>
                <w:sz w:val="20"/>
                <w:szCs w:val="20"/>
                <w:color w:val="auto"/>
              </w:rPr>
            </w:pPr>
            <w:r>
              <w:rPr>
                <w:rFonts w:ascii="Arial" w:cs="Arial" w:eastAsia="Arial" w:hAnsi="Arial"/>
                <w:sz w:val="18"/>
                <w:szCs w:val="18"/>
                <w:color w:val="auto"/>
              </w:rPr>
              <w:t>105.69%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2022 Warrants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described above, as a part of the May 2022 Offering, the Company issued unregistered warrants to purchase 529,802 shares of its common stock at an exercise price of $12.60 per share and contractual term of five and one-half years. The unregistered warrants were offered in a private placement under Section 4(a)(2) of the Securities Act and Regulation D promulgated thereunder. In accordance with </w:t>
      </w:r>
      <w:r>
        <w:rPr>
          <w:rFonts w:ascii="Arial" w:cs="Arial" w:eastAsia="Arial" w:hAnsi="Arial"/>
          <w:sz w:val="18"/>
          <w:szCs w:val="18"/>
          <w:i w:val="1"/>
          <w:iCs w:val="1"/>
          <w:color w:val="auto"/>
        </w:rPr>
        <w:t>ASC 815, Derivatives and Hedging</w:t>
      </w:r>
      <w:r>
        <w:rPr>
          <w:rFonts w:ascii="Arial" w:cs="Arial" w:eastAsia="Arial" w:hAnsi="Arial"/>
          <w:sz w:val="18"/>
          <w:szCs w:val="18"/>
          <w:color w:val="auto"/>
        </w:rPr>
        <w:t>, these warrants are classified as equity and their relative fair value of approximately $3.8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Stock Incentive Plan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9, 2022, the Company’s stockholders approved the Tenax Therapeutics. Inc. 2022 Stock Incentive Plan (the “2022 Plan”), which authorizes for issuance a total of 55,000 shares of common stock. Under the 2022 Plan, with the approval of the Board’s Compensation Committee, the Company may grant stock options, stock appreciation rights, restricted stock, restricted stock units, performance shares, performance units, cash-based awards or other stock-based awards. The 2022 Plan superseded and replaced the Tenax Therapeutics, Inc. 2016 Stock Incentive Plan, as amended (the “2016 Plan”) and all shares of common stock remaining authorized and available for issuance under the 2016 Plan and any shares subject to outstanding awards under the 2016 Plan that subsequently expire, terminate, or are surrendered or forfeited for any reason without issuance of shares automatically become available for issuance under the 2022 Plan. At September 30, 2023 there were 51,487 shares that rolled over from the 2016 Plan and 28,488 shares remaining under the 2022 Plan resulting in an aggregate of 79,975 shares available for issuance under the 2022 Plan.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shares available for grant under the 2022 Plan for the nine months ended September 30, 2023.</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85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r>
      <w:tr>
        <w:trPr>
          <w:trHeight w:val="216"/>
        </w:trPr>
        <w:tc>
          <w:tcPr>
            <w:tcW w:w="85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Available</w:t>
            </w:r>
          </w:p>
        </w:tc>
      </w:tr>
      <w:tr>
        <w:trPr>
          <w:trHeight w:val="234"/>
        </w:trPr>
        <w:tc>
          <w:tcPr>
            <w:tcW w:w="850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for Grant</w:t>
            </w:r>
          </w:p>
        </w:tc>
      </w:tr>
      <w:tr>
        <w:trPr>
          <w:trHeight w:val="209"/>
        </w:trPr>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77,616</w:t>
            </w:r>
          </w:p>
        </w:tc>
        <w:tc>
          <w:tcPr>
            <w:tcW w:w="10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18"/>
                <w:szCs w:val="18"/>
                <w:color w:val="auto"/>
              </w:rPr>
            </w:pPr>
          </w:p>
        </w:tc>
      </w:tr>
      <w:tr>
        <w:trPr>
          <w:trHeight w:val="209"/>
        </w:trPr>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2023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79,975</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557" w:right="339" w:bottom="0" w:gutter="0" w:footer="0" w:header="0"/>
        </w:sectPr>
      </w:pPr>
    </w:p>
    <w:bookmarkStart w:id="9" w:name="page10"/>
    <w:bookmarkEnd w:id="9"/>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Plan Stock Options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Stock options granted under the 2022 Plan may be either incentive stock options (“ISOs”) or nonqualified stock options (“NSOs”). ISOs may be granted only to employees. NSOs may be granted to employees, consultants and directors. Stock options under the 2022 Plan may be granted with a term of up to ten years and at prices no less than fair market value at the time of grant. Stock options granted generally vest over one to four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2022 Plan for the nine months ended September 30, 2023.</w:t>
      </w:r>
    </w:p>
    <w:p>
      <w:pPr>
        <w:spacing w:after="0" w:line="221"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Outstanding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17145</wp:posOffset>
            </wp:positionV>
            <wp:extent cx="13201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Weighted</w:t>
      </w:r>
    </w:p>
    <w:p>
      <w:pPr>
        <w:spacing w:after="0" w:line="23"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Average</w:t>
      </w:r>
    </w:p>
    <w:p>
      <w:pPr>
        <w:spacing w:after="0" w:line="9" w:lineRule="exact"/>
        <w:rPr>
          <w:sz w:val="20"/>
          <w:szCs w:val="20"/>
          <w:color w:val="auto"/>
        </w:rPr>
      </w:pPr>
    </w:p>
    <w:p>
      <w:pPr>
        <w:ind w:left="8280"/>
        <w:spacing w:after="0"/>
        <w:tabs>
          <w:tab w:leader="none" w:pos="9480" w:val="left"/>
        </w:tabs>
        <w:rPr>
          <w:sz w:val="20"/>
          <w:szCs w:val="20"/>
          <w:color w:val="auto"/>
        </w:rPr>
      </w:pPr>
      <w:r>
        <w:rPr>
          <w:rFonts w:ascii="Arial" w:cs="Arial" w:eastAsia="Arial" w:hAnsi="Arial"/>
          <w:sz w:val="18"/>
          <w:szCs w:val="18"/>
          <w:b w:val="1"/>
          <w:bCs w:val="1"/>
          <w:color w:val="auto"/>
        </w:rPr>
        <w:t>Number of</w:t>
      </w:r>
      <w:r>
        <w:rPr>
          <w:sz w:val="20"/>
          <w:szCs w:val="20"/>
          <w:color w:val="auto"/>
        </w:rPr>
        <w:tab/>
      </w:r>
      <w:r>
        <w:rPr>
          <w:rFonts w:ascii="Arial" w:cs="Arial" w:eastAsia="Arial" w:hAnsi="Arial"/>
          <w:sz w:val="16"/>
          <w:szCs w:val="16"/>
          <w:b w:val="1"/>
          <w:bCs w:val="1"/>
          <w:color w:val="auto"/>
        </w:rPr>
        <w:t>Exercise</w:t>
      </w:r>
    </w:p>
    <w:p>
      <w:pPr>
        <w:spacing w:after="0" w:line="9" w:lineRule="exact"/>
        <w:rPr>
          <w:sz w:val="20"/>
          <w:szCs w:val="20"/>
          <w:color w:val="auto"/>
        </w:rPr>
      </w:pPr>
    </w:p>
    <w:p>
      <w:pPr>
        <w:ind w:left="8440"/>
        <w:spacing w:after="0"/>
        <w:tabs>
          <w:tab w:leader="none" w:pos="960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b w:val="1"/>
          <w:bCs w:val="1"/>
          <w:color w:val="auto"/>
        </w:rPr>
        <w:t>Price</w:t>
      </w:r>
    </w:p>
    <w:p>
      <w:pPr>
        <w:spacing w:after="0" w:line="29" w:lineRule="exact"/>
        <w:rPr>
          <w:sz w:val="20"/>
          <w:szCs w:val="20"/>
          <w:color w:val="auto"/>
        </w:rPr>
      </w:pPr>
    </w:p>
    <w:tbl>
      <w:tblPr>
        <w:tblLayout w:type="fixed"/>
        <w:tblInd w:w="860" w:type="dxa"/>
        <w:tblCellMar>
          <w:top w:w="0" w:type="dxa"/>
          <w:left w:w="0" w:type="dxa"/>
          <w:bottom w:w="0" w:type="dxa"/>
          <w:right w:w="0" w:type="dxa"/>
        </w:tblCellMar>
      </w:tblPr>
      <w:tr>
        <w:trPr>
          <w:trHeight w:val="20"/>
        </w:trPr>
        <w:tc>
          <w:tcPr>
            <w:tcW w:w="7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73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Balances at December 31, 2022</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28,163</w:t>
            </w:r>
          </w:p>
        </w:tc>
        <w:tc>
          <w:tcPr>
            <w:tcW w:w="1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6"/>
                <w:szCs w:val="16"/>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(1,650)</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2023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26,513</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recorded compensation expense for stock option grants of $16,089 and $68,586 for the three and nine months ended September 30, 2023, respectively. No compensation expense was recorded for the nine months ended September 30, 2022.</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September 30, 2023, there were unrecognized compensation costs of approximately $91,779 related to non-vested stock option awards under the 2022 Plan that will be recognized on a straight-line basis over the weighted average remaining vesting period of 1.69 years.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Stock Incentive Plan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16, 2016, the Company’s stockholders approved the 2016 Plan and authorized for issuance under the 2016 Plan a total of 7,500 shares of common stock. Under the 2016 Plan, with the approval of the Board’s Compensation Committee, the Company could grant stock options, stock appreciation rights, restricted stock, restricted stock units, performance shares, performance units, cash-based awards or other stock-based awards. On June 13, 2019, the Company’s stockholders approved an amendment to the 2016 Plan which increased the number of shares of common stock authorized for issuance under the 2016 Plan to a total of 37,500 shares, up from 7,500 previously authorized. On June 10, 2021, the Company’s stockholders approved an additional amendment to the 2016 Plan which increased the number of shares of common stock authorized for issuance under the 2016 Plan to a total of 75,000 shares, up from 37,500 previously authorized. In June 2022, the 2016 Plan was superseded and replaced by the 2022 Plan and no new awards will be granted under the 2016 Plan going forward. Any awards outstanding under the 2016 Plan on the date of approval of the 2022 Plan remain subject to the 2016 Plan. Upon approval of the 2022 Plan, all shares of common stock remaining authorized and available for issuance under the 2016 Plan and any shares subject to outstanding awards under the 2016 Plan that subsequently expire, terminate, or are surrendered or forfeited for any reason without issuance of shares automatically become available for issuance under our 2022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Plan Stock Options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 options granted under the 2016 Plan could be either ISOs or NSOs. ISOs could be granted only to employees. NSOs could be granted to employees, consultants and directors. Stock options under the 2016 Plan could be granted with a term of up to ten years and at prices no less than fair market value at the time of grant. Stock options granted generally vest over three to four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2016 Plan for the nine months ended September 30, 2023.</w:t>
      </w:r>
    </w:p>
    <w:p>
      <w:pPr>
        <w:spacing w:after="0" w:line="221"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Outstanding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17145</wp:posOffset>
            </wp:positionV>
            <wp:extent cx="13201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Weighted</w:t>
      </w:r>
    </w:p>
    <w:p>
      <w:pPr>
        <w:spacing w:after="0" w:line="23"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Average</w:t>
      </w:r>
    </w:p>
    <w:p>
      <w:pPr>
        <w:spacing w:after="0" w:line="9" w:lineRule="exact"/>
        <w:rPr>
          <w:sz w:val="20"/>
          <w:szCs w:val="20"/>
          <w:color w:val="auto"/>
        </w:rPr>
      </w:pPr>
    </w:p>
    <w:p>
      <w:pPr>
        <w:ind w:left="8280"/>
        <w:spacing w:after="0"/>
        <w:tabs>
          <w:tab w:leader="none" w:pos="9480" w:val="left"/>
        </w:tabs>
        <w:rPr>
          <w:sz w:val="20"/>
          <w:szCs w:val="20"/>
          <w:color w:val="auto"/>
        </w:rPr>
      </w:pPr>
      <w:r>
        <w:rPr>
          <w:rFonts w:ascii="Arial" w:cs="Arial" w:eastAsia="Arial" w:hAnsi="Arial"/>
          <w:sz w:val="18"/>
          <w:szCs w:val="18"/>
          <w:b w:val="1"/>
          <w:bCs w:val="1"/>
          <w:color w:val="auto"/>
        </w:rPr>
        <w:t>Number of</w:t>
      </w:r>
      <w:r>
        <w:rPr>
          <w:sz w:val="20"/>
          <w:szCs w:val="20"/>
          <w:color w:val="auto"/>
        </w:rPr>
        <w:tab/>
      </w:r>
      <w:r>
        <w:rPr>
          <w:rFonts w:ascii="Arial" w:cs="Arial" w:eastAsia="Arial" w:hAnsi="Arial"/>
          <w:sz w:val="16"/>
          <w:szCs w:val="16"/>
          <w:b w:val="1"/>
          <w:bCs w:val="1"/>
          <w:color w:val="auto"/>
        </w:rPr>
        <w:t>Exercise</w:t>
      </w:r>
    </w:p>
    <w:p>
      <w:pPr>
        <w:spacing w:after="0" w:line="9" w:lineRule="exact"/>
        <w:rPr>
          <w:sz w:val="20"/>
          <w:szCs w:val="20"/>
          <w:color w:val="auto"/>
        </w:rPr>
      </w:pPr>
    </w:p>
    <w:p>
      <w:pPr>
        <w:ind w:left="8440"/>
        <w:spacing w:after="0"/>
        <w:tabs>
          <w:tab w:leader="none" w:pos="960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b w:val="1"/>
          <w:bCs w:val="1"/>
          <w:color w:val="auto"/>
        </w:rPr>
        <w:t>Price</w:t>
      </w:r>
    </w:p>
    <w:p>
      <w:pPr>
        <w:spacing w:after="0" w:line="29" w:lineRule="exact"/>
        <w:rPr>
          <w:sz w:val="20"/>
          <w:szCs w:val="20"/>
          <w:color w:val="auto"/>
        </w:rPr>
      </w:pPr>
    </w:p>
    <w:tbl>
      <w:tblPr>
        <w:tblLayout w:type="fixed"/>
        <w:tblInd w:w="860" w:type="dxa"/>
        <w:tblCellMar>
          <w:top w:w="0" w:type="dxa"/>
          <w:left w:w="0" w:type="dxa"/>
          <w:bottom w:w="0" w:type="dxa"/>
          <w:right w:w="0" w:type="dxa"/>
        </w:tblCellMar>
      </w:tblPr>
      <w:tr>
        <w:trPr>
          <w:trHeight w:val="20"/>
        </w:trPr>
        <w:tc>
          <w:tcPr>
            <w:tcW w:w="7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73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Balances at December 31, 2022</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23,373</w:t>
            </w:r>
          </w:p>
        </w:tc>
        <w:tc>
          <w:tcPr>
            <w:tcW w:w="1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40.13</w:t>
            </w:r>
          </w:p>
        </w:tc>
        <w:tc>
          <w:tcPr>
            <w:tcW w:w="100" w:type="dxa"/>
            <w:vAlign w:val="bottom"/>
            <w:shd w:val="clear" w:color="auto" w:fill="CCEEFF"/>
          </w:tcPr>
          <w:p>
            <w:pPr>
              <w:spacing w:after="0"/>
              <w:rPr>
                <w:sz w:val="16"/>
                <w:szCs w:val="16"/>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(709)</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2023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22,664</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recorded compensation expense for these stock options grants of $7,840 and $23,574 for the three and nine months ended September 30, 2023, respectively.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2023, there were unrecognized compensation costs of approximately $8,805 related to non-vested stock option awards under the 2016 Plan that will be recognized on a straight-line basis over the weighted average remaining vesting period of 0.27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Stock Plan, as Amended and Restated</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October 2000, the Company adopted the 1999 Stock Plan, as amended and restated on June 17, 2008 (the “1999 Plan”). Under the 1999 Plan, with the approval of the Compensation Committee of the Board of Directors, the Company could grant stock options, restricted stock, stock appreciation rights and</w:t>
      </w:r>
    </w:p>
    <w:p>
      <w:pPr>
        <w:sectPr>
          <w:pgSz w:w="11900" w:h="16915" w:orient="portrait"/>
          <w:cols w:equalWidth="0" w:num="1">
            <w:col w:w="11240"/>
          </w:cols>
          <w:pgMar w:left="320" w:top="341" w:right="339" w:bottom="0" w:gutter="0" w:footer="0" w:header="0"/>
        </w:sectPr>
      </w:pPr>
    </w:p>
    <w:bookmarkStart w:id="10" w:name="page11"/>
    <w:bookmarkEnd w:id="10"/>
    <w:p>
      <w:pPr>
        <w:spacing w:after="0" w:line="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shares of common stock upon exercise of stock options. On March 13, 2014, the Company’s stockholders approved an amendment to the 1999 Plan which increased the number of shares of common stock authorized for issuance under the 1999 Plan to a total of 10,000 shares, up from 750 previously authorized. On September 15, 2015, the Company’s stockholders approved an additional amendment to the 1999 Plan which increased the number of shares of common stock authorized for issuance under the 1999 Plan to a total of 12,500 shares, up from 10,000 previously authorized. The 1999 Plan expired on June 17, 2018 and no new grants may be made under that plan after that date. However, unexpired awards granted under the 1999 Plan remain outstanding and subject to the terms of the 1999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Plan Stock Options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Stock options granted under the 1999 Plan may be ISOs or NSOs. ISOs could be granted only to employees. NSOs could be granted to employees, consultants and directors. Stock options under the 1999 Plan could be granted with a term of up to ten years and at prices no less than fair market value for ISOs and no less than 85% of the fair market value for NSOs. Stock options granted generally vest over one to three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1999 Plan for the nine months ended September 30, 2023:</w:t>
      </w:r>
    </w:p>
    <w:p>
      <w:pPr>
        <w:spacing w:after="0" w:line="221"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Outstanding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17145</wp:posOffset>
            </wp:positionV>
            <wp:extent cx="13201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Weighted</w:t>
      </w:r>
    </w:p>
    <w:p>
      <w:pPr>
        <w:spacing w:after="0" w:line="23"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Average</w:t>
      </w:r>
    </w:p>
    <w:p>
      <w:pPr>
        <w:spacing w:after="0" w:line="9" w:lineRule="exact"/>
        <w:rPr>
          <w:sz w:val="20"/>
          <w:szCs w:val="20"/>
          <w:color w:val="auto"/>
        </w:rPr>
      </w:pPr>
    </w:p>
    <w:p>
      <w:pPr>
        <w:ind w:left="8280"/>
        <w:spacing w:after="0"/>
        <w:tabs>
          <w:tab w:leader="none" w:pos="9480" w:val="left"/>
        </w:tabs>
        <w:rPr>
          <w:sz w:val="20"/>
          <w:szCs w:val="20"/>
          <w:color w:val="auto"/>
        </w:rPr>
      </w:pPr>
      <w:r>
        <w:rPr>
          <w:rFonts w:ascii="Arial" w:cs="Arial" w:eastAsia="Arial" w:hAnsi="Arial"/>
          <w:sz w:val="18"/>
          <w:szCs w:val="18"/>
          <w:b w:val="1"/>
          <w:bCs w:val="1"/>
          <w:color w:val="auto"/>
        </w:rPr>
        <w:t>Number of</w:t>
      </w:r>
      <w:r>
        <w:rPr>
          <w:sz w:val="20"/>
          <w:szCs w:val="20"/>
          <w:color w:val="auto"/>
        </w:rPr>
        <w:tab/>
      </w:r>
      <w:r>
        <w:rPr>
          <w:rFonts w:ascii="Arial" w:cs="Arial" w:eastAsia="Arial" w:hAnsi="Arial"/>
          <w:sz w:val="16"/>
          <w:szCs w:val="16"/>
          <w:b w:val="1"/>
          <w:bCs w:val="1"/>
          <w:color w:val="auto"/>
        </w:rPr>
        <w:t>Exercise</w:t>
      </w:r>
    </w:p>
    <w:p>
      <w:pPr>
        <w:spacing w:after="0" w:line="9" w:lineRule="exact"/>
        <w:rPr>
          <w:sz w:val="20"/>
          <w:szCs w:val="20"/>
          <w:color w:val="auto"/>
        </w:rPr>
      </w:pPr>
    </w:p>
    <w:p>
      <w:pPr>
        <w:ind w:left="8440"/>
        <w:spacing w:after="0"/>
        <w:tabs>
          <w:tab w:leader="none" w:pos="960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b w:val="1"/>
          <w:bCs w:val="1"/>
          <w:color w:val="auto"/>
        </w:rPr>
        <w:t>Price</w:t>
      </w:r>
    </w:p>
    <w:p>
      <w:pPr>
        <w:spacing w:after="0" w:line="29" w:lineRule="exact"/>
        <w:rPr>
          <w:sz w:val="20"/>
          <w:szCs w:val="20"/>
          <w:color w:val="auto"/>
        </w:rPr>
      </w:pPr>
    </w:p>
    <w:tbl>
      <w:tblPr>
        <w:tblLayout w:type="fixed"/>
        <w:tblInd w:w="860" w:type="dxa"/>
        <w:tblCellMar>
          <w:top w:w="0" w:type="dxa"/>
          <w:left w:w="0" w:type="dxa"/>
          <w:bottom w:w="0" w:type="dxa"/>
          <w:right w:w="0" w:type="dxa"/>
        </w:tblCellMar>
      </w:tblPr>
      <w:tr>
        <w:trPr>
          <w:trHeight w:val="20"/>
        </w:trPr>
        <w:tc>
          <w:tcPr>
            <w:tcW w:w="7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73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Balances at December 31, 2022</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936</w:t>
            </w:r>
          </w:p>
        </w:tc>
        <w:tc>
          <w:tcPr>
            <w:tcW w:w="1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1,122.75</w:t>
            </w:r>
          </w:p>
        </w:tc>
        <w:tc>
          <w:tcPr>
            <w:tcW w:w="100" w:type="dxa"/>
            <w:vAlign w:val="bottom"/>
            <w:shd w:val="clear" w:color="auto" w:fill="CCEEFF"/>
          </w:tcPr>
          <w:p>
            <w:pPr>
              <w:spacing w:after="0"/>
              <w:rPr>
                <w:sz w:val="16"/>
                <w:szCs w:val="16"/>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(240)</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1,253.83</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2023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1,076.36</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no compensation expense for these stock option grants for the three and nine months ended September 30, 2023 and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there were no unrecognized compensation costs related to non-vested stock option awards under the 1999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granted two employment inducement stock option awards, one for 5,000 shares of common stock and the other for 12,500 shares of common stock, to its new CEO on July 6, 2021.</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employment inducement stock option for 5,000 shares of common stock was awarded in accordance with the employment inducement award exemption provided by Nasdaq Listing Rule 5635(c)(4) and was therefore not awarded under the Company’s stockholder approved equity plan. The option award was to vest as follows: 50% upon initiation of a Phase 3 trial for levosimendan by June 30, 2022; and 50% upon initiation of a Phase 3 trial for imatinib by June 30, 2022. The options had a 10-year term and an exercise price of $39.40 per share, the July 6, 2021 closing price of our common stock. None of the vesting milestones were achieved and the options were subsequently cancelled. The estimated fair value of this inducement stock option award was $178,291 using a Black-Scholes option pricing model based on market prices and the following assumptions at the date of inducement option grant: risk-free interest rate of 1.37%, dividend yield of 0%, volatility factor for our common stock of 103.50% and an expected life of 10 years.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employment inducement stock option award for 12,500 shares of common stock also was awarded in accordance with the employment inducement award exemption provided by Nasdaq Listing Rule 5635(c)(4) and was therefore not awarded under the Company’s stockholder approved equity plan. The option award will vest as follows: 25% on the one-year anniversary of the CEO’s employment start date and an additional 25% on each of the following three anniversaries of the CEO’s employment start date, subject to continued employment. The options have a 10-year term and an exercise price of $39.40 per share, the July 6, 2021 closing price of our common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fair value of this inducement stock option award was $403,180 using a Black-Scholes option pricing model based on market prices and the following assumptions at the date of inducement option grant: risk-free interest rate of 1.13%, dividend yield of 0%, volatility factor for our common stock of 99.36% and an expected life of 7 years.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granted an employment inducement stock option award for 12,500 shares of common stock to our chief medical officer on January 15, 2021. This employment inducement stock option was awarded in accordance with the employment inducement award exemption provided by Nasdaq Listing Rule 5635(c)(4) and was therefore not awarded under the Company’s stockholder approved equity plan. The option award will vest as follows: 25% upon initiation of a Phase 3 trial; 25% upon database lock; 25% upon acceptance for review of an investigational NDA; and 25% upon approval. The options have a 10-year term and an exercise price of $35.60 per share, the January 15, 2021 closing price of our common stock. The estimated fair value of the inducement stock option award granted was $402,789 using a Black-Scholes option pricing model based on market prices and the following assumptions at the date of inducement option grant: risk-free interest rate of 11%, dividend yield of 0%, volatility factor for our common stock of 103.94% and an expected life of 10 years.</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Inducement stock option compensation expense totaled $13,083 and $61,678 for the three and nine months ended September 30, 2023, respectively. As of September 30, 2023, there was $371,384 of remaining unrecognized compensation expense related to these inducement stock options.</w:t>
      </w:r>
    </w:p>
    <w:p>
      <w:pPr>
        <w:sectPr>
          <w:pgSz w:w="11900" w:h="16875" w:orient="portrait"/>
          <w:cols w:equalWidth="0" w:num="1">
            <w:col w:w="11240"/>
          </w:cols>
          <w:pgMar w:left="320" w:top="125" w:right="339" w:bottom="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8.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condensed consolidated financial statements and notes thereto included in Part I, Item 1 of this Quarterly Report on Form 10-Q and with the audited condensed consolidated financial statements and related notes thereto included as part of our Annual Report on Form 10-K for the year ended December 31, 2022. All references in this Quarterly Report to “Tenax Therapeutics,” “Tenax,” “we,” “our” and “us” means Tenax Therapeutics, Inc.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or the Securities Act, and Section 21E of the Securities Exchange Act of 1934, as amended, or the Exchange Act, which are subject to the “safe harbor” created by those sections. Forward-looking statements are based on our management’s beliefs and assumptions and on information currently available to them. In some cases you can identify forward-looking statements by words such as “might,” “may,” “will,” “should,” “could,” “would,” “expects,” “plans,” “anticipates,” “believes,” “estimates,” “projects,” “predicts,” “potential” and similar expressions intended to identify forward-looking statements. These statements reflect our current view with respect to future events and are subject to risks, uncertainties and assumptions related to various factors that could cause actual results and the timing of events to differ materially from future results expressed or implied by such forward-looking statements. Factors that could cause or contribute to such differences include, but are not limited to, those discussed in the section titled “Risk Factors” included in our most recent Annual Report on Form 10-K filed with the SEC. Furthermore, such forward-looking statements speak only as of this Quarterly Report on Form 10-Q. Except as required by law, we undertake no obligation to update any forward-looking statements to reflect events or circumstances after the date of such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Tenax was originally formed as a New Jersey corporation in 1967 under the name Rudmer, David &amp; Associates, Inc., and subsequently changed its name to Synthetic Blood International, Inc. Effective June 30, 2008, we changed the domiciliary state of the corporation to Delaware and changed the Company name to Oxygen Biotherapeutics, Inc. On September 19, 2014, we changed the Company name to Tenax Therapeutics, Inc.</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November 13, 2013, we acquired a license granting Life Newco Inc., our wholly-owned subsidiary, an exclusive, sublicensable right to develop and commercialize pharmaceutical products containing levosimendan, 2.5 mg/ml concentrate for solution for infusion / 5ml vial in the United States and Canada. On October 9, 2020 and January 25, 2022, we entered into amendments to the license to include two product dose forms containing levosimendan, in capsule and solid dosage form, and a subcutaneously administered product containing levosimendan, subject to specified limitations.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15, 2021, we acquired 100% of the equity of PHPrecisionMed Inc., a Delaware corporation, or PHPM, with PHPM surviving as our wholly-owned subsidiary. As a result of the merger, we plan to develop and commercialize pharmaceutical products containing imatinib for the treatment of pulmonary arterial hypertension, or PAH.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Having carefully considered alternatives within the ongoing strategic process announced in September 2022, and having raised capital to fund the Company through to the first quarter of 2024, the Company has elected to prioritize its LEVEL trial (Phase 3 testing of oral levosimendan to treat pulmonary hypertension and heart failure with preserved ejection fraction (PH-HFpEF)), ahead of imatinib. Activity to initiate the LEVEL trial continued in the third quarter of 2023, and site qualification and selection processes are ongoing, the Company having received FDA input into the oral levosimendan protocol and clinical development program in the third quarter of 2023. The Company plans to begin initiating sites in the fourth quarter of 2023 and enrolling patients early in 2024. Additional funding will be needed to complete the LEVEL trial. Supporting the strategic decision to prioritize levosimendan were two U.S. Patents issued in March and July 2023, covering the use of IV and oral levosimendan in patients with PH-HFpEF. These patents are the second and third levosimendan patents granted to Tenax since the start of 2022. This prioritization of the Phase 3 testing of levosimendan places the start of a Phase 3 imatinib trial outside the 2023 timeframe, pending strategic considerations.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took steps to reduce its monthly operating expenses and conserve cash, as it commenced exploring strategic alternatives in late 2022. The Company at that time cancelled many non-essential operating expenses such as its office lease, and dues and subscriptions and office supplies associated with that leased office. During the third quarter of 2023, the Company and its contracted clinical research organization (CRO) increased outreach to North American clinical trial sites, Institutional Review Boards, and other partners who will support the LEVEL trial, resulting in an increase in R&amp;D expenses in the third quarter of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Pending the outcome of our ongoing strategic process, key elements of our business strategy are outlined below.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Efficiently conduct clinical development to establish clinical proof of principle in new indications, refine formulation, and commence Phase 3 testing of our current product candidates.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Levosimendan and imatinib have been approved and prescribed in countries around the world for more than 20 years, but we believe their mechanisms of action have not been fully exploited, despite promising evidence they may significantly improve the lives of patients with pulmonary hypertension. We are</w:t>
      </w:r>
    </w:p>
    <w:p>
      <w:pPr>
        <w:sectPr>
          <w:pgSz w:w="11900" w:h="16838" w:orient="portrait"/>
          <w:cols w:equalWidth="0" w:num="1">
            <w:col w:w="11240"/>
          </w:cols>
          <w:pgMar w:left="320" w:top="337" w:right="339" w:bottom="0" w:gutter="0" w:footer="0" w:header="0"/>
        </w:sectPr>
      </w:pPr>
    </w:p>
    <w:bookmarkStart w:id="12" w:name="page13"/>
    <w:bookmarkEnd w:id="12"/>
    <w:p>
      <w:pPr>
        <w:jc w:val="both"/>
        <w:spacing w:after="0" w:line="269" w:lineRule="auto"/>
        <w:rPr>
          <w:sz w:val="20"/>
          <w:szCs w:val="20"/>
          <w:color w:val="auto"/>
        </w:rPr>
      </w:pPr>
      <w:r>
        <w:rPr>
          <w:rFonts w:ascii="Arial" w:cs="Arial" w:eastAsia="Arial" w:hAnsi="Arial"/>
          <w:sz w:val="17"/>
          <w:szCs w:val="17"/>
          <w:color w:val="auto"/>
        </w:rPr>
        <w:t>conducting clinical development with the intent to establish proof of beneficial activity in cardiopulmonary diseases in which these therapeutics would be expected to have benefit for patients with diseases for which either no pharmaceutical therapies are approved at all, or in the case of PAH, where numerous, expensive therapies generally offer a modest reduction of symptoms. Our focus is primarily on designing and executing formulation improvements, protecting these innovations with patents and other forms of exclusivity, and employing innovative clinical trial science to establish a robust foundation for subsequent development, product approval, and commercialization. We intend to submit marketing authorization applications following two Phase 3 trials of levosimendan and, when appropriate, a single Phase 3 trial of imatinib. Our trials are designed to incorporate and reflect advanced clinical trial design science and the regulatory and advisory experience of our team. We intend to continue partnering with innovative companies, renowned biostatisticians and trialists, medical leaders, formulation and regulatory experts, and premier clinical testing organizations to help expedite development, and continue expanding into complementary areas when opportunities arise through our development, research, and discoveries. We also intend to continue outsourcing when designing and executing our research.</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Efficiently explore new high-potential therapeutic applications, in particular where expedited regulatory pathways are available, leveraging third-party research collaborations and our results from related areas</w:t>
      </w:r>
      <w:r>
        <w:rPr>
          <w:rFonts w:ascii="Arial" w:cs="Arial" w:eastAsia="Arial" w:hAnsi="Arial"/>
          <w:sz w:val="18"/>
          <w:szCs w:val="18"/>
          <w:color w:val="auto"/>
        </w:rPr>
        <w:t>.</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Levosimendan has shown promise in multiple disease areas in the two decades following its approval. Our own Phase 2 study and open-label extension has demonstrated that a formerly under-appreciated mechanism of action of levosimendan, its property of relaxing the venous circulation, brings about durable improvements in exercise capacity and quality of life, as well as other clinical assessments, in patients with heart failure with PH-HFpEF. We believe this patient population today has no pharmaceutical therapies available and we are committed to exploring potential clinical indications where our therapies may achieve best-in-class profile, and where we can address significant unmet medical needs.</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believe these factors will support approval by the FDA of these product candidates based on positive Phase 3 data. Through our agreement with our licensor, Orion, the originator of levosimendan for acute decompensated heart failure, we have access to a library of ongoing and completed trials and research projects, including certain documentation, which we believe, in combination with positive Phase 3 data we hope to generate in at least one indication, will support FDA approval of levosimendan. Likewise, the regulatory pathway for approval of imatinib for the treatment of PAH, as formulated by Tenax Therapeutics at the dose shown to be effective in a prior Phase 3 trial conducted by Novartis, allows Tenax to build on the dossier of research results already reviewed by the FDA. In order to achieve our objectives of developing these medicines for new groups of patients, we have established collaborative research relationships with investigators from leading research and clinical institutions, and our strategic partners. These collaborative relationships have enabled us to explore where our product candidates may have therapeutic relevance, gain the advice and support of key opinion leaders in medicine and clinical trial science, and invest in development efforts to exploit opportunities to advance beyond current clinical care.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Continue to expand our intellectual property portfolio.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intellectual property, and the confidentiality of all our Company information, is important to our business and we take significant steps to help protect its value. Our research and development efforts, both through internal activities and through collaborative research activities with others, aim to develop new intellectual property and enable us to file patent applications that cover new applications of our existing technologies, alone or in combination with existing therapies, as well as other product candidates.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Notice of Allowance and Patent</w:t>
      </w:r>
    </w:p>
    <w:p>
      <w:pPr>
        <w:spacing w:after="0" w:line="225"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On February 1, 2023, the Company announced it was granted a Notice of Allowance from the United States Patent and Trademark Office (USPTO) for its patent application with claims covering the use of IV levosimendan (TNX-101) in the treatment of PH-HFpEF. This patent (U.S. Patent No. 11,607,412) was issued on March 21, 2023. On July 19, 2023, the Company announced USPTO issuance of another patent, this one including claims covering the use of oral levosimendan (TNX-103) in patients with PH-HFpEF. This issued patent (U.S. Patent No. 11,701,355) provides exclusivity through December 2040. At present, Tenax Therapeutics has other patent applications pending, with additional decisions expected beyond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Enter into licensing or product co-development arrangements.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our internal development efforts, an important part of our product development strategy is to work with collaborators and partners to accelerate product development, maintain our low development and business operations costs, and broaden our commercialization capabilities globally. We believe this strategy will help us to develop a portfolio of high-quality product development opportunities, enhance our clinical development and commercialization capabilities, and increase our ability to generate value from our proprietary technologies.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we focus on our strategic process, we also continue to position ourselves to execute upon licensing and other partnering opportunities. To do so, we will need to continue to maintain our strategic direction, manage and deploy our available cash efficiently and strengthen our collaborative research development and partner relationships.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Historically, we have financed our operations principally through equity and debt offerings, including private placements and loans from our stockholders. Based on our current operating plan, there is substantial doubt about our ability to continue as a going concern. Management has implemented certain cost-cutting measures as described above and is actively exploring a diverse range of strategic options to help drive stockholder value including, among other things, capital raises, a sale of our Company, merger, one or more license agreements, a co-development agreement, a combination of these, or other strategic transactions; however, there is no assurance that these efforts will result in a transaction or other alternative or that any additional funding will be available. Our ability to continue as a going concern depends on our ability to raise additional capital, through the sale of equity or debt securities and through collaboration and licensing agreements, to support our future operations. If we are unable to complete a strategic transaction or secure additional capital, we may be required to curtail our research and development initiatives and take additional measures to reduce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COVID-19 pandemic or similar epidemics as well as other societal/healthcare disruptions could in the future, directly or indirectly, adversely impact our ability to recruit and retain patients and principal investigators and site staff who, as healthcare providers, may have heightened exposure to or impact of such illnesses, which could negatively impact our trials, increase our operating expenses, and have a material adverse effect on our financial results. In</w:t>
      </w:r>
    </w:p>
    <w:p>
      <w:pPr>
        <w:sectPr>
          <w:pgSz w:w="11900" w:h="16838" w:orient="portrait"/>
          <w:cols w:equalWidth="0" w:num="1">
            <w:col w:w="11240"/>
          </w:cols>
          <w:pgMar w:left="320" w:top="125" w:right="339" w:bottom="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May 2023, the World Health Organization declared that COVID-19 was no longer a global health emergency, however, any lingering impact or resurgence of COVID-19 cannot be estimated. We will continue to assess the potential impact of the COVID-19 pandemic on our business and operations, including our clinical operations and manufacturing activities.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Financial Overview – Three Months Ended September 30, 2023</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Increase/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Increase/</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(Decrease)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210"/>
        </w:trPr>
        <w:tc>
          <w:tcPr>
            <w:tcW w:w="594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1,051,524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1,377,283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(325,759)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7"/>
              </w:rPr>
              <w:t>1,065,855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7"/>
              </w:rPr>
              <w:t>1,540,205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(474,350)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2,117,379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2,917,488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(800,109)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were $1.0 million for the three months ended September 30, 2023, compared to $1.4 million for the same period in 2022. 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and other professional and consulting services. General and administrative expenses and percentage changes for the three months ended September 30, 2023 and 2022, respectively,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Increase/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(Decrease)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439,622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489,369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(49,747)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412,121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668,172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(256,051)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196,820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180,390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16,430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Facilities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(36,391)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1,051,524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1,377,283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(325,759)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Personnel costs decreased approximately $50,000 for the three months ended September 30, 2023, compared to the same period in the prior year. The change was primarily due to decreased employment related costs due to lower headcount in the current period compared to the same period in the prior year.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Legal and professional fees decreased approximately $256,000 for the three months ended September 30, 2023, compared to the same period in the prior year. Professional fees consist of the costs incurred for accounting fees, capital market expenses, consulting fees and investor relations services, as well as fees paid to the members of our Board of Directors.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Legal fees decreased approximately $24,000 for the three months ended September 30, 2023, compared to the same period in the prior year. The change was primarily due to decreased legal fees associated with general corporate matters, fundraising activities and IP costs that were incurred during the same period in the prior year.</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Professional fees decreased approximately $232,000 for the three months ended September 30, 2023, compared to the same period in the prior year. The change was primarily attributable to decreased capital market expenses and consulting expenses offset by increases in accounting costs.</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costs increased approximately $16,000 for the three months ended September 30, 2023, compared to the same period in the prior year. Other costs include expenses incurred for franchise and other taxes, travel, supplies, insurance, depreciation and other miscellaneous charges. The change was primarily attributable to increased costs for insurance and general office supplies offset by decreases in dues, franchise and other taxes and banking fees.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Facilities costs include costs paid for rent and utilities at our corporate headquarters in North Carolina. Facilities costs decreased approximately $36,000 for the three months ended September 30, 2023, compared to the same period in the prior year. The decrease is the result of the Company’s relocation to new shared office space resulting in lower rent costs.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Research and development expenses were approximately $1.1 million for the three months ended September 30, 2023, compared to $1.5 million for the same period in the prior year. Research and development expenses include, but are not limited to, (i) expenses incurred under agreements with CROs and investigative sites, which conduct our clinical trials and a substantial portion of our pre-clinical studies; (ii) the cost of supplying clinical trial materials;</w:t>
      </w:r>
    </w:p>
    <w:p>
      <w:pPr>
        <w:spacing w:after="0" w:line="2"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payments to contract service organizations, as well as consultants; (iv) employee-related expenses, which include salaries and benefits; and</w:t>
      </w:r>
    </w:p>
    <w:p>
      <w:pPr>
        <w:spacing w:after="0" w:line="20" w:lineRule="exact"/>
        <w:rPr>
          <w:rFonts w:ascii="Arial" w:cs="Arial" w:eastAsia="Arial" w:hAnsi="Arial"/>
          <w:sz w:val="17"/>
          <w:szCs w:val="17"/>
          <w:color w:val="auto"/>
        </w:rPr>
      </w:pPr>
    </w:p>
    <w:p>
      <w:pPr>
        <w:jc w:val="both"/>
        <w:ind w:firstLine="8"/>
        <w:spacing w:after="0" w:line="302" w:lineRule="auto"/>
        <w:tabs>
          <w:tab w:leader="none" w:pos="263" w:val="left"/>
        </w:tabs>
        <w:numPr>
          <w:ilvl w:val="0"/>
          <w:numId w:val="7"/>
        </w:numPr>
        <w:rPr>
          <w:rFonts w:ascii="Arial" w:cs="Arial" w:eastAsia="Arial" w:hAnsi="Arial"/>
          <w:sz w:val="16"/>
          <w:szCs w:val="16"/>
          <w:color w:val="auto"/>
        </w:rPr>
      </w:pPr>
      <w:r>
        <w:rPr>
          <w:rFonts w:ascii="Arial" w:cs="Arial" w:eastAsia="Arial" w:hAnsi="Arial"/>
          <w:sz w:val="16"/>
          <w:szCs w:val="16"/>
          <w:color w:val="auto"/>
        </w:rPr>
        <w:t>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three months ended September 30, 2023 and 2022, respectively, are as follows:</w:t>
      </w:r>
    </w:p>
    <w:p>
      <w:pPr>
        <w:sectPr>
          <w:pgSz w:w="11900" w:h="16838" w:orient="portrait"/>
          <w:cols w:equalWidth="0" w:num="1">
            <w:col w:w="11240"/>
          </w:cols>
          <w:pgMar w:left="320" w:top="125" w:right="339" w:bottom="0" w:gutter="0" w:footer="0" w:header="0"/>
        </w:sectPr>
      </w:pPr>
    </w:p>
    <w:bookmarkStart w:id="14" w:name="page15"/>
    <w:bookmarkEnd w:id="14"/>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Increase/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(Decrease)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(Decrease)</w:t>
            </w:r>
          </w:p>
        </w:tc>
      </w:tr>
      <w:tr>
        <w:trPr>
          <w:trHeight w:val="209"/>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Clinical and preclinical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978,767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1,376,795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(398,028)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Personnel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71,898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146,685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(74,787)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24"/>
        </w:trPr>
        <w:tc>
          <w:tcPr>
            <w:tcW w:w="59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1,065,855</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1,540,205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(474,350)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w:t>
            </w:r>
          </w:p>
        </w:tc>
      </w:tr>
    </w:tbl>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Clinical and preclinical development costs decreased approximately $398,000 for the three months ended September 30, 2023 compared to the same period in the prior year. Clinical and preclinical development costs for the three months ended September 30, 2023 consist of start-up costs related to the LEVEL trial, compared with costs for the three months ended September 30, 2022 associated with our imatinib Phase 1 Pharmacokinetics Study, imatinib Phase 3 IMPROVE Study, and development costs associated with the formulation for imatinib. The decrease is primarily attributable to lower Phase 1 and Phase 3 costs for imatinib, since the Company paused clinical development activities for this product candidate in 2022, offset by increased LEVEL trial costs in the third quarter of 2023.</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Personnel costs decreased approximately $75,000 for the three months ended September 30, 2023, compared to the same period in the prior year, primarily attributable to the timing of general employment costs.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costs decreased approximately $1,500 for the three months ended September 30, 2023, compared to the same period in the prior year, primarily attributable to decreased regulatory consulting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and expense include non-operating income and expense items not otherwise recorded in our consolidated statement of comprehensive loss. These items include but are not limited to interest income earned and fixed asset disposals. Interest expense increased approximately $4,965 for the three months ended September 30, 2023, compared to the same period in the prior year. The change is due primarily to interest expense paid on the premium finance note agreement (the “Note”) with AFCO Credit Corporation. Other income increased approximately $149,000 primarily related to interest income on cash deposits as a result of the February 2023 offering.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Financial Overview – Nine Months Ended September 30, 2023</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24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Increase/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Increase/</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(Decrease)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210"/>
        </w:trPr>
        <w:tc>
          <w:tcPr>
            <w:tcW w:w="594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3,363,511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4,255,454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(891,943)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7"/>
              </w:rPr>
              <w:t>1,529,493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7"/>
              </w:rPr>
              <w:t>4,242,565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(2,713,072)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4,893,004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8,498,019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(3,605,015)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were $3.3 million for the nine months ended September 30, 2023, compared to $4.3 million for the same period in 2022. 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and other professional and consulting services. General and administrative expenses and percentage changes for the nine months ended September 30, 2023 and 2022, respectively,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Nine months ended</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Increase/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(Decrease)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1,446,549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1,617,284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(170,735)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1,299,021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1,918,403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(619,382)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592,174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606,538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(14,364)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Facilities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25,767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113,229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(87,462)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3,363,511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4,255,454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(891,943)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Personnel costs decreased approximately $171,000 for the nine months ended September 30, 2023, compared to the same period in the prior year. The change was primarily due to decreased employment related costs in the current period compared to the same period in the prior year.</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Legal and professional fees decreased approximately $619,000 for the nine months ended September 30, 2023, compared to the same period in the prior year. Professional fees consist of the costs incurred for accounting fees, capital market expenses, consulting fees and investor relations services, as well as fees paid to the members of our Board of Directors.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Legal fees decreased approximately $335,000 for the nine months ended September 30, 2023, compared to the same period in the prior year. The change was primarily due to decreased legal fees associated with general corporate matters, fundraising activities and IP costs that were incurred during the same period in the prior year.</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Professional fees decreased approximately $284,000 for the nine months ended September 30, 2023, compared to the same period in the prior year. The decrease was primarily attributable to decreased investor relations and consulting fees offset by increases in capital market fees and accounting costs.</w:t>
      </w:r>
    </w:p>
    <w:p>
      <w:pPr>
        <w:sectPr>
          <w:pgSz w:w="11900" w:h="16956" w:orient="portrait"/>
          <w:cols w:equalWidth="0" w:num="1">
            <w:col w:w="11240"/>
          </w:cols>
          <w:pgMar w:left="320" w:top="121" w:right="339" w:bottom="0" w:gutter="0" w:footer="0" w:header="0"/>
        </w:sectPr>
      </w:pPr>
    </w:p>
    <w:bookmarkStart w:id="15" w:name="page16"/>
    <w:bookmarkEnd w:id="15"/>
    <w:p>
      <w:pPr>
        <w:jc w:val="both"/>
        <w:spacing w:after="0" w:line="286" w:lineRule="auto"/>
        <w:rPr>
          <w:sz w:val="20"/>
          <w:szCs w:val="20"/>
          <w:color w:val="auto"/>
        </w:rPr>
      </w:pPr>
      <w:r>
        <w:rPr>
          <w:rFonts w:ascii="Arial" w:cs="Arial" w:eastAsia="Arial" w:hAnsi="Arial"/>
          <w:sz w:val="17"/>
          <w:szCs w:val="17"/>
          <w:color w:val="auto"/>
        </w:rPr>
        <w:t>Other costs decreased approximately $14,000 for the nine months ended September 30, 2023, compared to the same period in the prior year. Other costs include expenses incurred for franchise and other taxes, travel, supplies, insurance, depreciation and other miscellaneous charges. The change was primarily attributable to decreased costs for travel, dues, taxes and general office supplies offset by increased costs for insurance.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Facilities costs include costs paid for rent and utilities at our corporate headquarters in North Carolina. Facilities costs decreased approximately $87,000 for the nine months ended September 30, 2023, compared to the same period in the prior year. The decrease is the result of the Company’s relocation to new shared office space resulting in lower rent costs.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expenses were $1.5 million for the nine months ended September 30, 2023, compared to $4.2 million for the same period in the prior year. Research and development expenses include, but are not limited to, (i) expenses incurred under agreements with CROs and investigative sites, which conduct our clinical trials and a substantial portion of our pre-clinical studies; (ii) the cost of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nine months ended September 30, 2023 and 2022, respectively,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Nine months ended</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Increase/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(Decrease)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Clinical and preclinical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1,119,920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3,751,696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(2,631,776)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Personnel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340,625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466,223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(125,598)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44,302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24"/>
        </w:trPr>
        <w:tc>
          <w:tcPr>
            <w:tcW w:w="59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1,529,493</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4,242,565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(2,713,072)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(64)%</w:t>
            </w:r>
          </w:p>
        </w:tc>
      </w:tr>
    </w:tbl>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Clinical and preclinical development costs decreased approximately $2.6 million for the nine months ended September 30, 2023 compared to the same period in the prior year. Clinical and preclinical development costs for the nine months ended September 30, 2023 consist of start-up costs related to the LEVEL trial, compared to costs incurred in the same period in the prior year related to the Phase 2 HELP Open Label Extension Study for levosimendan, and costs associated with our imatinib Phase 1 Pharmacokinetics Study, imatinib Phase 3 IMPROVE Study, and development costs associated with the formulation for imatinib. The decrease is primarily attributable to lower Phase 1 and Phase 3 costs for imatinib, since the Company paused clinical development activities for this product candidate in 2022, offset by increased LEVEL trial costs in the third quarter of 2023.</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Personnel costs decreased approximately $126,000 for the nine months ended September 30, 2023, compared to the same period in the prior year, primarily attributable to the timing of general employment costs.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costs increased approximately $44,000 for the nine months ended September 30, 2023, compared to the same period in the prior year, primarily attributable to increased regulatory consulting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and expense include non-operating income and expense items not otherwise recorded in our consolidated statement of comprehensive loss. These items include but are not limited to interest income earned and fixed asset disposals. Interest expense increased approximately $17,000 for the nine months ended September 30, 2023, compared to the same period in the prior year. This increase is due primarily to interest expense paid on the Note. Other income increased $426,000 primarily related to an earned license fee and interest income earned on higher cash balances resulting from our securities offering offset, offset by the lease loss of $140,000.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Plan of Operation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incurred losses since our inception and, as of September 30, 2023, we had an accumulated deficit of approximately $294.0 million. We will continue to incur losses until we generate sufficient revenue to offset our expenses, and we anticipate we will continue to incur net losses for at least the next several years. We expect to incur additional expenses related to our development and potential commercialization of levosimendan in the LEVEL trial and imatinib for pulmonary hypertension and other potential indications, as well as identifying and developing other potential product candidates, and as a result, we will need to generate significant net product sales, royalty and other revenues to achieve profitability.</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two product candidates, levosimendan and imatinib, and have prioritized levosimendan in the short-term; however, we will need substantial additional capital in the future in order to complete the development and potential commercialization of levosimendan and imatinib, and to continue with the development of other potential product candidates.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ectPr>
          <w:pgSz w:w="11900" w:h="16838" w:orient="portrait"/>
          <w:cols w:equalWidth="0" w:num="1">
            <w:col w:w="11240"/>
          </w:cols>
          <w:pgMar w:left="320" w:top="341" w:right="339" w:bottom="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financed our operations since September 1990 through the issuance of debt and equity securities and loans from stockholders. We had total current assets of approximately $11.9 million and $3.2 million and working capital of approximately $11.3 million and $1.4 million as of September 30, 2023 and December 31, 2022, respectively. Our practice is to invest excess cash, where available, in short-term money market investment instruments and high quality corporate and government bonds.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and Preclinical Product Development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completed the open label extension phase of the levosimendan HELP clinical trial, during which patients were transitioned from an intravenous to oral formulation of levosimendan for the treatment of pulmonary hypertension. In the third quarter of 2023, we also began site qualification and selection processes for the LEVEL trial. Our ability to continue to pursue development of our products beyond the first quarter of calendar year 2024, including completing the LEVEL trial, will depend on obtaining license income or outside financial resources. There is no assurance that we will obtain any license agreement or outside financing or that we will otherwise succeed in obtaining any necessary resources.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COVID-19 pandemic or a similar epidemic could in the future, directly or indirectly, adversely affect our ability to recruit and retain patients and principal investigators and site staff who, as healthcare providers, may have heightened exposure to or impact from respiratory illnesses or other similar widespread infections if an outbreak occurs in their geography. Further, some patients may be unable to comply with clinical trial protocols if quarantines or travel restrictions impede patient movement or interrupt healthcare services, or if the patients become infected with COVID-19 or a similar disease themselves, which would delay our ability to complete our clinical trials or release clinical trial results.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3, 2023, we sold in a registered public offering (i) an aggregate of 6,959,444 shares of our common stock and pre-funded warrants to purchase an aggregate of 1,707,222 shares of our common stock and (ii) accompanying warrants to purchase up to an aggregate of 17,333,332 shares of our common stock at a combined offering price of $1.80 per share of common stock and associated warrant, or $1.799 per pre-funded warrant and associated warrant, resulting in gross proceeds to the Company of approximately $15.6 million. Net proceeds of the offering were approximately $13.6 million, after deducting the placement agent fees and offering expenses payable by the Company.</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17, 2022, we sold 529,802 units in a private placement at a purchase price of $15.50 per unit for net proceeds of approximately $7.9 million. Each unit consisted of one unregistered pre-funded warrant to purchase one share of our common stock and one unregistered warrant to purchase one share of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21" w:lineRule="exact"/>
        <w:rPr>
          <w:sz w:val="20"/>
          <w:szCs w:val="20"/>
          <w:color w:val="auto"/>
        </w:rPr>
      </w:pPr>
    </w:p>
    <w:p>
      <w:pPr>
        <w:jc w:val="center"/>
        <w:ind w:left="72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72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5715</wp:posOffset>
            </wp:positionV>
            <wp:extent cx="13201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ind w:left="8520"/>
        <w:spacing w:after="0"/>
        <w:tabs>
          <w:tab w:leader="none" w:pos="962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43" w:lineRule="exact"/>
        <w:rPr>
          <w:sz w:val="20"/>
          <w:szCs w:val="20"/>
          <w:color w:val="auto"/>
        </w:rPr>
      </w:pPr>
    </w:p>
    <w:tbl>
      <w:tblPr>
        <w:tblLayout w:type="fixed"/>
        <w:tblInd w:w="860" w:type="dxa"/>
        <w:tblCellMar>
          <w:top w:w="0" w:type="dxa"/>
          <w:left w:w="0" w:type="dxa"/>
          <w:bottom w:w="0" w:type="dxa"/>
          <w:right w:w="0" w:type="dxa"/>
        </w:tblCellMar>
      </w:tblPr>
      <w:tr>
        <w:trPr>
          <w:trHeight w:val="20"/>
        </w:trPr>
        <w:tc>
          <w:tcPr>
            <w:tcW w:w="5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5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(used in) operating activities</w:t>
            </w:r>
          </w:p>
        </w:tc>
        <w:tc>
          <w:tcPr>
            <w:tcW w:w="18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w w:val="91"/>
              </w:rPr>
              <w:t>$ (4,728,992)</w:t>
            </w:r>
          </w:p>
        </w:tc>
        <w:tc>
          <w:tcPr>
            <w:tcW w:w="110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w w:val="97"/>
              </w:rPr>
              <w:t>$ (9,699,791)</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2,843</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(6,323)</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13,743,603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7,928,591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Net cash used in operating activities was approximately $4.7 million for the nine months ended September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approximately $9.7 million for the nine months ended September 30, 2022. The decrease in cash used for operating activities was primarily due to lower expense activity in the current period as compared to the prior year.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Net cash provided by (used in) investing activities</w:t>
      </w:r>
      <w:r>
        <w:rPr>
          <w:rFonts w:ascii="Arial" w:cs="Arial" w:eastAsia="Arial" w:hAnsi="Arial"/>
          <w:sz w:val="16"/>
          <w:szCs w:val="16"/>
          <w:color w:val="auto"/>
        </w:rPr>
        <w:t>. Net cash provided by investing activities was approximately $2,843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2023, compared to net cash used in investing activities of approximately $6,300 in the nine months ended September 30, 2022. The increase in cash provided by investing activities was primarily due to the sale of office furniture related to the relocation of the Company’s headquarters.</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Net cash provided by financing activities</w:t>
      </w:r>
      <w:r>
        <w:rPr>
          <w:rFonts w:ascii="Arial" w:cs="Arial" w:eastAsia="Arial" w:hAnsi="Arial"/>
          <w:sz w:val="17"/>
          <w:szCs w:val="17"/>
          <w:color w:val="auto"/>
        </w:rPr>
        <w:t>. Net cash provided by financing activities was approximately $14.0 million for the nine months ended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30, 2023, compared to approximately $8.0 million in the nine months ended September 30, 2022. The increase in cash provided by financing activities was due to the net proceeds from the February 3, 2023 sale of common stock and warrants and the exercise of warrants.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and Capital Expenditure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that include, but are not limited to the following:</w:t>
      </w:r>
    </w:p>
    <w:p>
      <w:pPr>
        <w:spacing w:after="0" w:line="225" w:lineRule="exact"/>
        <w:rPr>
          <w:sz w:val="20"/>
          <w:szCs w:val="20"/>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initiation, progress, timing and completion of clinical trials for our product candidates and potential product candidates;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 and the regulatory approval process;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product candidates we pursue;</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terms of future collaboration, licensing, consulting or other arrangements that we may enter into;</w:t>
      </w:r>
    </w:p>
    <w:p>
      <w:pPr>
        <w:sectPr>
          <w:pgSz w:w="11900" w:h="16838" w:orient="portrait"/>
          <w:cols w:equalWidth="0" w:num="1">
            <w:col w:w="11240"/>
          </w:cols>
          <w:pgMar w:left="320" w:top="125" w:right="339" w:bottom="0" w:gutter="0" w:footer="0" w:header="0"/>
        </w:sectPr>
      </w:pPr>
    </w:p>
    <w:bookmarkStart w:id="17" w:name="page18"/>
    <w:bookmarkEnd w:id="17"/>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manufacturing and distribution capabilities;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procuring clinical and commercial supplies of our product candidates;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that may be caused by the global coronavirus pandemic or similar global societal disruptions; and</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possible costs of litigation.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working capital on September 30, 2023, we believe we have sufficient capital on hand to continue to fund operations through to the first quarter of calendar year 2024.</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will need substantial additional capital beyond the first quarter of calendar year 2024 assuming ongoing preparation, planning activities, and other outsourced activities associated with the LEVEL trial continue at the expected pace. In addition, we will need additional funding in the future in order to complete enrollment and treatment of patients in the LEVEL trial, complete the regulatory approval and commercialization of levosimendan, as well as to fund the development and commercialization of other future product candidates. Until we can generate a sufficient amount of product revenue, if ever, we expect to finance future cash needs through public or private equity offerings, debt financings or corporate collaboration and licensing arrangements. Such funding, if needed, may not be available on favorable terms, if at all. In the event we are unable to obtain additional capital, we may delay or reduce the scope of our current research and development programs and other expenses. As a result of our historical operating losses and expected future negative cash flows from operations, we have concluded that there is substantial doubt about our ability to continue as a going concern. Similarly, the report of our independent registered public accounting firm on our December 31, 2022 consolidated financial statements include an explanatory paragraph indicating that there is substantial doubt about our ability to continue as a going concern. Substantial doubt about our ability to continue as a going concern may materially and adversely affect the price per share of our common stock and make it more difficult to obtain financing.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adequate funds are not available, we may also be required to eliminate one or more of our clinical trials, delaying approval of levosimendan or our commercialization efforts. 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grant licenses on terms that may not be favorable to us. We may seek to access the public or private capital markets whenever conditions are favorable, even if we do not have an immediate need for additional capital at that time. We may also consider strategic alternatives, including a sale of our company, merger, other business combination or recapitalization.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unaudited condensed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For information regarding our critical accounting policies and estimates, please refer to “Management’s Discussion and Analysis of Financial Condition and Results of Operations—Summary of Critical Accounting Policies” contained in our Annual Report on Form 10-K for the year ended December 31, 2022 and Note 2 to our unaudited condensed consolidated financial statements included in Part I, Item 1 of this Quarterly Report on Form 10-Q.</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Smaller reporting companies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paragraph (b) of Rules 13a-15 and 15d-15 promulgated under the Exchange Act, under the supervision and with the participation of our management, including our President and Chief Executive Officer and our Interim Chief Financial Officer, we conducted an evaluation as of the end of the period covered by this Quarterly Report on Form 10-Q, of the effectiveness of our disclosure controls and procedures as defined in Exchange Act Rules 13a-15(e) and 15d-15(e).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ectPr>
          <w:pgSz w:w="11900" w:h="16838" w:orient="portrait"/>
          <w:cols w:equalWidth="0" w:num="1">
            <w:col w:w="11240"/>
          </w:cols>
          <w:pgMar w:left="320" w:top="341" w:right="339" w:bottom="135"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Based on their evaluation, our President and Chief Executive Officer and Interim Chief Financial Officer concluded that our disclosure controls and procedures were effective as of September 30, 2023, the end of the period covered by this Quarterly Report on Form 10-Q,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President and Chief Executive Officer and Interim Chief Financial Officer, as appropriate to allow timely decisions regarding required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were no changes in our internal control over financial reporting during our most recently completed fiscal quarter that have materially affected, or are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most recently completed fiscal quarter, management reviewed all work generated in support of the financial statements and corresponding footnotes in order to determine areas which may be susceptible to human error. The review focused on limiting manual inputs into work papers wherever possible and tying inputs to external source documents. In addition, management also enhanced its work paper review to compare figures to prior year amounts or source documents and increased the number of calculations in the work papers that are reviewed and re-performed.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pending legal proceedings to which we are a party or to which any of our property is subject.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risks we face have not materially changed from those disclosed in our Annual Report on Form 10-K for the year ended December 31, 2022.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being filed or furnished as part of this Quarterly Report on Form 10-Q and are numbered in accordance with Item 601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Regulation S-K: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0120" w:type="dxa"/>
            <w:vAlign w:val="bottom"/>
            <w:gridSpan w:val="8"/>
            <w:vMerge w:val="restart"/>
          </w:tcPr>
          <w:p>
            <w:pPr>
              <w:ind w:left="2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26"/>
        </w:trPr>
        <w:tc>
          <w:tcPr>
            <w:tcW w:w="11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Number</w:t>
            </w:r>
          </w:p>
        </w:tc>
        <w:tc>
          <w:tcPr>
            <w:tcW w:w="101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tcBorders>
              <w:bottom w:val="single" w:sz="8" w:color="auto"/>
            </w:tcBorders>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CEEFF"/>
          </w:tcPr>
          <w:p>
            <w:pPr>
              <w:spacing w:after="0" w:line="176" w:lineRule="exact"/>
              <w:rPr>
                <w:rFonts w:ascii="Arial" w:cs="Arial" w:eastAsia="Arial" w:hAnsi="Arial"/>
                <w:sz w:val="18"/>
                <w:szCs w:val="18"/>
                <w:color w:val="0000EE"/>
                <w:w w:val="87"/>
              </w:rPr>
            </w:pPr>
            <w:hyperlink r:id="rId4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900" w:type="dxa"/>
            <w:vAlign w:val="bottom"/>
            <w:gridSpan w:val="7"/>
            <w:shd w:val="clear" w:color="auto" w:fill="CCEEFF"/>
          </w:tcPr>
          <w:p>
            <w:pPr>
              <w:spacing w:after="0" w:line="176" w:lineRule="exact"/>
              <w:rPr>
                <w:rFonts w:ascii="Arial" w:cs="Arial" w:eastAsia="Arial" w:hAnsi="Arial"/>
                <w:sz w:val="18"/>
                <w:szCs w:val="18"/>
                <w:color w:val="0000EE"/>
                <w:w w:val="90"/>
              </w:rPr>
            </w:pPr>
            <w:hyperlink r:id="rId45">
              <w:r>
                <w:rPr>
                  <w:rFonts w:ascii="Arial" w:cs="Arial" w:eastAsia="Arial" w:hAnsi="Arial"/>
                  <w:sz w:val="18"/>
                  <w:szCs w:val="18"/>
                  <w:color w:val="0000EE"/>
                  <w:w w:val="90"/>
                </w:rPr>
                <w:t>Fourth Amended and Restated Bylaws of Tenax Therapeutics, Inc. (incorporated herein by reference to Exhibit 3.1 to our Current Report</w:t>
              </w:r>
            </w:hyperlink>
          </w:p>
        </w:tc>
        <w:tc>
          <w:tcPr>
            <w:tcW w:w="0" w:type="dxa"/>
            <w:vAlign w:val="bottom"/>
          </w:tcPr>
          <w:p>
            <w:pPr>
              <w:spacing w:after="0"/>
              <w:rPr>
                <w:sz w:val="1"/>
                <w:szCs w:val="1"/>
                <w:color w:val="auto"/>
              </w:rPr>
            </w:pPr>
          </w:p>
        </w:tc>
      </w:tr>
      <w:tr>
        <w:trPr>
          <w:trHeight w:val="217"/>
        </w:trPr>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900" w:type="dxa"/>
            <w:vAlign w:val="bottom"/>
            <w:tcBorders>
              <w:top w:val="single" w:sz="8" w:color="0000EE"/>
              <w:bottom w:val="single" w:sz="8" w:color="0000EE"/>
            </w:tcBorders>
            <w:gridSpan w:val="3"/>
            <w:shd w:val="clear" w:color="auto" w:fill="CCEEFF"/>
          </w:tcPr>
          <w:p>
            <w:pPr>
              <w:spacing w:after="0" w:line="19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on Form 8-K filed with the SEC on August 15, 2023).</w:t>
              </w:r>
            </w:hyperlink>
          </w:p>
        </w:tc>
        <w:tc>
          <w:tcPr>
            <w:tcW w:w="598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0" w:type="dxa"/>
            <w:vAlign w:val="bottom"/>
            <w:gridSpan w:val="3"/>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620" w:type="dxa"/>
            <w:vAlign w:val="bottom"/>
          </w:tcPr>
          <w:p>
            <w:pPr>
              <w:spacing w:after="0"/>
              <w:rPr>
                <w:sz w:val="15"/>
                <w:szCs w:val="15"/>
                <w:color w:val="auto"/>
              </w:rPr>
            </w:pPr>
          </w:p>
        </w:tc>
        <w:tc>
          <w:tcPr>
            <w:tcW w:w="10120" w:type="dxa"/>
            <w:vAlign w:val="bottom"/>
            <w:gridSpan w:val="8"/>
          </w:tcPr>
          <w:p>
            <w:pPr>
              <w:ind w:left="220"/>
              <w:spacing w:after="0" w:line="176" w:lineRule="exact"/>
              <w:rPr>
                <w:sz w:val="20"/>
                <w:szCs w:val="20"/>
                <w:color w:val="auto"/>
              </w:rPr>
            </w:pPr>
            <w:r>
              <w:rPr>
                <w:rFonts w:ascii="Arial" w:cs="Arial" w:eastAsia="Arial" w:hAnsi="Arial"/>
                <w:sz w:val="18"/>
                <w:szCs w:val="18"/>
                <w:color w:val="0000EE"/>
              </w:rPr>
              <w:t>Certification of President and Chief Executive Officer pursuant to Section 302 of the Sarbanes Oxley Act of 2002.</w:t>
            </w:r>
          </w:p>
        </w:tc>
        <w:tc>
          <w:tcPr>
            <w:tcW w:w="0" w:type="dxa"/>
            <w:vAlign w:val="bottom"/>
          </w:tcPr>
          <w:p>
            <w:pPr>
              <w:spacing w:after="0"/>
              <w:rPr>
                <w:sz w:val="1"/>
                <w:szCs w:val="1"/>
                <w:color w:val="auto"/>
              </w:rPr>
            </w:pPr>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3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9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Certification of Interim Chief Financial Officer pursuant to Section 302 of the Sarbanes Oxley Act of 2002.</w:t>
            </w:r>
          </w:p>
        </w:tc>
        <w:tc>
          <w:tcPr>
            <w:tcW w:w="0" w:type="dxa"/>
            <w:vAlign w:val="bottom"/>
          </w:tcPr>
          <w:p>
            <w:pPr>
              <w:spacing w:after="0"/>
              <w:rPr>
                <w:sz w:val="1"/>
                <w:szCs w:val="1"/>
                <w:color w:val="auto"/>
              </w:rPr>
            </w:pPr>
          </w:p>
        </w:tc>
      </w:tr>
      <w:tr>
        <w:trPr>
          <w:trHeight w:val="20"/>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3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20" w:type="dxa"/>
            <w:vAlign w:val="bottom"/>
            <w:gridSpan w:val="4"/>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10120" w:type="dxa"/>
            <w:vAlign w:val="bottom"/>
            <w:gridSpan w:val="8"/>
          </w:tcPr>
          <w:p>
            <w:pPr>
              <w:ind w:left="220"/>
              <w:spacing w:after="0" w:line="176" w:lineRule="exact"/>
              <w:rPr>
                <w:sz w:val="20"/>
                <w:szCs w:val="20"/>
                <w:color w:val="auto"/>
              </w:rPr>
            </w:pPr>
            <w:r>
              <w:rPr>
                <w:rFonts w:ascii="Arial" w:cs="Arial" w:eastAsia="Arial" w:hAnsi="Arial"/>
                <w:sz w:val="18"/>
                <w:szCs w:val="18"/>
                <w:color w:val="0000EE"/>
                <w:w w:val="93"/>
              </w:rPr>
              <w:t>Certification of President and Chief Executive Officer pursuant to 18 U.S.C. Section 1350, as adopted pursuant to Section 906 of the</w:t>
            </w: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Sarbanes-Oxley Act of 2002.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10120" w:type="dxa"/>
            <w:vAlign w:val="bottom"/>
            <w:gridSpan w:val="8"/>
            <w:shd w:val="clear" w:color="auto" w:fill="CCEEFF"/>
          </w:tcPr>
          <w:p>
            <w:pPr>
              <w:ind w:left="220"/>
              <w:spacing w:after="0" w:line="176" w:lineRule="exact"/>
              <w:rPr>
                <w:sz w:val="20"/>
                <w:szCs w:val="20"/>
                <w:color w:val="auto"/>
              </w:rPr>
            </w:pPr>
            <w:r>
              <w:rPr>
                <w:rFonts w:ascii="Arial" w:cs="Arial" w:eastAsia="Arial" w:hAnsi="Arial"/>
                <w:sz w:val="18"/>
                <w:szCs w:val="18"/>
                <w:color w:val="0000EE"/>
                <w:w w:val="91"/>
              </w:rPr>
              <w:t>Certification of Interim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93"/>
              </w:rPr>
              <w:t>Oxley Act of 2002.</w:t>
            </w:r>
          </w:p>
        </w:tc>
        <w:tc>
          <w:tcPr>
            <w:tcW w:w="850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 w:type="dxa"/>
            <w:vAlign w:val="bottom"/>
            <w:gridSpan w:val="2"/>
          </w:tcPr>
          <w:p>
            <w:pPr>
              <w:spacing w:after="0" w:line="201" w:lineRule="exact"/>
              <w:rPr>
                <w:sz w:val="20"/>
                <w:szCs w:val="20"/>
                <w:color w:val="auto"/>
              </w:rPr>
            </w:pPr>
            <w:r>
              <w:rPr>
                <w:rFonts w:ascii="Arial" w:cs="Arial" w:eastAsia="Arial" w:hAnsi="Arial"/>
                <w:sz w:val="18"/>
                <w:szCs w:val="18"/>
                <w:color w:val="auto"/>
              </w:rPr>
              <w:t>101*</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120" w:type="dxa"/>
            <w:vAlign w:val="bottom"/>
            <w:gridSpan w:val="8"/>
          </w:tcPr>
          <w:p>
            <w:pPr>
              <w:ind w:left="220"/>
              <w:spacing w:after="0" w:line="201" w:lineRule="exact"/>
              <w:rPr>
                <w:sz w:val="20"/>
                <w:szCs w:val="20"/>
                <w:color w:val="auto"/>
              </w:rPr>
            </w:pPr>
            <w:r>
              <w:rPr>
                <w:rFonts w:ascii="Arial" w:cs="Arial" w:eastAsia="Arial" w:hAnsi="Arial"/>
                <w:sz w:val="18"/>
                <w:szCs w:val="18"/>
                <w:color w:val="auto"/>
                <w:w w:val="93"/>
              </w:rPr>
              <w:t>Inline XBRL Document Set for the condensed consolidated financial statements and accompanying notes in Part I, Item 1, “Financial</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20" w:type="dxa"/>
            <w:vAlign w:val="bottom"/>
            <w:gridSpan w:val="8"/>
          </w:tcPr>
          <w:p>
            <w:pPr>
              <w:ind w:left="220"/>
              <w:spacing w:after="0"/>
              <w:rPr>
                <w:sz w:val="20"/>
                <w:szCs w:val="20"/>
                <w:color w:val="auto"/>
              </w:rPr>
            </w:pPr>
            <w:r>
              <w:rPr>
                <w:rFonts w:ascii="Arial" w:cs="Arial" w:eastAsia="Arial" w:hAnsi="Arial"/>
                <w:sz w:val="18"/>
                <w:szCs w:val="18"/>
                <w:color w:val="auto"/>
              </w:rPr>
              <w:t>Statements” of this Quarterly Report on Form 10-Q.</w:t>
            </w:r>
          </w:p>
        </w:tc>
        <w:tc>
          <w:tcPr>
            <w:tcW w:w="0" w:type="dxa"/>
            <w:vAlign w:val="bottom"/>
          </w:tcPr>
          <w:p>
            <w:pPr>
              <w:spacing w:after="0"/>
              <w:rPr>
                <w:sz w:val="1"/>
                <w:szCs w:val="1"/>
                <w:color w:val="auto"/>
              </w:rPr>
            </w:pPr>
          </w:p>
        </w:tc>
      </w:tr>
      <w:tr>
        <w:trPr>
          <w:trHeight w:val="216"/>
        </w:trPr>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120" w:type="dxa"/>
            <w:vAlign w:val="bottom"/>
            <w:gridSpan w:val="8"/>
            <w:shd w:val="clear" w:color="auto" w:fill="CCEEFF"/>
          </w:tcPr>
          <w:p>
            <w:pPr>
              <w:ind w:left="220"/>
              <w:spacing w:after="0"/>
              <w:rPr>
                <w:sz w:val="20"/>
                <w:szCs w:val="20"/>
                <w:color w:val="auto"/>
              </w:rPr>
            </w:pPr>
            <w:r>
              <w:rPr>
                <w:rFonts w:ascii="Arial" w:cs="Arial" w:eastAsia="Arial" w:hAnsi="Arial"/>
                <w:sz w:val="18"/>
                <w:szCs w:val="18"/>
                <w:color w:val="auto"/>
                <w:w w:val="99"/>
              </w:rPr>
              <w:t>Inline XBRL for the cover page of this Quarterly Report on Form 10-Q, included in the Exhibit 101 Inline XBRL Document Set.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 w:firstLine="41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125" w:right="339" w:bottom="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Date: November 13,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TENAX THERAPEUTICS, INC.</w:t>
      </w:r>
    </w:p>
    <w:p>
      <w:pPr>
        <w:spacing w:after="0" w:line="229" w:lineRule="exact"/>
        <w:rPr>
          <w:sz w:val="20"/>
          <w:szCs w:val="20"/>
          <w:color w:val="auto"/>
        </w:rPr>
      </w:pPr>
    </w:p>
    <w:p>
      <w:pPr>
        <w:jc w:val="right"/>
        <w:ind w:right="3079"/>
        <w:spacing w:after="0"/>
        <w:rPr>
          <w:sz w:val="20"/>
          <w:szCs w:val="20"/>
          <w:color w:val="auto"/>
        </w:rPr>
      </w:pPr>
      <w:r>
        <w:rPr>
          <w:rFonts w:ascii="Arial" w:cs="Arial" w:eastAsia="Arial" w:hAnsi="Arial"/>
          <w:sz w:val="18"/>
          <w:szCs w:val="18"/>
          <w:color w:val="auto"/>
        </w:rPr>
        <w:t>By: Eliot M. Lurier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jc w:val="right"/>
        <w:ind w:right="3079"/>
        <w:spacing w:after="0"/>
        <w:rPr>
          <w:sz w:val="20"/>
          <w:szCs w:val="20"/>
          <w:color w:val="auto"/>
        </w:rPr>
      </w:pPr>
      <w:r>
        <w:rPr>
          <w:rFonts w:ascii="Arial" w:cs="Arial" w:eastAsia="Arial" w:hAnsi="Arial"/>
          <w:sz w:val="18"/>
          <w:szCs w:val="18"/>
          <w:color w:val="auto"/>
        </w:rPr>
        <w:t>Eliot M. Lurier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(On behalf of the Registrant and as Principal Financial</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and Accounting Officer)</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T. Giordano, certify that:</w:t>
      </w:r>
    </w:p>
    <w:p>
      <w:pPr>
        <w:spacing w:after="0" w:line="22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Tenax Therapeutics,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00" w:hanging="892"/>
        <w:spacing w:after="0" w:line="34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00" w:hanging="447"/>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2023</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Eliot M. Lurier, certify that:</w:t>
      </w:r>
    </w:p>
    <w:p>
      <w:pPr>
        <w:spacing w:after="0" w:line="22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Tenax Therapeutics,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7"/>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2023</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Eliot M. Lurier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Interim 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906 OF THE SARBANES-OXLEY ACT OF 2002</w:t>
      </w:r>
    </w:p>
    <w:p>
      <w:pPr>
        <w:spacing w:after="0" w:line="21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In connection with the Quarterly Report of Tenax Therapeutics, Inc. (the “Company”) on Form 10-Q for the period ended September 30, 2023 as filed with the Securities and Exchange Commission on the date hereof (the “Report”), I, Christopher T. Giordano, President and Chief Executive Officer (Principal Executive Officer)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920" w:hanging="467"/>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20" w:hanging="467"/>
        <w:spacing w:after="0" w:line="277"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covered by the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2023</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906 OF THE SARBANES-OXLEY ACT OF 2002</w:t>
      </w:r>
    </w:p>
    <w:p>
      <w:pPr>
        <w:spacing w:after="0" w:line="21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In connection with the Quarterly Report of Tenax Therapeutics, Inc. (the “Company”) on Form 10-Q for the period ended September 30, 2023 as filed with the Securities and Exchange Commission on the date hereof (the “Report”), I, Eliot M. Lurier, Interim Chief Financial Officer (Principal Financial and Accounting Officer)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920" w:hanging="467"/>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20" w:hanging="467"/>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covered by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2023</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Eliot M. Lurier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Interim 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lowerRoman"/>
      <w:start w:val="2"/>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lowerRoman"/>
      <w:start w:val="3"/>
    </w:lvl>
  </w:abstractNum>
  <w:abstractNum w:abstractNumId="6">
    <w:nsid w:val="4DB127F8"/>
    <w:multiLevelType w:val="hybridMultilevel"/>
    <w:lvl w:ilvl="0">
      <w:lvlJc w:val="left"/>
      <w:lvlText w:val="(%1)"/>
      <w:numFmt w:val="lowerRoman"/>
      <w:start w:val="5"/>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45" Type="http://schemas.openxmlformats.org/officeDocument/2006/relationships/hyperlink" Target="http://www.sec.gov/Archives/edgar/data/34956/000165495423010854/tenx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2023-11-13T15:44:46Z</dcterms:created>
  <dcterms:modified xsi:type="dcterms:W3CDTF">2023-11-13T15:44:46Z</dcterms:modified>
</cp:coreProperties>
</file>