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225425</wp:posOffset>
            </wp:positionH>
            <wp:positionV relativeFrom="page">
              <wp:posOffset>191770</wp:posOffset>
            </wp:positionV>
            <wp:extent cx="709803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43180"/>
                    </a:xfrm>
                    <a:prstGeom prst="rect">
                      <a:avLst/>
                    </a:prstGeom>
                    <a:noFill/>
                  </pic:spPr>
                </pic:pic>
              </a:graphicData>
            </a:graphic>
          </wp:anchor>
        </w:drawing>
        <w:drawing>
          <wp:anchor simplePos="0" relativeHeight="251657728" behindDoc="1" locked="0" layoutInCell="0" allowOverlap="1">
            <wp:simplePos x="0" y="0"/>
            <wp:positionH relativeFrom="page">
              <wp:posOffset>225425</wp:posOffset>
            </wp:positionH>
            <wp:positionV relativeFrom="page">
              <wp:posOffset>268605</wp:posOffset>
            </wp:positionV>
            <wp:extent cx="70980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37" w:lineRule="exact"/>
        <w:rPr>
          <w:sz w:val="24"/>
          <w:szCs w:val="24"/>
          <w:color w:val="auto"/>
        </w:rPr>
      </w:pPr>
    </w:p>
    <w:p>
      <w:pPr>
        <w:ind w:left="3160" w:right="1640" w:hanging="3152"/>
        <w:spacing w:after="0" w:line="500" w:lineRule="auto"/>
        <w:tabs>
          <w:tab w:leader="none" w:pos="46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2024</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3200"/>
        <w:spacing w:after="0"/>
        <w:tabs>
          <w:tab w:leader="none" w:pos="71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7"/>
          <w:szCs w:val="17"/>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4175125</wp:posOffset>
            </wp:positionH>
            <wp:positionV relativeFrom="paragraph">
              <wp:posOffset>-5080</wp:posOffset>
            </wp:positionV>
            <wp:extent cx="9340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34085"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001-34600</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Tenax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27940</wp:posOffset>
            </wp:positionV>
            <wp:extent cx="42773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860" w:type="dxa"/>
        <w:tblCellMar>
          <w:top w:w="0" w:type="dxa"/>
          <w:left w:w="0" w:type="dxa"/>
          <w:bottom w:w="0" w:type="dxa"/>
          <w:right w:w="0" w:type="dxa"/>
        </w:tblCellMar>
      </w:tblPr>
      <w:tr>
        <w:trPr>
          <w:trHeight w:val="238"/>
        </w:trPr>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240" w:type="dxa"/>
            <w:vAlign w:val="bottom"/>
            <w:gridSpan w:val="2"/>
          </w:tcPr>
          <w:p>
            <w:pPr>
              <w:jc w:val="right"/>
              <w:ind w:right="1630"/>
              <w:spacing w:after="0"/>
              <w:rPr>
                <w:sz w:val="20"/>
                <w:szCs w:val="20"/>
                <w:color w:val="auto"/>
              </w:rPr>
            </w:pPr>
            <w:r>
              <w:rPr>
                <w:rFonts w:ascii="Times New Roman" w:cs="Times New Roman" w:eastAsia="Times New Roman" w:hAnsi="Times New Roman"/>
                <w:sz w:val="18"/>
                <w:szCs w:val="18"/>
                <w:b w:val="1"/>
                <w:bCs w:val="1"/>
                <w:color w:val="auto"/>
              </w:rPr>
              <w:t>26-2593535</w:t>
            </w:r>
          </w:p>
        </w:tc>
      </w:tr>
      <w:tr>
        <w:trPr>
          <w:trHeight w:val="232"/>
        </w:trPr>
        <w:tc>
          <w:tcPr>
            <w:tcW w:w="4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(State of incorporation)</w:t>
            </w:r>
          </w:p>
        </w:tc>
        <w:tc>
          <w:tcPr>
            <w:tcW w:w="940" w:type="dxa"/>
            <w:vAlign w:val="bottom"/>
          </w:tcPr>
          <w:p>
            <w:pPr>
              <w:spacing w:after="0"/>
              <w:rPr>
                <w:sz w:val="20"/>
                <w:szCs w:val="20"/>
                <w:color w:val="auto"/>
              </w:rPr>
            </w:pPr>
          </w:p>
        </w:tc>
        <w:tc>
          <w:tcPr>
            <w:tcW w:w="4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(I.R.S. Employer Identification No.)</w:t>
            </w:r>
          </w:p>
        </w:tc>
      </w:tr>
    </w:tbl>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101 Glen Lennox Drive, Suite 300, Chapel Hill, North Carolina 27517</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including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(919) 855-2100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7" w:lineRule="exact"/>
        <w:rPr>
          <w:sz w:val="24"/>
          <w:szCs w:val="24"/>
          <w:color w:val="auto"/>
        </w:rPr>
      </w:pPr>
    </w:p>
    <w:p>
      <w:pPr>
        <w:ind w:left="6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57"/>
        </w:trPr>
        <w:tc>
          <w:tcPr>
            <w:tcW w:w="37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7"/>
        </w:trPr>
        <w:tc>
          <w:tcPr>
            <w:tcW w:w="374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800" w:type="dxa"/>
            <w:vAlign w:val="bottom"/>
            <w:tcBorders>
              <w:bottom w:val="single" w:sz="8" w:color="auto"/>
              <w:right w:val="single" w:sz="8" w:color="auto"/>
            </w:tcBorders>
          </w:tcPr>
          <w:p>
            <w:pPr>
              <w:spacing w:after="0"/>
              <w:rPr>
                <w:sz w:val="2"/>
                <w:szCs w:val="2"/>
                <w:color w:val="auto"/>
              </w:rPr>
            </w:pPr>
          </w:p>
        </w:tc>
      </w:tr>
      <w:tr>
        <w:trPr>
          <w:trHeight w:val="237"/>
        </w:trPr>
        <w:tc>
          <w:tcPr>
            <w:tcW w:w="37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$0.0001 par value per share</w:t>
            </w:r>
          </w:p>
        </w:tc>
        <w:tc>
          <w:tcPr>
            <w:tcW w:w="3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TENX</w:t>
            </w:r>
          </w:p>
        </w:tc>
        <w:tc>
          <w:tcPr>
            <w:tcW w:w="3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7"/>
        </w:trPr>
        <w:tc>
          <w:tcPr>
            <w:tcW w:w="374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800" w:type="dxa"/>
            <w:vAlign w:val="bottom"/>
            <w:tcBorders>
              <w:bottom w:val="single" w:sz="8" w:color="auto"/>
              <w:right w:val="single" w:sz="8" w:color="auto"/>
            </w:tcBorders>
          </w:tcPr>
          <w:p>
            <w:pPr>
              <w:spacing w:after="0"/>
              <w:rPr>
                <w:sz w:val="2"/>
                <w:szCs w:val="2"/>
                <w:color w:val="auto"/>
              </w:rPr>
            </w:pPr>
          </w:p>
        </w:tc>
      </w:tr>
    </w:tbl>
    <w:p>
      <w:pPr>
        <w:spacing w:after="0" w:line="198" w:lineRule="exact"/>
        <w:rPr>
          <w:sz w:val="24"/>
          <w:szCs w:val="24"/>
          <w:color w:val="auto"/>
        </w:rPr>
      </w:pPr>
    </w:p>
    <w:p>
      <w:pPr>
        <w:jc w:val="both"/>
        <w:ind w:firstLine="607"/>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ind w:firstLine="607"/>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firstLine="607"/>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860" w:type="dxa"/>
        <w:tblCellMar>
          <w:top w:w="0" w:type="dxa"/>
          <w:left w:w="0" w:type="dxa"/>
          <w:bottom w:w="0" w:type="dxa"/>
          <w:right w:w="0" w:type="dxa"/>
        </w:tblCellMar>
      </w:tblPr>
      <w:tr>
        <w:trPr>
          <w:trHeight w:val="221"/>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48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32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48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32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148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328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pacing w:after="0" w:line="165" w:lineRule="exact"/>
        <w:rPr>
          <w:sz w:val="24"/>
          <w:szCs w:val="24"/>
          <w:color w:val="auto"/>
        </w:rPr>
      </w:pPr>
    </w:p>
    <w:p>
      <w:pPr>
        <w:ind w:firstLine="607"/>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ind w:left="620"/>
        <w:spacing w:after="0" w:line="207" w:lineRule="exact"/>
        <w:tabs>
          <w:tab w:leader="none" w:pos="954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by Rule 12b-2 of the Exchange Act). 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p>
      <w:pPr>
        <w:spacing w:after="0" w:line="266" w:lineRule="exact"/>
        <w:rPr>
          <w:sz w:val="24"/>
          <w:szCs w:val="24"/>
          <w:color w:val="auto"/>
        </w:rPr>
      </w:pPr>
    </w:p>
    <w:p>
      <w:pPr>
        <w:ind w:left="620"/>
        <w:spacing w:after="0"/>
        <w:rPr>
          <w:sz w:val="20"/>
          <w:szCs w:val="20"/>
          <w:color w:val="auto"/>
        </w:rPr>
      </w:pPr>
      <w:r>
        <w:rPr>
          <w:rFonts w:ascii="Times New Roman" w:cs="Times New Roman" w:eastAsia="Times New Roman" w:hAnsi="Times New Roman"/>
          <w:sz w:val="18"/>
          <w:szCs w:val="18"/>
          <w:color w:val="auto"/>
        </w:rPr>
        <w:t>As of October 31, 2024, the registrant had outstanding 3,408,906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188595</wp:posOffset>
            </wp:positionV>
            <wp:extent cx="709803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8030" cy="1714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240030</wp:posOffset>
            </wp:positionV>
            <wp:extent cx="709803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9803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780" w:type="dxa"/>
            <w:vAlign w:val="bottom"/>
            <w:gridSpan w:val="4"/>
          </w:tcPr>
          <w:p>
            <w:pPr>
              <w:ind w:left="3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14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b w:val="1"/>
                <w:bCs w:val="1"/>
                <w:color w:val="0000EE"/>
              </w:rPr>
              <w:t>PART I. FINANCIAL INFORMATION</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PAGE</w:t>
            </w:r>
          </w:p>
        </w:tc>
        <w:tc>
          <w:tcPr>
            <w:tcW w:w="0" w:type="dxa"/>
            <w:vAlign w:val="bottom"/>
          </w:tcPr>
          <w:p>
            <w:pPr>
              <w:spacing w:after="0"/>
              <w:rPr>
                <w:sz w:val="1"/>
                <w:szCs w:val="1"/>
                <w:color w:val="auto"/>
              </w:rPr>
            </w:pPr>
          </w:p>
        </w:tc>
      </w:tr>
      <w:tr>
        <w:trPr>
          <w:trHeight w:val="169"/>
        </w:trPr>
        <w:tc>
          <w:tcPr>
            <w:tcW w:w="10140" w:type="dxa"/>
            <w:vAlign w:val="bottom"/>
            <w:gridSpan w:val="9"/>
            <w:vMerge w:val="continue"/>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Item 1.</w:t>
            </w:r>
          </w:p>
        </w:tc>
        <w:tc>
          <w:tcPr>
            <w:tcW w:w="480" w:type="dxa"/>
            <w:vAlign w:val="bottom"/>
            <w:tcBorders>
              <w:bottom w:val="single" w:sz="8" w:color="CCEEFF"/>
            </w:tcBorders>
            <w:shd w:val="clear" w:color="auto" w:fill="CCEEFF"/>
          </w:tcPr>
          <w:p>
            <w:pPr>
              <w:spacing w:after="0"/>
              <w:rPr>
                <w:sz w:val="17"/>
                <w:szCs w:val="17"/>
                <w:color w:val="auto"/>
              </w:rPr>
            </w:pPr>
          </w:p>
        </w:tc>
        <w:tc>
          <w:tcPr>
            <w:tcW w:w="336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Financial Statements</w:t>
            </w:r>
          </w:p>
        </w:tc>
        <w:tc>
          <w:tcPr>
            <w:tcW w:w="5780" w:type="dxa"/>
            <w:vAlign w:val="bottom"/>
            <w:tcBorders>
              <w:bottom w:val="single" w:sz="8" w:color="CCEEFF"/>
            </w:tcBorders>
            <w:gridSpan w:val="4"/>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14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 as of September 30, 2024 (Unaudited) and December 31, 2023</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4140" w:type="dxa"/>
            <w:vAlign w:val="bottom"/>
            <w:tcBorders>
              <w:top w:val="single" w:sz="8" w:color="0000EE"/>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2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886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Statements of Operations (Unaudited) for the Three and Nine Months Ended September 30, 2024</w:t>
            </w:r>
          </w:p>
        </w:tc>
        <w:tc>
          <w:tcPr>
            <w:tcW w:w="280" w:type="dxa"/>
            <w:vAlign w:val="bottom"/>
            <w:tcBorders>
              <w:bottom w:val="single" w:sz="8" w:color="CCEEFF"/>
            </w:tcBorders>
            <w:gridSpan w:val="2"/>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0000EE"/>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9"/>
              </w:rPr>
              <w:t>and 2023</w:t>
            </w:r>
          </w:p>
        </w:tc>
        <w:tc>
          <w:tcPr>
            <w:tcW w:w="8460" w:type="dxa"/>
            <w:vAlign w:val="bottom"/>
            <w:tcBorders>
              <w:bottom w:val="single" w:sz="8" w:color="CCEEFF"/>
            </w:tcBorders>
            <w:gridSpan w:val="6"/>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920" w:type="dxa"/>
            <w:vAlign w:val="bottom"/>
            <w:tcBorders>
              <w:bottom w:val="single" w:sz="8" w:color="0000EE"/>
            </w:tcBorders>
            <w:gridSpan w:val="6"/>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Statements of Stockholders’ Equity (Unaudited) for the Three and Nine Months Ended September</w:t>
            </w:r>
          </w:p>
        </w:tc>
        <w:tc>
          <w:tcPr>
            <w:tcW w:w="220" w:type="dxa"/>
            <w:vAlign w:val="bottom"/>
          </w:tcPr>
          <w:p>
            <w:pPr>
              <w:spacing w:after="0"/>
              <w:rPr>
                <w:sz w:val="15"/>
                <w:szCs w:val="15"/>
                <w:color w:val="auto"/>
              </w:rPr>
            </w:pP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ectPr>
          <w:pgSz w:w="11900" w:h="16891" w:orient="portrait"/>
          <w:cols w:equalWidth="0" w:num="1">
            <w:col w:w="11240"/>
          </w:cols>
          <w:pgMar w:left="320" w:top="671" w:right="339" w:bottom="0" w:gutter="0" w:footer="0" w:header="0"/>
        </w:sectPr>
      </w:pPr>
    </w:p>
    <w:bookmarkStart w:id="1" w:name="page2"/>
    <w:bookmarkEnd w:id="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70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30, 2024 and 2023</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2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 (Unaudited) for the Nine Months Ended September 30, 2024 and 2023</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2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7700" w:type="dxa"/>
            <w:vAlign w:val="bottom"/>
            <w:tcBorders>
              <w:top w:val="single" w:sz="8" w:color="0000EE"/>
            </w:tcBorders>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Notes to Condensed Consolidated Financial Statements (Unaudited)</w:t>
            </w:r>
          </w:p>
        </w:tc>
        <w:tc>
          <w:tcPr>
            <w:tcW w:w="100" w:type="dxa"/>
            <w:vAlign w:val="bottom"/>
            <w:tcBorders>
              <w:top w:val="single" w:sz="8" w:color="0000EE"/>
            </w:tcBorders>
          </w:tcPr>
          <w:p>
            <w:pPr>
              <w:spacing w:after="0"/>
              <w:rPr>
                <w:sz w:val="15"/>
                <w:szCs w:val="15"/>
                <w:color w:val="auto"/>
              </w:rPr>
            </w:pPr>
          </w:p>
        </w:tc>
        <w:tc>
          <w:tcPr>
            <w:tcW w:w="10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5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Item 2.</w:t>
            </w:r>
          </w:p>
        </w:tc>
        <w:tc>
          <w:tcPr>
            <w:tcW w:w="480" w:type="dxa"/>
            <w:vAlign w:val="bottom"/>
            <w:gridSpan w:val="2"/>
            <w:shd w:val="clear" w:color="auto" w:fill="CCEEFF"/>
          </w:tcPr>
          <w:p>
            <w:pPr>
              <w:spacing w:after="0"/>
              <w:rPr>
                <w:sz w:val="17"/>
                <w:szCs w:val="17"/>
                <w:color w:val="auto"/>
              </w:rPr>
            </w:pPr>
          </w:p>
        </w:tc>
        <w:tc>
          <w:tcPr>
            <w:tcW w:w="770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20" w:type="dxa"/>
            <w:vAlign w:val="bottom"/>
            <w:tcBorders>
              <w:top w:val="single" w:sz="8" w:color="0000EE"/>
            </w:tcBorders>
          </w:tcPr>
          <w:p>
            <w:pPr>
              <w:spacing w:after="0" w:line="176" w:lineRule="exact"/>
              <w:rPr>
                <w:sz w:val="20"/>
                <w:szCs w:val="20"/>
                <w:color w:val="auto"/>
              </w:rPr>
            </w:pPr>
            <w:r>
              <w:rPr>
                <w:rFonts w:ascii="Times New Roman" w:cs="Times New Roman" w:eastAsia="Times New Roman" w:hAnsi="Times New Roman"/>
                <w:sz w:val="18"/>
                <w:szCs w:val="18"/>
                <w:color w:val="0000EE"/>
                <w:w w:val="97"/>
              </w:rPr>
              <w:t>Item 3.</w:t>
            </w:r>
          </w:p>
        </w:tc>
        <w:tc>
          <w:tcPr>
            <w:tcW w:w="480" w:type="dxa"/>
            <w:vAlign w:val="bottom"/>
            <w:tcBorders>
              <w:top w:val="single" w:sz="8" w:color="CCEEFF"/>
            </w:tcBorders>
            <w:gridSpan w:val="2"/>
          </w:tcPr>
          <w:p>
            <w:pPr>
              <w:spacing w:after="0"/>
              <w:rPr>
                <w:sz w:val="15"/>
                <w:szCs w:val="15"/>
                <w:color w:val="auto"/>
              </w:rPr>
            </w:pPr>
          </w:p>
        </w:tc>
        <w:tc>
          <w:tcPr>
            <w:tcW w:w="6460" w:type="dxa"/>
            <w:vAlign w:val="bottom"/>
            <w:tcBorders>
              <w:top w:val="single" w:sz="8" w:color="0000EE"/>
            </w:tcBorders>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12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0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27</w:t>
            </w: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58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Item 4.</w:t>
            </w:r>
          </w:p>
        </w:tc>
        <w:tc>
          <w:tcPr>
            <w:tcW w:w="480" w:type="dxa"/>
            <w:vAlign w:val="bottom"/>
            <w:tcBorders>
              <w:bottom w:val="single" w:sz="8" w:color="CCEEFF"/>
            </w:tcBorders>
            <w:gridSpan w:val="2"/>
            <w:shd w:val="clear" w:color="auto" w:fill="CCEEFF"/>
          </w:tcPr>
          <w:p>
            <w:pPr>
              <w:spacing w:after="0"/>
              <w:rPr>
                <w:sz w:val="17"/>
                <w:szCs w:val="17"/>
                <w:color w:val="auto"/>
              </w:rPr>
            </w:pPr>
          </w:p>
        </w:tc>
        <w:tc>
          <w:tcPr>
            <w:tcW w:w="178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Controls and Procedures</w:t>
            </w:r>
          </w:p>
        </w:tc>
        <w:tc>
          <w:tcPr>
            <w:tcW w:w="5920" w:type="dxa"/>
            <w:vAlign w:val="bottom"/>
            <w:tcBorders>
              <w:bottom w:val="single" w:sz="8" w:color="CCEEFF"/>
            </w:tcBorders>
            <w:gridSpan w:val="4"/>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27</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92"/>
        </w:trPr>
        <w:tc>
          <w:tcPr>
            <w:tcW w:w="870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0000EE"/>
              </w:rPr>
              <w:t>PART II. OTHER INFORMATION</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Item 1.</w:t>
            </w:r>
          </w:p>
        </w:tc>
        <w:tc>
          <w:tcPr>
            <w:tcW w:w="480" w:type="dxa"/>
            <w:vAlign w:val="bottom"/>
            <w:gridSpan w:val="2"/>
            <w:shd w:val="clear" w:color="auto" w:fill="CCEEFF"/>
          </w:tcPr>
          <w:p>
            <w:pPr>
              <w:spacing w:after="0"/>
              <w:rPr>
                <w:sz w:val="15"/>
                <w:szCs w:val="15"/>
                <w:color w:val="auto"/>
              </w:rPr>
            </w:pPr>
          </w:p>
        </w:tc>
        <w:tc>
          <w:tcPr>
            <w:tcW w:w="770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29</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5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Item 1A.</w:t>
            </w:r>
          </w:p>
        </w:tc>
        <w:tc>
          <w:tcPr>
            <w:tcW w:w="7700" w:type="dxa"/>
            <w:vAlign w:val="bottom"/>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Item 6.</w:t>
            </w:r>
          </w:p>
        </w:tc>
        <w:tc>
          <w:tcPr>
            <w:tcW w:w="480" w:type="dxa"/>
            <w:vAlign w:val="bottom"/>
            <w:gridSpan w:val="2"/>
            <w:shd w:val="clear" w:color="auto" w:fill="CCEEFF"/>
          </w:tcPr>
          <w:p>
            <w:pPr>
              <w:spacing w:after="0"/>
              <w:rPr>
                <w:sz w:val="17"/>
                <w:szCs w:val="17"/>
                <w:color w:val="auto"/>
              </w:rPr>
            </w:pPr>
          </w:p>
        </w:tc>
        <w:tc>
          <w:tcPr>
            <w:tcW w:w="770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5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70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SIGNATURES</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48"/>
        </w:trPr>
        <w:tc>
          <w:tcPr>
            <w:tcW w:w="52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4760" w:type="dxa"/>
            <w:vAlign w:val="bottom"/>
            <w:tcBorders>
              <w:top w:val="single" w:sz="8" w:color="CCEEFF"/>
              <w:bottom w:val="single" w:sz="8" w:color="auto"/>
            </w:tcBorders>
            <w:gridSpan w:val="7"/>
          </w:tcPr>
          <w:p>
            <w:pPr>
              <w:jc w:val="center"/>
              <w:ind w:left="4070"/>
              <w:spacing w:after="0"/>
              <w:rPr>
                <w:sz w:val="20"/>
                <w:szCs w:val="20"/>
                <w:color w:val="auto"/>
              </w:rPr>
            </w:pPr>
            <w:r>
              <w:rPr>
                <w:rFonts w:ascii="Times New Roman" w:cs="Times New Roman" w:eastAsia="Times New Roman" w:hAnsi="Times New Roman"/>
                <w:sz w:val="18"/>
                <w:szCs w:val="18"/>
                <w:color w:val="auto"/>
                <w:w w:val="88"/>
              </w:rPr>
              <w:t>2</w:t>
            </w:r>
          </w:p>
        </w:tc>
        <w:tc>
          <w:tcPr>
            <w:tcW w:w="1540" w:type="dxa"/>
            <w:vAlign w:val="bottom"/>
            <w:tcBorders>
              <w:top w:val="single" w:sz="8" w:color="CCEEFF"/>
              <w:bottom w:val="single" w:sz="8" w:color="auto"/>
            </w:tcBorders>
          </w:tcPr>
          <w:p>
            <w:pPr>
              <w:spacing w:after="0"/>
              <w:rPr>
                <w:sz w:val="24"/>
                <w:szCs w:val="24"/>
                <w:color w:val="auto"/>
              </w:rPr>
            </w:pPr>
          </w:p>
        </w:tc>
        <w:tc>
          <w:tcPr>
            <w:tcW w:w="124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00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0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8700" w:type="dxa"/>
            <w:vAlign w:val="bottom"/>
            <w:gridSpan w:val="13"/>
          </w:tcPr>
          <w:p>
            <w:pPr>
              <w:spacing w:after="0"/>
              <w:rPr>
                <w:sz w:val="20"/>
                <w:szCs w:val="20"/>
                <w:color w:val="auto"/>
              </w:rPr>
            </w:pPr>
            <w:r>
              <w:rPr>
                <w:rFonts w:ascii="Times New Roman" w:cs="Times New Roman" w:eastAsia="Times New Roman" w:hAnsi="Times New Roman"/>
                <w:sz w:val="18"/>
                <w:szCs w:val="18"/>
                <w:i w:val="1"/>
                <w:iCs w:val="1"/>
                <w:color w:val="0000EE"/>
              </w:rPr>
              <w:t>Table of Contents</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5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92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PART I - FINANCIAL INFORMATION</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70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92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TENAX THERAPEUTICS, INC.</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92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920" w:type="dxa"/>
            <w:vAlign w:val="bottom"/>
            <w:gridSpan w:val="4"/>
            <w:vMerge w:val="restart"/>
          </w:tcPr>
          <w:p>
            <w:pPr>
              <w:jc w:val="center"/>
              <w:ind w:right="28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(Unaudited)</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92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87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00" w:type="dxa"/>
            <w:vAlign w:val="bottom"/>
            <w:gridSpan w:val="1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98,310,918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9,792,130</w:t>
            </w:r>
          </w:p>
        </w:tc>
        <w:tc>
          <w:tcPr>
            <w:tcW w:w="0" w:type="dxa"/>
            <w:vAlign w:val="bottom"/>
          </w:tcPr>
          <w:p>
            <w:pPr>
              <w:spacing w:after="0"/>
              <w:rPr>
                <w:sz w:val="1"/>
                <w:szCs w:val="1"/>
                <w:color w:val="auto"/>
              </w:rPr>
            </w:pPr>
          </w:p>
        </w:tc>
      </w:tr>
      <w:tr>
        <w:trPr>
          <w:trHeight w:val="216"/>
        </w:trPr>
        <w:tc>
          <w:tcPr>
            <w:tcW w:w="8700" w:type="dxa"/>
            <w:vAlign w:val="bottom"/>
            <w:gridSpan w:val="13"/>
          </w:tcPr>
          <w:p>
            <w:pPr>
              <w:ind w:left="360"/>
              <w:spacing w:after="0"/>
              <w:rPr>
                <w:sz w:val="20"/>
                <w:szCs w:val="20"/>
                <w:color w:val="auto"/>
              </w:rPr>
            </w:pPr>
            <w:r>
              <w:rPr>
                <w:rFonts w:ascii="Times New Roman" w:cs="Times New Roman" w:eastAsia="Times New Roman" w:hAnsi="Times New Roman"/>
                <w:sz w:val="18"/>
                <w:szCs w:val="18"/>
                <w:color w:val="auto"/>
              </w:rPr>
              <w:t>Prepaid expenses</w:t>
            </w:r>
          </w:p>
        </w:tc>
        <w:tc>
          <w:tcPr>
            <w:tcW w:w="1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1,438,835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1,639,797</w:t>
            </w:r>
          </w:p>
        </w:tc>
        <w:tc>
          <w:tcPr>
            <w:tcW w:w="0" w:type="dxa"/>
            <w:vAlign w:val="bottom"/>
          </w:tcPr>
          <w:p>
            <w:pPr>
              <w:spacing w:after="0"/>
              <w:rPr>
                <w:sz w:val="1"/>
                <w:szCs w:val="1"/>
                <w:color w:val="auto"/>
              </w:rPr>
            </w:pPr>
          </w:p>
        </w:tc>
      </w:tr>
      <w:tr>
        <w:trPr>
          <w:trHeight w:val="216"/>
        </w:trPr>
        <w:tc>
          <w:tcPr>
            <w:tcW w:w="8700" w:type="dxa"/>
            <w:vAlign w:val="bottom"/>
            <w:tcBorders>
              <w:bottom w:val="single" w:sz="8" w:color="CCEEFF"/>
            </w:tcBorders>
            <w:gridSpan w:val="1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33,875</w:t>
            </w: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251,583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700" w:type="dxa"/>
            <w:vAlign w:val="bottom"/>
            <w:gridSpan w:val="13"/>
          </w:tcPr>
          <w:p>
            <w:pPr>
              <w:ind w:left="18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99,783,628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11,683,510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25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99,784,745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11,684,627</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360" w:type="dxa"/>
            <w:vAlign w:val="bottom"/>
            <w:gridSpan w:val="5"/>
            <w:vMerge w:val="restart"/>
          </w:tcPr>
          <w:p>
            <w:pPr>
              <w:jc w:val="center"/>
              <w:ind w:right="24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360" w:type="dxa"/>
            <w:vAlign w:val="bottom"/>
            <w:gridSpan w:val="5"/>
            <w:vMerge w:val="continue"/>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7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00" w:type="dxa"/>
            <w:vAlign w:val="bottom"/>
            <w:gridSpan w:val="1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1,584,145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2,073,149</w:t>
            </w:r>
          </w:p>
        </w:tc>
        <w:tc>
          <w:tcPr>
            <w:tcW w:w="0" w:type="dxa"/>
            <w:vAlign w:val="bottom"/>
          </w:tcPr>
          <w:p>
            <w:pPr>
              <w:spacing w:after="0"/>
              <w:rPr>
                <w:sz w:val="1"/>
                <w:szCs w:val="1"/>
                <w:color w:val="auto"/>
              </w:rPr>
            </w:pPr>
          </w:p>
        </w:tc>
      </w:tr>
      <w:tr>
        <w:trPr>
          <w:trHeight w:val="216"/>
        </w:trPr>
        <w:tc>
          <w:tcPr>
            <w:tcW w:w="8700" w:type="dxa"/>
            <w:vAlign w:val="bottom"/>
            <w:gridSpan w:val="13"/>
          </w:tcPr>
          <w:p>
            <w:pPr>
              <w:ind w:left="360"/>
              <w:spacing w:after="0"/>
              <w:rPr>
                <w:sz w:val="20"/>
                <w:szCs w:val="20"/>
                <w:color w:val="auto"/>
              </w:rPr>
            </w:pPr>
            <w:r>
              <w:rPr>
                <w:rFonts w:ascii="Times New Roman" w:cs="Times New Roman" w:eastAsia="Times New Roman" w:hAnsi="Times New Roman"/>
                <w:sz w:val="18"/>
                <w:szCs w:val="18"/>
                <w:color w:val="auto"/>
              </w:rPr>
              <w:t>Accrued liabilities</w:t>
            </w:r>
          </w:p>
        </w:tc>
        <w:tc>
          <w:tcPr>
            <w:tcW w:w="1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977,545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1,012,468</w:t>
            </w:r>
          </w:p>
        </w:tc>
        <w:tc>
          <w:tcPr>
            <w:tcW w:w="0" w:type="dxa"/>
            <w:vAlign w:val="bottom"/>
          </w:tcPr>
          <w:p>
            <w:pPr>
              <w:spacing w:after="0"/>
              <w:rPr>
                <w:sz w:val="1"/>
                <w:szCs w:val="1"/>
                <w:color w:val="auto"/>
              </w:rPr>
            </w:pPr>
          </w:p>
        </w:tc>
      </w:tr>
      <w:tr>
        <w:trPr>
          <w:trHeight w:val="216"/>
        </w:trPr>
        <w:tc>
          <w:tcPr>
            <w:tcW w:w="8700" w:type="dxa"/>
            <w:vAlign w:val="bottom"/>
            <w:tcBorders>
              <w:bottom w:val="single" w:sz="8" w:color="CCEEFF"/>
            </w:tcBorders>
            <w:gridSpan w:val="1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Note payable</w:t>
            </w: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500,903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700" w:type="dxa"/>
            <w:vAlign w:val="bottom"/>
            <w:gridSpan w:val="13"/>
          </w:tcPr>
          <w:p>
            <w:pPr>
              <w:ind w:left="1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2,561,690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3,586,520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70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2,561,690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3,586,520</w:t>
            </w:r>
          </w:p>
        </w:tc>
        <w:tc>
          <w:tcPr>
            <w:tcW w:w="0" w:type="dxa"/>
            <w:vAlign w:val="bottom"/>
          </w:tcPr>
          <w:p>
            <w:pPr>
              <w:spacing w:after="0"/>
              <w:rPr>
                <w:sz w:val="1"/>
                <w:szCs w:val="1"/>
                <w:color w:val="auto"/>
              </w:rPr>
            </w:pPr>
          </w:p>
        </w:tc>
      </w:tr>
      <w:tr>
        <w:trPr>
          <w:trHeight w:val="216"/>
        </w:trPr>
        <w:tc>
          <w:tcPr>
            <w:tcW w:w="87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Commitments and contingencies; see Note 6</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Preferred stock, undesignated, authorized 4,818,654 shares; See Note 7</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700" w:type="dxa"/>
            <w:vAlign w:val="bottom"/>
            <w:gridSpan w:val="1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Series A Preferred stock, par value $0.0001, authorized 5,181,346 shares; issued and outstanding 210, as of September</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70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auto"/>
              </w:rPr>
              <w:t>30, 2024 and December 31, 2023, respectively</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8700" w:type="dxa"/>
            <w:vAlign w:val="bottom"/>
            <w:gridSpan w:val="13"/>
          </w:tcPr>
          <w:p>
            <w:pPr>
              <w:spacing w:after="0" w:line="198" w:lineRule="exact"/>
              <w:rPr>
                <w:sz w:val="20"/>
                <w:szCs w:val="20"/>
                <w:color w:val="auto"/>
              </w:rPr>
            </w:pPr>
            <w:r>
              <w:rPr>
                <w:rFonts w:ascii="Times New Roman" w:cs="Times New Roman" w:eastAsia="Times New Roman" w:hAnsi="Times New Roman"/>
                <w:sz w:val="18"/>
                <w:szCs w:val="18"/>
                <w:color w:val="auto"/>
              </w:rPr>
              <w:t>Common stock, par value $0.0001 per share; authorized 400,000,000 shares; issued and outstanding 3,408,906 as of</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7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September 30, 2024 and 298,281 as of December 31, 2023, respectively</w:t>
            </w:r>
          </w:p>
        </w:tc>
        <w:tc>
          <w:tcPr>
            <w:tcW w:w="10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341</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870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405,810,449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305,350,830</w:t>
            </w:r>
          </w:p>
        </w:tc>
        <w:tc>
          <w:tcPr>
            <w:tcW w:w="0" w:type="dxa"/>
            <w:vAlign w:val="bottom"/>
          </w:tcPr>
          <w:p>
            <w:pPr>
              <w:spacing w:after="0"/>
              <w:rPr>
                <w:sz w:val="1"/>
                <w:szCs w:val="1"/>
                <w:color w:val="auto"/>
              </w:rPr>
            </w:pPr>
          </w:p>
        </w:tc>
      </w:tr>
      <w:tr>
        <w:trPr>
          <w:trHeight w:val="216"/>
        </w:trPr>
        <w:tc>
          <w:tcPr>
            <w:tcW w:w="87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tcPr>
          <w:p>
            <w:pPr>
              <w:spacing w:after="0"/>
              <w:rPr>
                <w:sz w:val="18"/>
                <w:szCs w:val="18"/>
                <w:color w:val="auto"/>
              </w:rPr>
            </w:pPr>
          </w:p>
        </w:tc>
        <w:tc>
          <w:tcPr>
            <w:tcW w:w="12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(308,587,735)</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(297,252,753)</w:t>
            </w:r>
          </w:p>
        </w:tc>
        <w:tc>
          <w:tcPr>
            <w:tcW w:w="0" w:type="dxa"/>
            <w:vAlign w:val="bottom"/>
          </w:tcPr>
          <w:p>
            <w:pPr>
              <w:spacing w:after="0"/>
              <w:rPr>
                <w:sz w:val="1"/>
                <w:szCs w:val="1"/>
                <w:color w:val="auto"/>
              </w:rPr>
            </w:pPr>
          </w:p>
        </w:tc>
      </w:tr>
      <w:tr>
        <w:trPr>
          <w:trHeight w:val="209"/>
        </w:trPr>
        <w:tc>
          <w:tcPr>
            <w:tcW w:w="8700" w:type="dxa"/>
            <w:vAlign w:val="bottom"/>
            <w:tcBorders>
              <w:bottom w:val="single" w:sz="8" w:color="CCEEFF"/>
            </w:tcBorders>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97,223,055</w:t>
            </w: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8,098,107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7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99,784,745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11,684,627</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TENAX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540" w:type="dxa"/>
            <w:vAlign w:val="bottom"/>
            <w:gridSpan w:val="6"/>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r>
      <w:tr>
        <w:trPr>
          <w:trHeight w:val="238"/>
        </w:trPr>
        <w:tc>
          <w:tcPr>
            <w:tcW w:w="6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2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40" w:type="dxa"/>
            <w:vAlign w:val="bottom"/>
          </w:tcPr>
          <w:p>
            <w:pPr>
              <w:spacing w:after="0"/>
              <w:rPr>
                <w:sz w:val="20"/>
                <w:szCs w:val="20"/>
                <w:color w:val="auto"/>
              </w:rPr>
            </w:pPr>
          </w:p>
        </w:tc>
        <w:tc>
          <w:tcPr>
            <w:tcW w:w="132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30,</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60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425"/>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0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1,506,796</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1,051,524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4,083,858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3,363,511</w:t>
            </w:r>
          </w:p>
        </w:tc>
      </w:tr>
      <w:tr>
        <w:trPr>
          <w:trHeight w:val="216"/>
        </w:trPr>
        <w:tc>
          <w:tcPr>
            <w:tcW w:w="60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spacing w:after="0"/>
              <w:rPr>
                <w:sz w:val="18"/>
                <w:szCs w:val="18"/>
                <w:color w:val="auto"/>
              </w:rPr>
            </w:pPr>
          </w:p>
        </w:tc>
        <w:tc>
          <w:tcPr>
            <w:tcW w:w="1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3,112,085</w:t>
            </w:r>
          </w:p>
        </w:tc>
        <w:tc>
          <w:tcPr>
            <w:tcW w:w="240" w:type="dxa"/>
            <w:vAlign w:val="bottom"/>
          </w:tcPr>
          <w:p>
            <w:pPr>
              <w:spacing w:after="0"/>
              <w:rPr>
                <w:sz w:val="18"/>
                <w:szCs w:val="18"/>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1,065,855</w:t>
            </w:r>
          </w:p>
        </w:tc>
        <w:tc>
          <w:tcPr>
            <w:tcW w:w="240" w:type="dxa"/>
            <w:vAlign w:val="bottom"/>
          </w:tcPr>
          <w:p>
            <w:pPr>
              <w:spacing w:after="0"/>
              <w:rPr>
                <w:sz w:val="18"/>
                <w:szCs w:val="18"/>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8,115,370</w:t>
            </w:r>
          </w:p>
        </w:tc>
        <w:tc>
          <w:tcPr>
            <w:tcW w:w="240" w:type="dxa"/>
            <w:vAlign w:val="bottom"/>
          </w:tcPr>
          <w:p>
            <w:pPr>
              <w:spacing w:after="0"/>
              <w:rPr>
                <w:sz w:val="18"/>
                <w:szCs w:val="18"/>
                <w:color w:val="auto"/>
              </w:rPr>
            </w:pPr>
          </w:p>
        </w:tc>
        <w:tc>
          <w:tcPr>
            <w:tcW w:w="9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1,529,493</w:t>
            </w:r>
          </w:p>
        </w:tc>
      </w:tr>
      <w:tr>
        <w:trPr>
          <w:trHeight w:val="124"/>
        </w:trPr>
        <w:tc>
          <w:tcPr>
            <w:tcW w:w="6060" w:type="dxa"/>
            <w:vAlign w:val="bottom"/>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bl>
    <w:p>
      <w:pPr>
        <w:sectPr>
          <w:pgSz w:w="11900" w:h="16900" w:orient="portrait"/>
          <w:cols w:equalWidth="0" w:num="1">
            <w:col w:w="11240"/>
          </w:cols>
          <w:pgMar w:left="320" w:top="108" w:right="33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4,618,881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2,117,379</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12,199,228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4,893,004</w:t>
            </w:r>
          </w:p>
        </w:tc>
      </w:tr>
      <w:tr>
        <w:trPr>
          <w:trHeight w:val="216"/>
        </w:trPr>
        <w:tc>
          <w:tcPr>
            <w:tcW w:w="6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operating loss</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4,618,881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2,117,379</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12,199,228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4,893,004</w:t>
            </w:r>
          </w:p>
        </w:tc>
      </w:tr>
      <w:tr>
        <w:trPr>
          <w:trHeight w:val="216"/>
        </w:trPr>
        <w:tc>
          <w:tcPr>
            <w:tcW w:w="6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6,312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5,337</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23,465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21,813</w:t>
            </w: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(664,724)</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(150,741)</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(887,057)</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(366,877)</w:t>
            </w: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(62,866)</w:t>
            </w:r>
          </w:p>
        </w:tc>
      </w:tr>
      <w:tr>
        <w:trPr>
          <w:trHeight w:val="20"/>
        </w:trPr>
        <w:tc>
          <w:tcPr>
            <w:tcW w:w="60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30"/>
        </w:trPr>
        <w:tc>
          <w:tcPr>
            <w:tcW w:w="6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3,960,469</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1,971,975</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11,334,982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4,485,074</w:t>
            </w:r>
          </w:p>
        </w:tc>
      </w:tr>
      <w:tr>
        <w:trPr>
          <w:trHeight w:val="216"/>
        </w:trPr>
        <w:tc>
          <w:tcPr>
            <w:tcW w:w="60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0.19</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6.61</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19.36</w:t>
            </w:r>
          </w:p>
        </w:tc>
      </w:tr>
      <w:tr>
        <w:trPr>
          <w:trHeight w:val="198"/>
        </w:trPr>
        <w:tc>
          <w:tcPr>
            <w:tcW w:w="60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number of common shares and prefunded warrants outstanding,</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21,161,143</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298,280</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8,282,118</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231,653</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TENAX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1700" w:type="dxa"/>
            <w:vAlign w:val="bottom"/>
            <w:tcBorders>
              <w:bottom w:val="single" w:sz="8" w:color="auto"/>
            </w:tcBorders>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Preferred Stock</w:t>
            </w:r>
          </w:p>
        </w:tc>
        <w:tc>
          <w:tcPr>
            <w:tcW w:w="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87"/>
        </w:trPr>
        <w:tc>
          <w:tcPr>
            <w:tcW w:w="3540" w:type="dxa"/>
            <w:vAlign w:val="bottom"/>
          </w:tcPr>
          <w:p>
            <w:pPr>
              <w:spacing w:after="0"/>
              <w:rPr>
                <w:sz w:val="16"/>
                <w:szCs w:val="16"/>
                <w:color w:val="auto"/>
              </w:rPr>
            </w:pPr>
          </w:p>
        </w:tc>
        <w:tc>
          <w:tcPr>
            <w:tcW w:w="880" w:type="dxa"/>
            <w:vAlign w:val="bottom"/>
            <w:gridSpan w:val="2"/>
          </w:tcPr>
          <w:p>
            <w:pPr>
              <w:jc w:val="center"/>
              <w:ind w:right="100"/>
              <w:spacing w:after="0" w:line="188" w:lineRule="exact"/>
              <w:rPr>
                <w:sz w:val="20"/>
                <w:szCs w:val="20"/>
                <w:color w:val="auto"/>
              </w:rPr>
            </w:pPr>
            <w:r>
              <w:rPr>
                <w:rFonts w:ascii="Times New Roman" w:cs="Times New Roman" w:eastAsia="Times New Roman" w:hAnsi="Times New Roman"/>
                <w:sz w:val="18"/>
                <w:szCs w:val="18"/>
                <w:b w:val="1"/>
                <w:bCs w:val="1"/>
                <w:color w:val="auto"/>
                <w:w w:val="96"/>
              </w:rPr>
              <w:t>Number</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center"/>
              <w:ind w:right="200"/>
              <w:spacing w:after="0" w:line="188"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rPr>
              <w:t>paid-in</w:t>
            </w:r>
          </w:p>
        </w:tc>
        <w:tc>
          <w:tcPr>
            <w:tcW w:w="1300" w:type="dxa"/>
            <w:vAlign w:val="bottom"/>
            <w:gridSpan w:val="2"/>
          </w:tcPr>
          <w:p>
            <w:pPr>
              <w:jc w:val="right"/>
              <w:ind w:right="240"/>
              <w:spacing w:after="0" w:line="188"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1160" w:type="dxa"/>
            <w:vAlign w:val="bottom"/>
            <w:gridSpan w:val="3"/>
          </w:tcPr>
          <w:p>
            <w:pPr>
              <w:jc w:val="right"/>
              <w:ind w:right="100"/>
              <w:spacing w:after="0" w:line="188" w:lineRule="exact"/>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38"/>
        </w:trPr>
        <w:tc>
          <w:tcPr>
            <w:tcW w:w="3540" w:type="dxa"/>
            <w:vAlign w:val="bottom"/>
          </w:tcPr>
          <w:p>
            <w:pPr>
              <w:spacing w:after="0"/>
              <w:rPr>
                <w:sz w:val="20"/>
                <w:szCs w:val="20"/>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of Shares</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8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0"/>
                <w:szCs w:val="20"/>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60" w:type="dxa"/>
            <w:vAlign w:val="bottom"/>
          </w:tcPr>
          <w:p>
            <w:pPr>
              <w:spacing w:after="0"/>
              <w:rPr>
                <w:sz w:val="20"/>
                <w:szCs w:val="20"/>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210"/>
        </w:trPr>
        <w:tc>
          <w:tcPr>
            <w:tcW w:w="354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210</w:t>
            </w:r>
          </w:p>
        </w:tc>
        <w:tc>
          <w:tcPr>
            <w:tcW w:w="820" w:type="dxa"/>
            <w:vAlign w:val="bottom"/>
            <w:gridSpan w:val="2"/>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28,647</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w:t>
            </w:r>
          </w:p>
        </w:tc>
        <w:tc>
          <w:tcPr>
            <w:tcW w:w="1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$ 291,034,818</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6"/>
              </w:rPr>
              <w:t>$ (289,542,080)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1,492,741</w:t>
            </w:r>
          </w:p>
        </w:tc>
        <w:tc>
          <w:tcPr>
            <w:tcW w:w="0" w:type="dxa"/>
            <w:vAlign w:val="bottom"/>
          </w:tcPr>
          <w:p>
            <w:pPr>
              <w:spacing w:after="0"/>
              <w:rPr>
                <w:sz w:val="1"/>
                <w:szCs w:val="1"/>
                <w:color w:val="auto"/>
              </w:rPr>
            </w:pPr>
          </w:p>
        </w:tc>
      </w:tr>
      <w:tr>
        <w:trPr>
          <w:trHeight w:val="198"/>
        </w:trPr>
        <w:tc>
          <w:tcPr>
            <w:tcW w:w="35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Public offering sale of common stock,</w:t>
            </w: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warrants, and prefunded warrants</w:t>
            </w:r>
          </w:p>
        </w:tc>
        <w:tc>
          <w:tcPr>
            <w:tcW w:w="88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gridSpan w:val="2"/>
            <w:vMerge w:val="continue"/>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86,994</w:t>
            </w:r>
          </w:p>
        </w:tc>
        <w:tc>
          <w:tcPr>
            <w:tcW w:w="480" w:type="dxa"/>
            <w:vAlign w:val="bottom"/>
          </w:tcPr>
          <w:p>
            <w:pPr>
              <w:spacing w:after="0"/>
              <w:rPr>
                <w:sz w:val="20"/>
                <w:szCs w:val="20"/>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13,896,516</w:t>
            </w:r>
          </w:p>
        </w:tc>
        <w:tc>
          <w:tcPr>
            <w:tcW w:w="130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13,896,525</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costs</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(282,647)</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(282,647)</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Exercise of pre-funded warrants for cash</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18,076</w:t>
            </w:r>
          </w:p>
        </w:tc>
        <w:tc>
          <w:tcPr>
            <w:tcW w:w="48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511,309</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511,311</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pre-funded warrants, cashless</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3,259</w:t>
            </w:r>
          </w:p>
        </w:tc>
        <w:tc>
          <w:tcPr>
            <w:tcW w:w="4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Exercise of warrants, cashless</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135,069</w:t>
            </w:r>
          </w:p>
        </w:tc>
        <w:tc>
          <w:tcPr>
            <w:tcW w:w="48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split and fractional shares issued</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174</w:t>
            </w:r>
          </w:p>
        </w:tc>
        <w:tc>
          <w:tcPr>
            <w:tcW w:w="4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on options issued</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66,543</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66,543</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(1,406,760)</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(1,406,760)</w:t>
            </w:r>
          </w:p>
        </w:tc>
        <w:tc>
          <w:tcPr>
            <w:tcW w:w="0" w:type="dxa"/>
            <w:vAlign w:val="bottom"/>
          </w:tcPr>
          <w:p>
            <w:pPr>
              <w:spacing w:after="0"/>
              <w:rPr>
                <w:sz w:val="1"/>
                <w:szCs w:val="1"/>
                <w:color w:val="auto"/>
              </w:rPr>
            </w:pPr>
          </w:p>
        </w:tc>
      </w:tr>
      <w:tr>
        <w:trPr>
          <w:trHeight w:val="20"/>
        </w:trPr>
        <w:tc>
          <w:tcPr>
            <w:tcW w:w="354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2023</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210</w:t>
            </w:r>
          </w:p>
        </w:tc>
        <w:tc>
          <w:tcPr>
            <w:tcW w:w="100" w:type="dxa"/>
            <w:vAlign w:val="bottom"/>
          </w:tcPr>
          <w:p>
            <w:pPr>
              <w:spacing w:after="0"/>
              <w:rPr>
                <w:sz w:val="18"/>
                <w:szCs w:val="18"/>
                <w:color w:val="auto"/>
              </w:rPr>
            </w:pPr>
          </w:p>
        </w:tc>
        <w:tc>
          <w:tcPr>
            <w:tcW w:w="82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272,219</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27</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 xml:space="preserve"> 305,226,526</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6"/>
              </w:rPr>
              <w:t>$ (290,948,840)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14,277,713</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warrants, cashless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26,062</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on options issued</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50,283</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50,283</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(1,106,338)</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(1,106,338)</w:t>
            </w:r>
          </w:p>
        </w:tc>
        <w:tc>
          <w:tcPr>
            <w:tcW w:w="0" w:type="dxa"/>
            <w:vAlign w:val="bottom"/>
          </w:tcPr>
          <w:p>
            <w:pPr>
              <w:spacing w:after="0"/>
              <w:rPr>
                <w:sz w:val="1"/>
                <w:szCs w:val="1"/>
                <w:color w:val="auto"/>
              </w:rPr>
            </w:pPr>
          </w:p>
        </w:tc>
      </w:tr>
      <w:tr>
        <w:trPr>
          <w:trHeight w:val="20"/>
        </w:trPr>
        <w:tc>
          <w:tcPr>
            <w:tcW w:w="354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2023</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210</w:t>
            </w:r>
          </w:p>
        </w:tc>
        <w:tc>
          <w:tcPr>
            <w:tcW w:w="100" w:type="dxa"/>
            <w:vAlign w:val="bottom"/>
          </w:tcPr>
          <w:p>
            <w:pPr>
              <w:spacing w:after="0"/>
              <w:rPr>
                <w:sz w:val="18"/>
                <w:szCs w:val="18"/>
                <w:color w:val="auto"/>
              </w:rPr>
            </w:pPr>
          </w:p>
        </w:tc>
        <w:tc>
          <w:tcPr>
            <w:tcW w:w="82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298,281</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30</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 xml:space="preserve"> 305,276,806</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6"/>
              </w:rPr>
              <w:t>$ (292,055,178)</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13,221,658</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on options issued</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37,012</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37,012</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(1,971,975)</w:t>
            </w:r>
          </w:p>
        </w:tc>
        <w:tc>
          <w:tcPr>
            <w:tcW w:w="1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(1,971,975)</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2023</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w:t>
            </w:r>
          </w:p>
        </w:tc>
        <w:tc>
          <w:tcPr>
            <w:tcW w:w="1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298,281</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30</w:t>
            </w:r>
          </w:p>
        </w:tc>
        <w:tc>
          <w:tcPr>
            <w:tcW w:w="1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 xml:space="preserve"> 305,313,818</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6"/>
              </w:rPr>
              <w:t>$ (294,027,153)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11,286,695</w:t>
            </w:r>
          </w:p>
        </w:tc>
        <w:tc>
          <w:tcPr>
            <w:tcW w:w="0" w:type="dxa"/>
            <w:vAlign w:val="bottom"/>
          </w:tcPr>
          <w:p>
            <w:pPr>
              <w:spacing w:after="0"/>
              <w:rPr>
                <w:sz w:val="1"/>
                <w:szCs w:val="1"/>
                <w:color w:val="auto"/>
              </w:rPr>
            </w:pPr>
          </w:p>
        </w:tc>
      </w:tr>
      <w:tr>
        <w:trPr>
          <w:trHeight w:val="196"/>
        </w:trPr>
        <w:tc>
          <w:tcPr>
            <w:tcW w:w="3540" w:type="dxa"/>
            <w:vAlign w:val="bottom"/>
            <w:tcBorders>
              <w:top w:val="single" w:sz="8" w:color="CCEEFF"/>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210</w:t>
            </w:r>
          </w:p>
        </w:tc>
        <w:tc>
          <w:tcPr>
            <w:tcW w:w="820" w:type="dxa"/>
            <w:vAlign w:val="bottom"/>
            <w:gridSpan w:val="2"/>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298,281</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30</w:t>
            </w:r>
          </w:p>
        </w:tc>
        <w:tc>
          <w:tcPr>
            <w:tcW w:w="1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$ 305,350,830</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6"/>
              </w:rPr>
              <w:t>$ (297,252,753)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8,098,107</w:t>
            </w:r>
          </w:p>
        </w:tc>
        <w:tc>
          <w:tcPr>
            <w:tcW w:w="0" w:type="dxa"/>
            <w:vAlign w:val="bottom"/>
          </w:tcPr>
          <w:p>
            <w:pPr>
              <w:spacing w:after="0"/>
              <w:rPr>
                <w:sz w:val="1"/>
                <w:szCs w:val="1"/>
                <w:color w:val="auto"/>
              </w:rPr>
            </w:pPr>
          </w:p>
        </w:tc>
      </w:tr>
      <w:tr>
        <w:trPr>
          <w:trHeight w:val="198"/>
        </w:trPr>
        <w:tc>
          <w:tcPr>
            <w:tcW w:w="35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Public offering sale of common stock,</w:t>
            </w: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warrants, and prefunded warrants, net</w:t>
            </w:r>
          </w:p>
        </w:tc>
        <w:tc>
          <w:tcPr>
            <w:tcW w:w="88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gridSpan w:val="2"/>
            <w:vMerge w:val="continue"/>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421,260</w:t>
            </w:r>
          </w:p>
        </w:tc>
        <w:tc>
          <w:tcPr>
            <w:tcW w:w="480" w:type="dxa"/>
            <w:vAlign w:val="bottom"/>
          </w:tcPr>
          <w:p>
            <w:pPr>
              <w:spacing w:after="0"/>
              <w:rPr>
                <w:sz w:val="20"/>
                <w:szCs w:val="20"/>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6,183,619</w:t>
            </w:r>
          </w:p>
        </w:tc>
        <w:tc>
          <w:tcPr>
            <w:tcW w:w="130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6,183,661</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pre-funded warrants for cash</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973,240</w:t>
            </w:r>
          </w:p>
        </w:tc>
        <w:tc>
          <w:tcPr>
            <w:tcW w:w="4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w:t>
            </w:r>
          </w:p>
        </w:tc>
        <w:tc>
          <w:tcPr>
            <w:tcW w:w="1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1,827,036</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1,827,133</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Exercise of pre-funded warrants, cashless</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205,467</w:t>
            </w:r>
          </w:p>
        </w:tc>
        <w:tc>
          <w:tcPr>
            <w:tcW w:w="48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(21)</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split and fractional shares issued</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59,997</w:t>
            </w:r>
          </w:p>
        </w:tc>
        <w:tc>
          <w:tcPr>
            <w:tcW w:w="4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1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828</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834</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on options issued</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118,790</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118,790</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(3,798,840)</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(3,798,840)</w:t>
            </w:r>
          </w:p>
        </w:tc>
        <w:tc>
          <w:tcPr>
            <w:tcW w:w="0" w:type="dxa"/>
            <w:vAlign w:val="bottom"/>
          </w:tcPr>
          <w:p>
            <w:pPr>
              <w:spacing w:after="0"/>
              <w:rPr>
                <w:sz w:val="1"/>
                <w:szCs w:val="1"/>
                <w:color w:val="auto"/>
              </w:rPr>
            </w:pPr>
          </w:p>
        </w:tc>
      </w:tr>
      <w:tr>
        <w:trPr>
          <w:trHeight w:val="20"/>
        </w:trPr>
        <w:tc>
          <w:tcPr>
            <w:tcW w:w="354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2024</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210</w:t>
            </w:r>
          </w:p>
        </w:tc>
        <w:tc>
          <w:tcPr>
            <w:tcW w:w="100" w:type="dxa"/>
            <w:vAlign w:val="bottom"/>
          </w:tcPr>
          <w:p>
            <w:pPr>
              <w:spacing w:after="0"/>
              <w:rPr>
                <w:sz w:val="18"/>
                <w:szCs w:val="18"/>
                <w:color w:val="auto"/>
              </w:rPr>
            </w:pPr>
          </w:p>
        </w:tc>
        <w:tc>
          <w:tcPr>
            <w:tcW w:w="82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1,958,245</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196</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 xml:space="preserve"> 313,481,082</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6"/>
              </w:rPr>
              <w:t>$ (301,051,593)</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12,429,685</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on options issued</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22,060</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22,060</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(3,575,673)</w:t>
            </w:r>
          </w:p>
        </w:tc>
        <w:tc>
          <w:tcPr>
            <w:tcW w:w="1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(3,575,673)</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2024</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1,958,245</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196</w:t>
            </w:r>
          </w:p>
        </w:tc>
        <w:tc>
          <w:tcPr>
            <w:tcW w:w="1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 xml:space="preserve"> 313,503,142</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6"/>
              </w:rPr>
              <w:t>$ (304,627,266)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8,876,072</w:t>
            </w:r>
          </w:p>
        </w:tc>
        <w:tc>
          <w:tcPr>
            <w:tcW w:w="0" w:type="dxa"/>
            <w:vAlign w:val="bottom"/>
          </w:tcPr>
          <w:p>
            <w:pPr>
              <w:spacing w:after="0"/>
              <w:rPr>
                <w:sz w:val="1"/>
                <w:szCs w:val="1"/>
                <w:color w:val="auto"/>
              </w:rPr>
            </w:pPr>
          </w:p>
        </w:tc>
      </w:tr>
      <w:tr>
        <w:trPr>
          <w:trHeight w:val="20"/>
        </w:trPr>
        <w:tc>
          <w:tcPr>
            <w:tcW w:w="354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5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Public offering sale of common stock,</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vMerge w:val="restart"/>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20" w:type="dxa"/>
            <w:vAlign w:val="bottom"/>
            <w:vMerge w:val="restart"/>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warrants, and prefunded warrants, net</w:t>
            </w:r>
          </w:p>
        </w:tc>
        <w:tc>
          <w:tcPr>
            <w:tcW w:w="780" w:type="dxa"/>
            <w:vAlign w:val="bottom"/>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vMerge w:val="continue"/>
          </w:tcPr>
          <w:p>
            <w:pPr>
              <w:spacing w:after="0"/>
              <w:rPr>
                <w:sz w:val="20"/>
                <w:szCs w:val="20"/>
                <w:color w:val="auto"/>
              </w:rPr>
            </w:pPr>
          </w:p>
        </w:tc>
        <w:tc>
          <w:tcPr>
            <w:tcW w:w="220" w:type="dxa"/>
            <w:vAlign w:val="bottom"/>
            <w:vMerge w:val="continue"/>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1,450,661</w:t>
            </w:r>
          </w:p>
        </w:tc>
        <w:tc>
          <w:tcPr>
            <w:tcW w:w="480" w:type="dxa"/>
            <w:vAlign w:val="bottom"/>
          </w:tcPr>
          <w:p>
            <w:pPr>
              <w:spacing w:after="0"/>
              <w:rPr>
                <w:sz w:val="20"/>
                <w:szCs w:val="20"/>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92,292,719</w:t>
            </w:r>
          </w:p>
        </w:tc>
        <w:tc>
          <w:tcPr>
            <w:tcW w:w="130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92,292,864</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on options issued</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14,588</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14,588</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(3,960,469)</w:t>
            </w:r>
          </w:p>
        </w:tc>
        <w:tc>
          <w:tcPr>
            <w:tcW w:w="1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(3,960,469)</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2024</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3,408,906</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341</w:t>
            </w:r>
          </w:p>
        </w:tc>
        <w:tc>
          <w:tcPr>
            <w:tcW w:w="1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 xml:space="preserve"> 405,810,449</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6"/>
              </w:rPr>
              <w:t>$ (308,587,735)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97,223,055</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TENAX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ectPr>
          <w:pgSz w:w="11900" w:h="16838" w:orient="portrait"/>
          <w:cols w:equalWidth="0" w:num="1">
            <w:col w:w="11240"/>
          </w:cols>
          <w:pgMar w:left="320" w:top="140" w:right="339" w:bottom="0" w:gutter="0" w:footer="0" w:header="0"/>
        </w:sectPr>
      </w:pPr>
    </w:p>
    <w:bookmarkStart w:id="3" w:name="page4"/>
    <w:bookmarkEnd w:id="3"/>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00" w:type="dxa"/>
            <w:vAlign w:val="bottom"/>
          </w:tcPr>
          <w:p>
            <w:pPr>
              <w:spacing w:after="0"/>
              <w:rPr>
                <w:sz w:val="18"/>
                <w:szCs w:val="18"/>
                <w:color w:val="auto"/>
              </w:rPr>
            </w:pPr>
          </w:p>
        </w:tc>
        <w:tc>
          <w:tcPr>
            <w:tcW w:w="2540" w:type="dxa"/>
            <w:vAlign w:val="bottom"/>
            <w:gridSpan w:val="6"/>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r>
      <w:tr>
        <w:trPr>
          <w:trHeight w:val="238"/>
        </w:trPr>
        <w:tc>
          <w:tcPr>
            <w:tcW w:w="87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30</w:t>
            </w: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87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32"/>
        </w:trPr>
        <w:tc>
          <w:tcPr>
            <w:tcW w:w="8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6"/>
              </w:rPr>
              <w:t>(Unaudited)</w:t>
            </w:r>
          </w:p>
        </w:tc>
        <w:tc>
          <w:tcPr>
            <w:tcW w:w="100" w:type="dxa"/>
            <w:vAlign w:val="bottom"/>
          </w:tcPr>
          <w:p>
            <w:pPr>
              <w:spacing w:after="0"/>
              <w:rPr>
                <w:sz w:val="20"/>
                <w:szCs w:val="20"/>
                <w:color w:val="auto"/>
              </w:rPr>
            </w:pPr>
          </w:p>
        </w:tc>
      </w:tr>
      <w:tr>
        <w:trPr>
          <w:trHeight w:val="410"/>
        </w:trPr>
        <w:tc>
          <w:tcPr>
            <w:tcW w:w="8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(11,334,982)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(4,485,074)</w:t>
            </w: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2,864</w:t>
            </w:r>
          </w:p>
        </w:tc>
      </w:tr>
      <w:tr>
        <w:trPr>
          <w:trHeight w:val="216"/>
        </w:trPr>
        <w:tc>
          <w:tcPr>
            <w:tcW w:w="8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on debt instrument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23,465</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21,151</w:t>
            </w:r>
          </w:p>
        </w:tc>
      </w:tr>
      <w:tr>
        <w:trPr>
          <w:trHeight w:val="216"/>
        </w:trPr>
        <w:tc>
          <w:tcPr>
            <w:tcW w:w="8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Gain on sale of equipment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1,125</w:t>
            </w:r>
          </w:p>
        </w:tc>
      </w:tr>
      <w:tr>
        <w:trPr>
          <w:trHeight w:val="216"/>
        </w:trPr>
        <w:tc>
          <w:tcPr>
            <w:tcW w:w="8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Issuance and vesting of compensatory stock options and warrants</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155,438</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153,838</w:t>
            </w: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 prepaid expenses and other assets</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418,670</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342,834</w:t>
            </w:r>
          </w:p>
        </w:tc>
      </w:tr>
      <w:tr>
        <w:trPr>
          <w:trHeight w:val="216"/>
        </w:trPr>
        <w:tc>
          <w:tcPr>
            <w:tcW w:w="8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(546,558)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(765,730)</w:t>
            </w:r>
          </w:p>
        </w:tc>
      </w:tr>
      <w:tr>
        <w:trPr>
          <w:trHeight w:val="20"/>
        </w:trPr>
        <w:tc>
          <w:tcPr>
            <w:tcW w:w="87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(11,283,967)</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(4,728,992)</w:t>
            </w:r>
          </w:p>
        </w:tc>
      </w:tr>
      <w:tr>
        <w:trPr>
          <w:trHeight w:val="209"/>
        </w:trPr>
        <w:tc>
          <w:tcPr>
            <w:tcW w:w="87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2,843</w:t>
            </w:r>
          </w:p>
        </w:tc>
      </w:tr>
      <w:tr>
        <w:trPr>
          <w:trHeight w:val="20"/>
        </w:trPr>
        <w:tc>
          <w:tcPr>
            <w:tcW w:w="87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2,843</w:t>
            </w:r>
          </w:p>
        </w:tc>
      </w:tr>
      <w:tr>
        <w:trPr>
          <w:trHeight w:val="216"/>
        </w:trPr>
        <w:tc>
          <w:tcPr>
            <w:tcW w:w="8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common stock, warrants, and pre-funded warrants, net of offering costs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98,476,525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13,682,128</w:t>
            </w: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the exercise of warrants</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1,827,133</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511,311</w:t>
            </w: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on short-term note</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(500,903)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(449,836)</w:t>
            </w:r>
          </w:p>
        </w:tc>
      </w:tr>
      <w:tr>
        <w:trPr>
          <w:trHeight w:val="20"/>
        </w:trPr>
        <w:tc>
          <w:tcPr>
            <w:tcW w:w="87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99,802,755</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13,743,603</w:t>
            </w:r>
          </w:p>
        </w:tc>
      </w:tr>
      <w:tr>
        <w:trPr>
          <w:trHeight w:val="216"/>
        </w:trPr>
        <w:tc>
          <w:tcPr>
            <w:tcW w:w="8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88,518,788</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9,017,454</w:t>
            </w:r>
          </w:p>
        </w:tc>
      </w:tr>
      <w:tr>
        <w:trPr>
          <w:trHeight w:val="20"/>
        </w:trPr>
        <w:tc>
          <w:tcPr>
            <w:tcW w:w="8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9,792,130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2,123,682</w:t>
            </w:r>
          </w:p>
        </w:tc>
      </w:tr>
      <w:tr>
        <w:trPr>
          <w:trHeight w:val="20"/>
        </w:trPr>
        <w:tc>
          <w:tcPr>
            <w:tcW w:w="87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98,310,918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11,141,136</w:t>
            </w:r>
          </w:p>
        </w:tc>
      </w:tr>
      <w:tr>
        <w:trPr>
          <w:trHeight w:val="20"/>
        </w:trPr>
        <w:tc>
          <w:tcPr>
            <w:tcW w:w="8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23,465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21,151</w:t>
            </w: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Non-cash financing activity</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Cashless exercise of warrants and prefunded warrants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TENAX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BUSINESS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Tenax Therapeutics, Inc. (the “Company” or “Tenax”) was originally formed as a New Jersey corporation in 1967 under the name Rudmer, David &amp; Associates, Inc., and subsequently changed its name to Synthetic Blood International, Inc. On June 17, 2008, the stockholders of Synthetic Blood International approved the Agreement and Plan of Merger dated April 28, 2008, between Synthetic Blood International and Oxygen Biotherapeutics, Inc., a Delaware corporation. Synthetic Blood International formed Oxygen Biotherapeutics on April 17, 2008 to participate in the merger for the purpose of changing the state of domicile of Synthetic Blood International from New Jersey to Delaware. Certificates of Merger were filed with the states of New Jersey and Delaware and the merger was effective June 30, 2008. Under the Plan of Merger, Oxygen Biotherapeutics was the surviving corporation and each share of Synthetic Blood International common stock outstanding on June 30, 2008 was converted into one share of Oxygen Biotherapeutics common stock. On September 19, 2014, the Company changed its name to Tenax Therapeutics, Inc.</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November 13, 2013, the Company, through its wholly-owned subsidiary, Life Newco, Inc., a Delaware corporation (“Life NewCo”), acquired certain assets of Phyxius Pharma, Inc., a Delaware corporation (“Phyxius”) pursuant to an Asset Purchase Agreement dated October 21, 2013 (the “Asset Purchase Agreement”), by and among the Company, Life Newco, Phyxius and the stockholders of Phyxius. Among these assets was a license with Orion Corporation, a global healthcare company incorporated under the laws of Finland (“Orion”) for the exclusive, sublicensable right to develop and commercialize pharmaceutical products containing levosimendan, 2.5 mg/ml concentrate for solution for infusion / 5ml vial in the United States and Canada. On October 9, 2020 and January 25, 2022, the Company entered into an amendment to the license to include in the scope of the license two new oral product formulations containing levosimendan, in capsule and solid dosage form (TNX-103) and a subcutaneously administered dosage form (TNX-102), subject to specified limitations (together, the “Product”).</w:t>
      </w:r>
    </w:p>
    <w:p>
      <w:pPr>
        <w:spacing w:after="0" w:line="19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In February 2024, the Company entered into an additional amendment to the license (as amended, the “License”), providing global rights to oral and subcutaneous formulations of levosimendan used in the treatment of pulmonary hypertension in heart failure with preserved ejection fraction (“PH-HFpEF”), revising the royalty structure, lowering the royalty rates, modifying milestones associated with certain regulatory and commercial achievements, and excluding from the Company’s right of first refusal the right to commercialize new applications of levosimendan for neurological diseases and disorders developed by Orion. Pursuant to the License, the Company and Orion will agree to a new trademark when commercializing levosimendan in either of these forms. The term of the License has been extended until 10 years after the launch of the Product in the territory, provided that the License will continue after the end of the term in each country in the territory until the expiration of Orion’s patent rights in the Product in such country. In the event that</w:t>
      </w:r>
    </w:p>
    <w:p>
      <w:pPr>
        <w:sectPr>
          <w:pgSz w:w="11900" w:h="16931" w:orient="portrait"/>
          <w:cols w:equalWidth="0" w:num="1">
            <w:col w:w="11240"/>
          </w:cols>
          <w:pgMar w:left="320" w:top="117" w:right="339" w:bottom="0" w:gutter="0" w:footer="0" w:header="0"/>
        </w:sectPr>
      </w:pPr>
    </w:p>
    <w:bookmarkStart w:id="4" w:name="page5"/>
    <w:bookmarkEnd w:id="4"/>
    <w:p>
      <w:pPr>
        <w:jc w:val="both"/>
        <w:spacing w:after="0" w:line="266" w:lineRule="auto"/>
        <w:rPr>
          <w:sz w:val="20"/>
          <w:szCs w:val="20"/>
          <w:color w:val="auto"/>
        </w:rPr>
      </w:pPr>
      <w:r>
        <w:rPr>
          <w:rFonts w:ascii="Times New Roman" w:cs="Times New Roman" w:eastAsia="Times New Roman" w:hAnsi="Times New Roman"/>
          <w:sz w:val="18"/>
          <w:szCs w:val="18"/>
          <w:color w:val="auto"/>
        </w:rPr>
        <w:t>no regulatory approval for the Product has been granted in the United States on or before September 20, 2030, however, either party will have the right to terminate the License with immediate effect. The Company intends to conduct two upcoming Phase 3 studies in pulmonary hypertension patients utilizing one of these oral formulations. See “Note 6 - Commitments and Contingencies” below for a further discussion of the License.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15, 2021, the Company, Life Newco II, Inc., a Delaware corporation and a wholly-owned, subsidiary of the Company (“Life Newco II”), PHPrecisionMed Inc., a Delaware corporation (“PHPM”) and Dr. Stuart Rich, solely in his capacity as holders’ representative, entered into an Agreement and Plan of Merger (the “Merger Agreement”) pursuant to which the Company acquired all of the equity of PHPM, a company developing pharmaceutical products containing imatinib for the treatment of pulmonary arterial hypertension (“PAH”) in the United States and the rest of the world. Under the terms of the Merger Agreement, Life Newco II merged with and into PHPM, with PHPM surviving as a wholly-owned subsidiary of the Company.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Going Concern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believes the accompanying unaudited condensed consolidated financial statements have been prepared in conformity with accounting principles generally accepted in the United States of America (“GAAP”), which contemplate continuation of the Company as a going concern. The Company has an accumulated deficit of approximately $308.6 million and $297.3 million on September 30, 2024, and December 31, 2023, respectively, and expects to incur substantial operating losses for the foreseeable future.</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August 8, 2024, the Company closed a private placement financing (the “August 2024 Offering”), generating gross proceeds of approximately $99.7 million, before deducting placement agent fees and estimated offering expenses payable by the Company. In assessing its ability to continue as a going concern, the Company has carefully evaluated the conditions and events that may raise substantial doubt about its ability to continue operations for one year from the issuance date of the financial statements included herein. This evaluation considered several factors, including the Company's current financial condition and available liquidity sources, which now include the proceeds from the August 2024 Offering. Additionally, the assessment incorporated the Company’s current cash and cash equivalents balances, projected cash flows, and obligations due within twelve months of the issuance date of these financial statements.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view of the matters described above, the Company has determined that there is no longer substantial doubt about its ability to continue as a going concern given the approximately $99.7 million in gross proceeds from the August 2024 Offering, which is believed by Company management to be sufficient for the Company to continue its operations over at least the next 12 months.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GAAP for interim financial information and the instructions to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and Article 10 of Regulation S-X. Accordingly, they do not include all the information and footnotes required by GAAP for complete financial statements. In the opinion of management, the unaudited condensed consolidated financial statements reflect all adjustments, which include only normal recurring adjustments necessary for the fair statement of the balances and results for the periods presented. Certain information and footnote disclosures normally included in the Company’s annual financial statements prepared in accordance with GAAP have been condensed or omitted. These condensed consolidated financial statement results are not necessarily indicative of results to be expected for the full fiscal year or any future period.</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and related disclosures have been prepared with the presumption that users of the unaudited condensed consolidated financial statements have read or have access to the audited financial statements for the preceding fiscal year. Accordingly, these unaudited condensed consolidated financial statements should be read in conjunction with the Company’s Form 10-K, which was filed with the United States Securities and Exchange Commission (“SEC”) on March 28, 2024, from which the Company derived the balance sheet data on December 31, 2023.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preparation of the accompanying unaudited condensed consolidated financial statements in conformity with GAAP requires management to make certain estimates and assumptions that affect the reported amounts of assets and liabilities and disclosure of contingent assets and liabilities at the date of the unaudited condensed consolidated financial statements and reported amounts of expenses during the reporting period. Actual results could differ from those estimates.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an ongoing basis, management reviews its estimates to ensure that these estimates appropriately reflect changes in the Company’s business and new information as it becomes available. If historical experience and other factors used by management to make these estimates do not reasonably reflect future activity, the Company’s results of operations and financial position could be materially impacted.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 the accounts and transactions of Tenax, Life Newco, Inc. and PHPM.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material intercompany transactions and balances have been eliminated in consolidation.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adjusted the financial statements to reflect that on January 2, 2024, we effected a 1-for-80 reverse stock split (the “Reverse Stock Split”). The Company has also adjusted the financial statements to reflect that on January 4, 2023, we effected a 1-for-20 reverse stock split (the “Prior Reverse Stock Split”, together with the Reverse Stock Split, the “Reverse Stock Splits”). The Reverse Stock Splits did not change the number of authorized shares of capital stock or cause an adjustment to the par value of our capital stock. Pursuant to their terms, a proportionate adjustment was made to the per share exercise price and number of shares issuable under our outstanding stock options and warrants. The number of shares authorized for issuance pursuant to our equity incentive plans has also been adjusted proportionately to reflect the Reverse Stock Splits.</w:t>
      </w:r>
    </w:p>
    <w:p>
      <w:pPr>
        <w:sectPr>
          <w:pgSz w:w="11900" w:h="16838" w:orient="portrait"/>
          <w:cols w:equalWidth="0" w:num="1">
            <w:col w:w="11240"/>
          </w:cols>
          <w:pgMar w:left="320" w:top="121" w:right="339" w:bottom="0" w:gutter="0" w:footer="0" w:header="0"/>
        </w:sectPr>
      </w:pPr>
    </w:p>
    <w:bookmarkStart w:id="5" w:name="page6"/>
    <w:bookmarkEnd w:id="5"/>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considers all highly liquid instruments with a maturity date of three months or less, when acquired, to be cash equivalents.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Concentration Risk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Federal Deposit Insurance Corporation (the “FDIC”) insurance limits are $250,000 per depositor per insured bank. The Company had cash balances of $495,909 and $2,383,498 uninsured by the FDIC as of September 30, 2024 and December 31, 2023, respectively. In August 2023, the Company, through its commercial bank began to utilize the IntraFi network of commercial banks. IntraFi deposits $250,000 in each of its member banks to maintain the FDIC insurance limit. On September 30, 2024, the Company had $97.6 million deposited in the network which is fully FDIC insured.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financed its operations since September 1990 through the issuance of debt and equity securities and loans from stockholders. The Company had total current assets of approximately $99.8 million and $11.7 million and working capital of $97.2 million and $8.1 million as of September 30, 2024, and December 31, 2023, respectively.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cash resources were approximately $98.3 million as of September 30, 2024, compared to cash resources of approximately $9.8 million as of December 31, 2023.</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expects to continue to incur expenses related to the development of levosimendan for PH-HFpEF and other potential indications and, over the long term, imatinib for PAH, as well as identifying and developing other potential product candidates. Based on its resources on September 30, 2024, the Company believes that it has sufficient capital to fund its planned operations through the end of 2027.</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the extent that the Company raises additional funds by issuing shares of its common stock or other securities convertible or exchangeable for shares of common stock, stockholders will experience dilution, which may be significant. In the event the Company raises additional capital through debt financings, the Company may incur significant interest expense and become subject to restrictive covenants in the related transaction documentation that may affect the manner in which the Company conducts its business. To the extent that the Company raises additional funds through collaboration and licensing arrangements, it may be necessary to relinquish some rights to its technologies or product candidates or grant licenses on terms that may not be favorable to the Company. Any or all of the foregoing may have a material adverse effect on the Company’s business and financial performance.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accounts for stock-based awards to employees in accordance with Accounting Standards Codification (“ASC”) 718, </w:t>
      </w:r>
      <w:r>
        <w:rPr>
          <w:rFonts w:ascii="Times New Roman" w:cs="Times New Roman" w:eastAsia="Times New Roman" w:hAnsi="Times New Roman"/>
          <w:sz w:val="18"/>
          <w:szCs w:val="18"/>
          <w:i w:val="1"/>
          <w:iCs w:val="1"/>
          <w:color w:val="auto"/>
        </w:rPr>
        <w:t>Compensation —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which provides for the use of the fair value-based method to determine compensation for all arrangements where shares of stock or 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instruments are issued for compensation. Fair values of equity securities are determined by management based predominantly on the trading price of the Company’s common stock. The values of these awards are based upon their grant-date fair value. That cost is recognized over the period during which the employee is required to provide service in exchange for the reward.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Equity-Based Payments to Non-Employees</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Company accounts for equity instruments issued to non-employees in accordance with ASC 505-50, </w:t>
      </w:r>
      <w:r>
        <w:rPr>
          <w:rFonts w:ascii="Times New Roman" w:cs="Times New Roman" w:eastAsia="Times New Roman" w:hAnsi="Times New Roman"/>
          <w:sz w:val="18"/>
          <w:szCs w:val="18"/>
          <w:i w:val="1"/>
          <w:iCs w:val="1"/>
          <w:color w:val="auto"/>
        </w:rPr>
        <w:t>Equity-Based Payments to Non-Employees</w:t>
      </w:r>
      <w:r>
        <w:rPr>
          <w:rFonts w:ascii="Times New Roman" w:cs="Times New Roman" w:eastAsia="Times New Roman" w:hAnsi="Times New Roman"/>
          <w:sz w:val="18"/>
          <w:szCs w:val="18"/>
          <w:color w:val="auto"/>
        </w:rPr>
        <w:t>. Equity instruments issued to non-employees are recorded at their fair value on the measurement date and are subject to periodic adjustment as the underlying equity instruments vest.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 for Common Shares and Derivative Financial Instruments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Warrants for our shares of common stock and other derivative financial instruments are classified as equity if the contracts: (i) require physical settlement or net-share settlement or (ii) give the Company a choice of net-cash settlement or settlement in its own shares (physical settlement or net-share settlement). Contracts are classified as equity or liabilities if the contracts: (i) require net-cash settlement (including a requirement to net cash settle the contract if an event occurs and if that event is outside the control of the Company), (ii) give the counterparty a choice of net-cash settlement or settlement in shares (physical settlement or net-share settlement), or (iii) contain reset provisions that do not qualify for the scope exception. The Company assesses the classification of its warrants for shares of common stock and other derivatives at each reporting date to determine whether a change in classification between equity and liabilities is required.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Per Share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loss per share, which excludes antidilutive securities, is computed by dividing net loss by the weighted-average number of common shares outstanding for that particular period. In contrast, diluted loss per share considers the potential dilution that could occur from other equity instruments that would increase the total number of outstanding shares of common stock. Such amounts include shares potentially issuable under outstanding options, restricted stock, and warrants.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outstanding options, restricted stock grants, convertible preferred shares and warrants were excluded from the computation of basic and diluted net loss per share for the periods presented because including them would have had an anti-dilutive effect.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00" w:type="dxa"/>
            <w:vAlign w:val="bottom"/>
          </w:tcPr>
          <w:p>
            <w:pPr>
              <w:spacing w:after="0"/>
              <w:rPr>
                <w:sz w:val="18"/>
                <w:szCs w:val="18"/>
                <w:color w:val="auto"/>
              </w:rPr>
            </w:pPr>
          </w:p>
        </w:tc>
        <w:tc>
          <w:tcPr>
            <w:tcW w:w="25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As of nine months ended</w:t>
            </w:r>
          </w:p>
        </w:tc>
      </w:tr>
      <w:tr>
        <w:trPr>
          <w:trHeight w:val="238"/>
        </w:trPr>
        <w:tc>
          <w:tcPr>
            <w:tcW w:w="8700" w:type="dxa"/>
            <w:vAlign w:val="bottom"/>
          </w:tcPr>
          <w:p>
            <w:pPr>
              <w:spacing w:after="0"/>
              <w:rPr>
                <w:sz w:val="20"/>
                <w:szCs w:val="20"/>
                <w:color w:val="auto"/>
              </w:rPr>
            </w:pPr>
          </w:p>
        </w:tc>
        <w:tc>
          <w:tcPr>
            <w:tcW w:w="254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09"/>
        </w:trPr>
        <w:tc>
          <w:tcPr>
            <w:tcW w:w="870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09"/>
        </w:trPr>
        <w:tc>
          <w:tcPr>
            <w:tcW w:w="8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to purchase common stock</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19,886,360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21,528</w:t>
            </w: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1,731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936</w:t>
            </w:r>
          </w:p>
        </w:tc>
      </w:tr>
      <w:tr>
        <w:trPr>
          <w:trHeight w:val="117"/>
        </w:trPr>
        <w:tc>
          <w:tcPr>
            <w:tcW w:w="870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bl>
    <w:p>
      <w:pPr>
        <w:sectPr>
          <w:pgSz w:w="11900" w:h="16900" w:orient="portrait"/>
          <w:cols w:equalWidth="0" w:num="1">
            <w:col w:w="11240"/>
          </w:cols>
          <w:pgMar w:left="320" w:top="117" w:right="33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preferred shares outstanding</w:t>
            </w:r>
          </w:p>
        </w:tc>
        <w:tc>
          <w:tcPr>
            <w:tcW w:w="410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210</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210</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BALANCE SHEET COMPONENTS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primarily consist of office furniture and fixtures.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had depreciation expense of $0 and $1,000 for the three months ended September 30, 2024, and 2023, respectively. For the nine months ended September 30, 2024, and 2023, the Company had depreciation expense of $0 and $2,900, respectively.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Accrued liabilities</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 consists of the following:</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8700" w:type="dxa"/>
            <w:vAlign w:val="bottom"/>
          </w:tcPr>
          <w:p>
            <w:pPr>
              <w:spacing w:after="0"/>
              <w:rPr>
                <w:sz w:val="24"/>
                <w:szCs w:val="24"/>
                <w:color w:val="auto"/>
              </w:rPr>
            </w:pP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September 30,</w:t>
            </w:r>
          </w:p>
        </w:tc>
        <w:tc>
          <w:tcPr>
            <w:tcW w:w="12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87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0"/>
                <w:szCs w:val="20"/>
                <w:color w:val="auto"/>
              </w:rPr>
            </w:pPr>
          </w:p>
        </w:tc>
      </w:tr>
      <w:tr>
        <w:trPr>
          <w:trHeight w:val="210"/>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costs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105,823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236,878</w:t>
            </w: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Employee related</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871,722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775,590</w:t>
            </w:r>
          </w:p>
        </w:tc>
      </w:tr>
      <w:tr>
        <w:trPr>
          <w:trHeight w:val="20"/>
        </w:trPr>
        <w:tc>
          <w:tcPr>
            <w:tcW w:w="87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87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977,545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1,012,468</w:t>
            </w:r>
          </w:p>
        </w:tc>
      </w:tr>
      <w:tr>
        <w:trPr>
          <w:trHeight w:val="27"/>
        </w:trPr>
        <w:tc>
          <w:tcPr>
            <w:tcW w:w="87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1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 4. NOTE PAYABLE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Premium Finance Agreement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31, 2023, the Company executed a premium finance note agreement (the “Note”) with Premium Funding Associates, Inc. The Note financed the Company’s Directors and Officers Insurance Policy as well as the Errors and Omissions policy. The total amount financed was $548,750. The Company paid a down payment of $47,847 at execution leaving a balance of $500,903 payable in monthly installments of $47,847 through December 1, 2024. The Note had an interest rate of 9.95%. The Company recorded interest expense on the Note in the amount of $6,312 and $23,465 for the three and nine months ended September 30, 2024. During the quarter ended September 30, 2024, the Company repaid the entire outstanding balance of the Note. The balance on the Note as of September 30, 2024 and December 31, 2023, was zero and $500,903, respectively.</w:t>
      </w:r>
    </w:p>
    <w:p>
      <w:pPr>
        <w:spacing w:after="0" w:line="1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 5. LEASE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January 2011, the Company entered into a lease (the “Lease”) with Concourse Associates, LLC (the “Landlord”) for its headquarters located at ONE Copley Parkway, Suite 490, Morrisville, North Carolina (the “Premises”). The Lease was amended in August 2015, March 2016 and April 2021 to extend the term for the 5,954 square foot rental. Pursuant to the Amendment dated April 2021, the existing lease term was extended through June 30, 2024, and the annual base rent of $125,034 would increase 2.5% annually for lease years two and three. On February 7, 2023, the Company entered into a Lease Termination Agreement with the Landlord, with respect to the Premises. As consideration for the Landlord’s entry into the Lease Termination Agreement, including a release of any claims the Landlord may have had against the Company under the Lease, the Company paid the Landlord $169,867. Pursuant to the Lease Termination Agreement, effective February 8, 2023, the Company has no remaining rent or further obligations to the Landlord pursuant to the Lease.</w:t>
      </w:r>
    </w:p>
    <w:p>
      <w:pPr>
        <w:spacing w:after="0" w:line="19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The Company performed an evaluation of its other contracts with customers and suppliers in accordance with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and determined that, except for the Lease described above, none of the Company’s contracts contain a lease.</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owns no real property. Beginning November 1, 2022, we maintain a membership providing dedicated office space, as well as shared services and shared space for meetings, catering, and other business activities, at our principal executive office relocated to 101 Glen Lennox Drive, Suite 300, Chapel Hill, North Carolina 27517.</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current rent is approximately $800 per month.</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Simdax license agreement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November 13, 2013, the Company, through its wholly-owned subsidiary, Life Newco, Inc., acquired certain assets of Phyxius pursuant to the Asset Purchase Agreement by and among the Company, Life Newco, Phyxius and the stockholders of Phyxius. Among these assets was a license with Orion for the exclusive, sublicensable right to develop and commercialize pharmaceutical products containing levosimendan, 2.5 mg/ml concentrate for solution for infusion / 5ml vial in the United States and Canada. On October 9, 2020 and January 25, 2022, the Company entered into an amendment to the license to include in the scope of the license two new oral Product formulations containing levosimendan, in capsule and solid dosage form (TNX-103) and a subcutaneously administered dosage form (TNX-102), subject to specified limitations.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19, 2024, the Company entered into an additional amendment to the License providing global rights to oral and subcutaneous formulations of levosimendan used in the treatment of PH-HFpEF. The amendment also reduced the tiered royalties based on worldwide net sales of the product by the Company and its sublicensees, increased the License’s existing milestone payment due to Orion upon the grant of United States Food and Drug Administration approval of a levosimendan-based product to $10.0 million and added a milestone payment to Orion of $5.0 million due upon the grant of regulatory approval for a levosimendan-based product in Japan. The amendment also (i) increased the Company’s obligations to make certain non-refundable commercialization milestone payments to Orion, aggregating to up to $45.0 million, contingent upon achievement of certain cumulative worldwide sales of the product by the Company, and (ii) reduced the maximum price per capsule payable by the Company to Orion, under a yet-to-be-</w:t>
      </w:r>
    </w:p>
    <w:p>
      <w:pPr>
        <w:sectPr>
          <w:pgSz w:w="11900" w:h="16838" w:orient="portrait"/>
          <w:cols w:equalWidth="0" w:num="1">
            <w:col w:w="11240"/>
          </w:cols>
          <w:pgMar w:left="320" w:top="140" w:right="339" w:bottom="0" w:gutter="0" w:footer="0" w:header="0"/>
        </w:sectPr>
      </w:pPr>
    </w:p>
    <w:bookmarkStart w:id="7" w:name="page8"/>
    <w:bookmarkEnd w:id="7"/>
    <w:p>
      <w:pPr>
        <w:jc w:val="both"/>
        <w:spacing w:after="0" w:line="282" w:lineRule="auto"/>
        <w:rPr>
          <w:sz w:val="20"/>
          <w:szCs w:val="20"/>
          <w:color w:val="auto"/>
        </w:rPr>
      </w:pPr>
      <w:r>
        <w:rPr>
          <w:rFonts w:ascii="Times New Roman" w:cs="Times New Roman" w:eastAsia="Times New Roman" w:hAnsi="Times New Roman"/>
          <w:sz w:val="18"/>
          <w:szCs w:val="18"/>
          <w:color w:val="auto"/>
        </w:rPr>
        <w:t>negotiated supply agreement, for the commercial supply of oral levosimendan-based product. Pursuant to the License, the Company and Orion will agree to a new trademark when commercializing levosimendan in either of the dosage forms.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term of the License extends until 10 years after the launch of the Product in the territory, provided that the License will continue after the end of the term in each country in the territory until the expiration of Orion’s patent rights in the Product in such country. In the event that no regulatory approval for the Product has been granted in the United States on or before September 20, 2030, however, either party will have the right to terminate the License with immediate effect.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License also grants the Company a right of first refusal to commercialize new developments of the Product, including developments as to the formulation, presentation, means of delivery, route of administration, dosage or indication but, pursuant to the February 2024 amendment, excluding new applications of levosimendan for neurological diseases and disorders developed by Orion.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2024, the Company has not met any of the developmental milestones under the License and, accordingly, has not recorded any liability for the contingent payments due to Orion.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subject to litigation in the normal course of business, none of which management believes will have a material adverse effect on the Company’s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STOCKHOLDERS’ EQUITY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Company’s Certificate of Incorporation, the Board is authorized, without further stockholder action, to provide for the issuance of up to 10,000,000 shares of preferred stock, par value $0.0001 per share, in one or more series, to establish from time to time the number of shares to be included in each such series, and to fix the designation, powers, preferences and rights of the shares of each such series and the qualifications, limitations and restrictions thereof.</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A Stock</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11, 2018, the Company closed its underwritten offering of 5,181,346 units for net proceeds of approximately $9.0 million (the “2018 Offering”). Each unit consisted of (i) one share of the Company’s Series A convertible preferred stock, par value $0.0001 per share (the “Series A Stock”),</w:t>
      </w:r>
    </w:p>
    <w:p>
      <w:pPr>
        <w:jc w:val="both"/>
        <w:ind w:right="20" w:firstLine="8"/>
        <w:spacing w:after="0" w:line="221" w:lineRule="auto"/>
        <w:tabs>
          <w:tab w:leader="none" w:pos="26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two-year warrant to purchase 1/1600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of a share of common stock at an exercise price of $1.93, and (iii) a five-year warrant to purchase 1/1600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of a share of common stock at an exercise price of $1.93. In accordance with </w:t>
      </w:r>
      <w:r>
        <w:rPr>
          <w:rFonts w:ascii="Times New Roman" w:cs="Times New Roman" w:eastAsia="Times New Roman" w:hAnsi="Times New Roman"/>
          <w:sz w:val="18"/>
          <w:szCs w:val="18"/>
          <w:i w:val="1"/>
          <w:iCs w:val="1"/>
          <w:color w:val="auto"/>
        </w:rPr>
        <w:t>ASC 480, Distinguishing Liabilities from Equity</w:t>
      </w:r>
      <w:r>
        <w:rPr>
          <w:rFonts w:ascii="Times New Roman" w:cs="Times New Roman" w:eastAsia="Times New Roman" w:hAnsi="Times New Roman"/>
          <w:sz w:val="18"/>
          <w:szCs w:val="18"/>
          <w:color w:val="auto"/>
        </w:rPr>
        <w:t>, the estimated fair value of $1.8 million for the beneficial conversion feature was recognized as a deemed dividend on the Series A Stock during the year ended December 31, 2018.</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2024, there were 210 shares of Series A Stock outstanding convertible in the aggregate into one share of common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and Pre-Funded Warrants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Certificate of Incorporation authorizes it to issue 400,000,000 shares of $0.0001 par value common stock. As of September 30, 2024, and December 31, 2023, there were 3,408,906 and 298,281 shares of common stock issued and outstanding, respectively. As of September 30, 2024, and December 31, 2023, there were 31,882,671 and no pre-funded warrants outstanding, respectively.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adjusted all share amounts and references to stock prices in this Quarterly Report on Form 10-Q, as well as our financial statements, to reflect the Reverse Stock Splits. The Reverse Stock Splits did not change the number of authorized shares of capital stock or cause an adjustment to the par value of our capital stock. Pursuant to their terms, a proportionate adjustment was made to the per share exercise price and number of shares issuable under our outstanding stock options and warrants. The number of shares authorized for issuance pursuant to our equity incentive plans has also been adjusted proportionately to reflect the Reverse Stock Splits.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August 2024 Private Placement Financing (the “August 2024 Offering”)</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August 6, 2024, the Company entered into a securities purchase agreement with certain accredited investors for the purchase and sale, in a private placement financing by the Company, of (i) an aggregate of 1,450,661 shares of its common stock, and pre-funded warrants to purchase an aggregate of 31,882,671 shares of common stock and (ii) accompanying warrants to purchase up to an aggregate of 16,666,666 shares of its common stock (or, in lieu thereof, additional pre-funded warrants) at a combined offering price of $3.00 per share of common stock and accompanying warrant, or $2.99 per pre-funded warrant and accompanying warrant, resulting in gross proceeds of approximately $99.7 million. The pre-funded warrants do not expire and have an exercise price of $0.01. The net proceeds of the August 2024 Offering after deducting placement agent fees and direct offering expenses were approximately $92.3 million. The fair value allocated to the common stock, pre-funded warrants, and warrants was $3.2 million, $69.4 million, and $27.1 million, respectively.</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Also, on August 6, 2024 and in connection with the August 2024 Offering, the Company entered into a registration rights agreement (the “August 2024 Registration Rights Agreement”) with the purchasers, pursuant to which the Company agreed to register for resale the shares of common stock issued in the August 2024 Offering and the shares of common stock issuable upon exercise of the warrants issued in the August 2024 Offering within 60 days following the effective date of the August 2024 Registration Rights Agreement. Pursuant to the August 2024 Registration Rights Agreement, on August 30, 2024, the Company filed a resale registration statement on Form S-3 with the SEC, which went effective on September 12, 2024.</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August 2024 Registration Rights Agreement includes liquidated damages provisions that meet the definition of a registration payment arrangement that is within the scope of ASC 825-20. The Company determined at the initial issuance of the pre-funded warrants and accompanying warrant that it is not probable that a payment would be required as it has both the intent and ability to satisfy the August 2024 Registration Rights Agreement. Therefore, the Company did not record a liability at inception but will evaluate the contingency at each reporting period.</w:t>
      </w:r>
    </w:p>
    <w:p>
      <w:pPr>
        <w:sectPr>
          <w:pgSz w:w="11900" w:h="16838" w:orient="portrait"/>
          <w:cols w:equalWidth="0" w:num="1">
            <w:col w:w="11240"/>
          </w:cols>
          <w:pgMar w:left="320" w:top="121" w:right="339" w:bottom="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i w:val="1"/>
          <w:iCs w:val="1"/>
          <w:color w:val="auto"/>
        </w:rPr>
        <w:t>February 2024 Registered Public Offering (the “February 2024 Offering”)</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8, 2024, the Company entered into a securities purchase agreement with certain purchasers for the purchase and sale, in a registered public offering by the Company, of (i) an aggregate of 421,260 shares of its common stock, and pre-funded warrants to purchase an aggregate of 1,178,740 shares of common stock and (ii) accompanying warrants to purchase up to an aggregate of 3,200,000 shares of its common stock at a combined offering price of $5.65 per share of common stock and associated warrant, or $5.649 per pre-funded warrant and associated warrant, resulting in gross proceeds of approximately $9.0 million. The net proceeds of the February 2024 Offering after deducting placement agent fees and direct offering expenses were approximately $8.0 million. The fair value allocated to the common stock, pre-funded warrants and warrants was $0.9 million, $2.4 million, and $5.7 million, respectively.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February 2023 Registered Public Offering (the “February 2023 Offering”)</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3, 2023, the Company entered into a securities purchase agreement with certain purchasers for the purchase and sale, in a registered public offering by the Company, of (i) an aggregate of 86,994 shares of its common stock, and pre-funded warrants to purchase an aggregate of 21,341 shares of common stock and (ii) accompanying warrants to purchase up to an aggregate of 216,667 shares of its common stock at a combined offering price of $144 per share of common stock and associated common warrant, or $143.92 per pre-funded warrant and associated common warrant, resulting in gross proceeds of approximately $15.6 million. The net proceeds of the February 2023 Offering after deducting placement agent fees and direct offering expenses were approximately $14.1 million. The fair value allocated to the common stock, pre-funded warrants and warrants was $5.0 million, $1.2 million and $9.4 million,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May 2022 Private Placement (the “May 2022 Offering”)</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May 17, 2022, the Company entered into a securities purchase agreement with an institutional investor, pursuant to which the Company agreed to sell and issue to the investor 6,623 units in a private placement at a purchase price of $1,240 per unit. Each unit consisted of (i) one unregistered pre-funded warrant to purchase one share of common stock and (ii) one unregistered warrant to purchase one share of common stock (together with the pre-funded warrants, the “2022 Warrants”). In the aggregate, 13,246 shares of the Company’s common stock are underlying the 2022 Warrants. The net proceeds from the private placement, after direct offering expenses, were approximately $7.9 million. The fair value allocated to the pre-funded warrants and warrants was $4.2 million and $3.8 million, respectively.</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Also, on May 17, 2022 and in connection with the May 2022 Offering, the Company entered into a registration rights agreement (the “May 2022 Registration Rights Agreement”) with the investor, pursuant to which the Company agreed to register for resale the shares of common stock issuable upon exercise of the 2022 Warrants within 120 days following the effective date of the May 2022 Registration Rights Agreement. Pursuant to the May 2022 Registration Rights Agreement, on May 25, 2022, the Company filed a resale registration statement on Form S-3 with the SEC, which went effective on June 3, 2022.</w:t>
      </w:r>
    </w:p>
    <w:p>
      <w:pPr>
        <w:spacing w:after="0" w:line="3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in connection with the May 2022 Offering, the Company entered into a warrant amendment agreement (the “Warrant Amendment Agreement”) with the investor, in consideration for the investor’s purchase of units in the May 2022 Offering, pursuant to which the Company agreed to amend certain previously issued warrants held by the investor. The terms of the amended and restated warrants are described further below under “Note 7 —Stockholders Equity—Warrants”.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2024, the Company has 19,886,360 warrants outstanding. The following table summarizes the Company’s warrant activity for the nine months ended September 30, 2024, not including pre-funded warrants: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8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38"/>
        </w:trPr>
        <w:tc>
          <w:tcPr>
            <w:tcW w:w="8700" w:type="dxa"/>
            <w:vAlign w:val="bottom"/>
          </w:tcPr>
          <w:p>
            <w:pPr>
              <w:spacing w:after="0"/>
              <w:rPr>
                <w:sz w:val="20"/>
                <w:szCs w:val="20"/>
                <w:color w:val="auto"/>
              </w:rPr>
            </w:pPr>
          </w:p>
        </w:tc>
        <w:tc>
          <w:tcPr>
            <w:tcW w:w="11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220" w:type="dxa"/>
            <w:vAlign w:val="bottom"/>
          </w:tcPr>
          <w:p>
            <w:pPr>
              <w:spacing w:after="0"/>
              <w:rPr>
                <w:sz w:val="20"/>
                <w:szCs w:val="20"/>
                <w:color w:val="auto"/>
              </w:rPr>
            </w:pPr>
          </w:p>
        </w:tc>
        <w:tc>
          <w:tcPr>
            <w:tcW w:w="11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100" w:type="dxa"/>
            <w:vAlign w:val="bottom"/>
          </w:tcPr>
          <w:p>
            <w:pPr>
              <w:spacing w:after="0"/>
              <w:rPr>
                <w:sz w:val="20"/>
                <w:szCs w:val="20"/>
                <w:color w:val="auto"/>
              </w:rPr>
            </w:pPr>
          </w:p>
        </w:tc>
      </w:tr>
      <w:tr>
        <w:trPr>
          <w:trHeight w:val="210"/>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at December 31, 2023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19,694</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1,095.27</w:t>
            </w: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Issued</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19,866,666</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4.69</w:t>
            </w: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70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32"/>
        </w:trPr>
        <w:tc>
          <w:tcPr>
            <w:tcW w:w="8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Outstanding at September 30, 2024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19,886,360</w:t>
            </w:r>
          </w:p>
        </w:tc>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5.77</w:t>
            </w: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August 2024 Warrants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As described above, as part of the August 2024 Offering, the Company issued unregistered warrants to purchase 16,666,666 shares of its common stock at an exercise price of $4.50 per share. The warrants expire at the earlier of (i) 30 trading days following the date of the Company’s initial public announcement of topline data from its Phase 3 LEVEL trial (the “Topline Data Announcement”), (ii) immediately upon the exercise of the August 2024 pre-funded warrants if such exercise is prior to the Topline Data Announcement, provided that if the pre-funded warrant is not exercised in full, the warrant expires proportionally to the extent the pre-funded warrant is exercised, and (iii) August 8, 2029. The warrants have an estimated term of 1.8 years. The unregistered warrants were offered in a private placement under Section 4(a)(2) of the Securities Act of 1933, as amended (the “Securities Act”) and Regulation D promulgated thereunder. In accordance with </w:t>
      </w:r>
      <w:r>
        <w:rPr>
          <w:rFonts w:ascii="Times New Roman" w:cs="Times New Roman" w:eastAsia="Times New Roman" w:hAnsi="Times New Roman"/>
          <w:sz w:val="18"/>
          <w:szCs w:val="18"/>
          <w:i w:val="1"/>
          <w:iCs w:val="1"/>
          <w:color w:val="auto"/>
        </w:rPr>
        <w:t>ASC 815, Derivatives and Hedging</w:t>
      </w:r>
      <w:r>
        <w:rPr>
          <w:rFonts w:ascii="Times New Roman" w:cs="Times New Roman" w:eastAsia="Times New Roman" w:hAnsi="Times New Roman"/>
          <w:sz w:val="18"/>
          <w:szCs w:val="18"/>
          <w:color w:val="auto"/>
        </w:rPr>
        <w:t>, these warrants are classified as equity and their relative fair value of approximately $27.1 million was recognized as additional paid in capital. The estimated fair value is determined using the Black-Scholes option pricing model, which is based on the value of the underlying common stock at the valuation measurement date, the remaining contractual term of the warrants, the risk-free interest rate, expected dividends and expected volatility of the price of the underlying common stock. The assumptions used in the Black-Scholes Option Pricing model were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Remaining estimated term</w:t>
            </w:r>
          </w:p>
        </w:tc>
        <w:tc>
          <w:tcPr>
            <w:tcW w:w="50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1.8 Years</w:t>
            </w: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5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dividends</w:t>
            </w:r>
          </w:p>
        </w:tc>
        <w:tc>
          <w:tcPr>
            <w:tcW w:w="50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bl>
    <w:p>
      <w:pPr>
        <w:sectPr>
          <w:pgSz w:w="11900" w:h="16838" w:orient="portrait"/>
          <w:cols w:equalWidth="0" w:num="1">
            <w:col w:w="11240"/>
          </w:cols>
          <w:pgMar w:left="320" w:top="119" w:right="339"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5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177.27%</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February 2024 Warrants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As described above, as a part of the February 2024 Offering, the Company issued registered warrants to purchase 3,200,000 shares of its common stock at an exercise price of $5.65 per share and contractual term of five years. In accordance with </w:t>
      </w:r>
      <w:r>
        <w:rPr>
          <w:rFonts w:ascii="Times New Roman" w:cs="Times New Roman" w:eastAsia="Times New Roman" w:hAnsi="Times New Roman"/>
          <w:sz w:val="18"/>
          <w:szCs w:val="18"/>
          <w:i w:val="1"/>
          <w:iCs w:val="1"/>
          <w:color w:val="auto"/>
        </w:rPr>
        <w:t>ASC 815, Derivatives and Hedging</w:t>
      </w:r>
      <w:r>
        <w:rPr>
          <w:rFonts w:ascii="Times New Roman" w:cs="Times New Roman" w:eastAsia="Times New Roman" w:hAnsi="Times New Roman"/>
          <w:sz w:val="18"/>
          <w:szCs w:val="18"/>
          <w:color w:val="auto"/>
        </w:rPr>
        <w:t>, these warrants are classified as equity and their relative fair value of approximately $5.7 million was recognized as additional paid in capital. The estimated fair value is determined using the Black-Scholes option pricing model which is based on the value of the underlying common stock at the valuation measurement date, the remaining contractual term of the warrants, risk-free interest rates, expected dividends and expected volatility of the price of the underlying common stock. The assumptions used in the Black-Scholes Option Pricing model were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Remaining contractual term</w:t>
            </w:r>
          </w:p>
        </w:tc>
        <w:tc>
          <w:tcPr>
            <w:tcW w:w="49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4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dividends</w:t>
            </w:r>
          </w:p>
        </w:tc>
        <w:tc>
          <w:tcPr>
            <w:tcW w:w="49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4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131.87%</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February 2023 Warrants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As described above, as a part of the February 2023 Offering, the Company issued registered warrants to purchase 216,667 shares of its common stock at an exercise price of $180.00 per share and contractual term of five years. In accordance with </w:t>
      </w:r>
      <w:r>
        <w:rPr>
          <w:rFonts w:ascii="Times New Roman" w:cs="Times New Roman" w:eastAsia="Times New Roman" w:hAnsi="Times New Roman"/>
          <w:sz w:val="18"/>
          <w:szCs w:val="18"/>
          <w:i w:val="1"/>
          <w:iCs w:val="1"/>
          <w:color w:val="auto"/>
        </w:rPr>
        <w:t>ASC 815, Derivatives and Hedging</w:t>
      </w:r>
      <w:r>
        <w:rPr>
          <w:rFonts w:ascii="Times New Roman" w:cs="Times New Roman" w:eastAsia="Times New Roman" w:hAnsi="Times New Roman"/>
          <w:sz w:val="18"/>
          <w:szCs w:val="18"/>
          <w:color w:val="auto"/>
        </w:rPr>
        <w:t>, these warrants are classified as equity and their relative fair value of approximately $10.6 million was recognized as additional paid in capital. The estimated fair value is determined using the Black-Scholes option pricing model which is based on the value of the underlying common stock at the valuation measurement date, the remaining contractual term of the warrants, risk-free interest rates, expected dividends and expected volatility of the price of the underlying common stock. The assumptions used in the Black-Scholes option pricing model were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Remaining contractual term</w:t>
            </w:r>
          </w:p>
        </w:tc>
        <w:tc>
          <w:tcPr>
            <w:tcW w:w="49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4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dividends</w:t>
            </w:r>
          </w:p>
        </w:tc>
        <w:tc>
          <w:tcPr>
            <w:tcW w:w="49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4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105.69%</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May 2022 Warrants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As described above, as a part of the May 2022 Offering, the Company issued unregistered warrants to purchase 6,623 shares of its common stock at an exercise price of $1,008.00 per share and contractual term of five and one-half years. The unregistered warrants were offered in a private placement under Section 4(a)(2) of the Securities Act and Regulation D promulgated thereunder. In accordance with </w:t>
      </w:r>
      <w:r>
        <w:rPr>
          <w:rFonts w:ascii="Times New Roman" w:cs="Times New Roman" w:eastAsia="Times New Roman" w:hAnsi="Times New Roman"/>
          <w:sz w:val="18"/>
          <w:szCs w:val="18"/>
          <w:i w:val="1"/>
          <w:iCs w:val="1"/>
          <w:color w:val="auto"/>
        </w:rPr>
        <w:t>ASC 815, Derivatives and Hedging</w:t>
      </w:r>
      <w:r>
        <w:rPr>
          <w:rFonts w:ascii="Times New Roman" w:cs="Times New Roman" w:eastAsia="Times New Roman" w:hAnsi="Times New Roman"/>
          <w:sz w:val="18"/>
          <w:szCs w:val="18"/>
          <w:color w:val="auto"/>
        </w:rPr>
        <w:t>, these warrants are classified as equity and their relative fair value of approximately $3.8 million was recognized as additional paid in capital. The estimated fair value is determined using the Black-Scholes option pricing model which is based on the value of the underlying common stock at the valuation measurement date, the remaining contractual term of the warrants, risk-free interest rates, expected dividends and expected volatility of the price of the underlying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Stock Incentive Plan, as Amended</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June 2022, the Company adopted the 2022 Stock Incentive Plan, as amended on June 7, 2024 (the “2022 Plan”). Under the 2022 Plan, with the approval of the Board’s Compensation Committee, the Company may grant stock options, stock appreciation rights, restricted stock, restricted stock units, performance shares, performance units, cash-based awards or other stock-based awards. The Company’s stockholders have approved a total of 400,688 shares for issuance under the 2022 Plan (688 shares on June 9, 2022, and 400,000 shares on June 7, 2024). The 2022 Plan supersedes and replaces the Tenax Therapeutics, Inc. 2016 Stock Incentive Plan, as amended (the “2016 Plan”) and all shares of common stock remaining authorized and available for issuance under the 2016 Plan and any shares subject to outstanding awards under the 2016 Plan that subsequently expire, terminate, or are surrendered or forfeited for any reason without issuance of shares automatically become available for issuance under our 2022 Plan.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i w:val="1"/>
                <w:iCs w:val="1"/>
                <w:color w:val="0000EE"/>
                <w:w w:val="98"/>
              </w:rPr>
              <w:t>Table of Contents</w:t>
            </w:r>
          </w:p>
        </w:tc>
        <w:tc>
          <w:tcPr>
            <w:tcW w:w="8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53"/>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summarizes the shares available for grant under the 2022 Plan for the nine months ended September 30, 2024.</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280" w:type="dxa"/>
            <w:vAlign w:val="bottom"/>
          </w:tcPr>
          <w:p>
            <w:pPr>
              <w:spacing w:after="0"/>
              <w:rPr>
                <w:sz w:val="24"/>
                <w:szCs w:val="24"/>
                <w:color w:val="auto"/>
              </w:rPr>
            </w:pPr>
          </w:p>
        </w:tc>
        <w:tc>
          <w:tcPr>
            <w:tcW w:w="8740" w:type="dxa"/>
            <w:vAlign w:val="bottom"/>
          </w:tcPr>
          <w:p>
            <w:pPr>
              <w:spacing w:after="0"/>
              <w:rPr>
                <w:sz w:val="24"/>
                <w:szCs w:val="24"/>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w:t>
            </w:r>
          </w:p>
        </w:tc>
      </w:tr>
      <w:tr>
        <w:trPr>
          <w:trHeight w:val="216"/>
        </w:trPr>
        <w:tc>
          <w:tcPr>
            <w:tcW w:w="1280" w:type="dxa"/>
            <w:vAlign w:val="bottom"/>
          </w:tcPr>
          <w:p>
            <w:pPr>
              <w:spacing w:after="0"/>
              <w:rPr>
                <w:sz w:val="18"/>
                <w:szCs w:val="18"/>
                <w:color w:val="auto"/>
              </w:rPr>
            </w:pPr>
          </w:p>
        </w:tc>
        <w:tc>
          <w:tcPr>
            <w:tcW w:w="874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Available</w:t>
            </w:r>
          </w:p>
        </w:tc>
      </w:tr>
      <w:tr>
        <w:trPr>
          <w:trHeight w:val="238"/>
        </w:trPr>
        <w:tc>
          <w:tcPr>
            <w:tcW w:w="1280" w:type="dxa"/>
            <w:vAlign w:val="bottom"/>
          </w:tcPr>
          <w:p>
            <w:pPr>
              <w:spacing w:after="0"/>
              <w:rPr>
                <w:sz w:val="20"/>
                <w:szCs w:val="20"/>
                <w:color w:val="auto"/>
              </w:rPr>
            </w:pPr>
          </w:p>
        </w:tc>
        <w:tc>
          <w:tcPr>
            <w:tcW w:w="874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for Grant</w:t>
            </w:r>
          </w:p>
        </w:tc>
        <w:tc>
          <w:tcPr>
            <w:tcW w:w="100" w:type="dxa"/>
            <w:vAlign w:val="bottom"/>
          </w:tcPr>
          <w:p>
            <w:pPr>
              <w:spacing w:after="0"/>
              <w:rPr>
                <w:sz w:val="20"/>
                <w:szCs w:val="20"/>
                <w:color w:val="auto"/>
              </w:rPr>
            </w:pPr>
          </w:p>
        </w:tc>
      </w:tr>
      <w:tr>
        <w:trPr>
          <w:trHeight w:val="209"/>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December 31, 2023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Additional Shares reserved</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400,000</w:t>
            </w: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cancelled/forfeited</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(794)</w:t>
            </w:r>
          </w:p>
        </w:tc>
      </w:tr>
      <w:tr>
        <w:trPr>
          <w:trHeight w:val="209"/>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September 30, 2024</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400,206</w:t>
            </w:r>
          </w:p>
        </w:tc>
        <w:tc>
          <w:tcPr>
            <w:tcW w:w="100" w:type="dxa"/>
            <w:vAlign w:val="bottom"/>
            <w:shd w:val="clear" w:color="auto" w:fill="CCEEFF"/>
          </w:tcPr>
          <w:p>
            <w:pPr>
              <w:spacing w:after="0"/>
              <w:rPr>
                <w:sz w:val="18"/>
                <w:szCs w:val="18"/>
                <w:color w:val="auto"/>
              </w:rPr>
            </w:pPr>
          </w:p>
        </w:tc>
      </w:tr>
      <w:tr>
        <w:trPr>
          <w:trHeight w:val="432"/>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2022 Plan Stock Options</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240"/>
          </w:cols>
          <w:pgMar w:left="320" w:top="121" w:right="339" w:bottom="123" w:gutter="0" w:footer="0" w:header="0"/>
        </w:sectPr>
      </w:pPr>
    </w:p>
    <w:bookmarkStart w:id="10" w:name="page11"/>
    <w:bookmarkEnd w:id="10"/>
    <w:p>
      <w:pPr>
        <w:spacing w:after="0" w:line="1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Stock options granted under the 2022 Plan may be either incentive stock options (“ISOs”) or nonqualified stock options (“NSOs”). ISOs may be granted only to employees. NSOs may be granted to employees, consultants and directors. Stock options under the 2022 Plan may be granted with a term of up to ten years and at prices no less than fair market value at the time of grant. Stock options granted generally vest over one to four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outstanding stock options under the 2022 Plan for the nine months ended September 30,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700" w:type="dxa"/>
            <w:vAlign w:val="bottom"/>
          </w:tcPr>
          <w:p>
            <w:pPr>
              <w:spacing w:after="0"/>
              <w:rPr>
                <w:sz w:val="20"/>
                <w:szCs w:val="20"/>
                <w:color w:val="auto"/>
              </w:rPr>
            </w:pPr>
          </w:p>
        </w:tc>
        <w:tc>
          <w:tcPr>
            <w:tcW w:w="2540" w:type="dxa"/>
            <w:vAlign w:val="bottom"/>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Outstanding Options</w:t>
            </w:r>
          </w:p>
        </w:tc>
      </w:tr>
      <w:tr>
        <w:trPr>
          <w:trHeight w:val="187"/>
        </w:trPr>
        <w:tc>
          <w:tcPr>
            <w:tcW w:w="870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ind w:right="50"/>
              <w:spacing w:after="0" w:line="188"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6"/>
                <w:szCs w:val="16"/>
                <w:color w:val="auto"/>
              </w:rPr>
            </w:pPr>
          </w:p>
        </w:tc>
      </w:tr>
      <w:tr>
        <w:trPr>
          <w:trHeight w:val="216"/>
        </w:trPr>
        <w:tc>
          <w:tcPr>
            <w:tcW w:w="87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38"/>
        </w:trPr>
        <w:tc>
          <w:tcPr>
            <w:tcW w:w="870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220" w:type="dxa"/>
            <w:vAlign w:val="bottom"/>
          </w:tcPr>
          <w:p>
            <w:pPr>
              <w:spacing w:after="0"/>
              <w:rPr>
                <w:sz w:val="20"/>
                <w:szCs w:val="20"/>
                <w:color w:val="auto"/>
              </w:rPr>
            </w:pPr>
          </w:p>
        </w:tc>
        <w:tc>
          <w:tcPr>
            <w:tcW w:w="11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100" w:type="dxa"/>
            <w:vAlign w:val="bottom"/>
          </w:tcPr>
          <w:p>
            <w:pPr>
              <w:spacing w:after="0"/>
              <w:rPr>
                <w:sz w:val="20"/>
                <w:szCs w:val="20"/>
                <w:color w:val="auto"/>
              </w:rPr>
            </w:pPr>
          </w:p>
        </w:tc>
      </w:tr>
      <w:tr>
        <w:trPr>
          <w:trHeight w:val="210"/>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December 31, 2023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331</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992.00</w:t>
            </w: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Options cancelled/forfeited</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794</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3.55</w:t>
            </w:r>
          </w:p>
        </w:tc>
      </w:tr>
      <w:tr>
        <w:trPr>
          <w:trHeight w:val="20"/>
        </w:trPr>
        <w:tc>
          <w:tcPr>
            <w:tcW w:w="870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32"/>
        </w:trPr>
        <w:tc>
          <w:tcPr>
            <w:tcW w:w="8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Balances at September 30, 2024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1,125</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294.63</w:t>
            </w:r>
          </w:p>
        </w:tc>
      </w:tr>
    </w:tbl>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chose the “straight-line” attribution method for allocating compensation costs of each stock option over the requisite service period using the Black-Scholes Option Pricing Model to calculate the grant date fair value.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recorded compensation expense for stock option grants of $8,981 and $34,049 for the three and nine months ended September 30, 2024, respectively. The Company recorded compensation expense for these stock option grants of $16,089 and $68,586 for the three and nine months ended September 30, 2023, respectively.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2024, there were unrecognized compensation costs of approximately $38,160 related to non-vested stock option awards under the 2022 Plan that will be recognized on a straight-line basis over the weighted average remaining vesting period of 1.68 years.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2016 Stock Incentive Plan</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June 2016, the Company adopted the 2016 Stock Incentive Plan (the “2016 Plan”). Under the 2016 Plan, with the approval of the Board’s Compensation Committee, the Company may grant stock options, stock appreciation rights, restricted stock, restricted stock units, performance shares, performance units, cash-based awards or other stock-based awards. On June 16, 2016, the Company’s stockholders approved the 2016 Plan and authorized for issuance under the 2016 Plan a total of 94 shares of common stock. On June 13, 2019, the Company’s stockholders approved an amendment to the 2016 Plan which increased the number of shares of common stock authorized for issuance under the 2016 Plan to a total of 469 shares, up from 94 shares previously authorized. On June 10, 2021, the Company’s stockholders approved an amendment to the 2016 Plan which increased the number of shares of common stock authorized for issuance under the 2016 Plan to a total of 938 shares, up from 469 shares previously authorized. In June 2022, the 2016 Plan was superseded and replaced by the 2022 Plan and no new awards will be granted under the 2016 Plan going forward. Any awards outstanding under the 2016 Plan on the date of approval of the 2022 Plan remain subject to the 2016 Plan. Upon approval of the 2022 Plan, all shares of common stock remaining authorized and available for issuance under the 2016 Plan and any shares subject to outstanding awards under the 2016 Plan that subsequently expire, terminate, or are surrendered or forfeited for any reason without issuance of shares automatically become available for issuance under our 2022 Plan.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2016 Plan Stock Options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Stock options granted under the 2016 Plan could be either ISOs or NSOs. ISOs could be granted only to employees. NSOs could be granted to employees, consultants and directors. Stock options under the 2016 Plan could be granted with a term of up to ten years and at prices no less than fair market value at the time of grant. Stock options granted generally vest over three to four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outstanding stock options under the 2016 Plan for the nine months ended September 30,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700" w:type="dxa"/>
            <w:vAlign w:val="bottom"/>
          </w:tcPr>
          <w:p>
            <w:pPr>
              <w:spacing w:after="0"/>
              <w:rPr>
                <w:sz w:val="20"/>
                <w:szCs w:val="20"/>
                <w:color w:val="auto"/>
              </w:rPr>
            </w:pPr>
          </w:p>
        </w:tc>
        <w:tc>
          <w:tcPr>
            <w:tcW w:w="2540" w:type="dxa"/>
            <w:vAlign w:val="bottom"/>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Outstanding Options</w:t>
            </w:r>
          </w:p>
        </w:tc>
      </w:tr>
      <w:tr>
        <w:trPr>
          <w:trHeight w:val="187"/>
        </w:trPr>
        <w:tc>
          <w:tcPr>
            <w:tcW w:w="870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ind w:right="50"/>
              <w:spacing w:after="0" w:line="188"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6"/>
                <w:szCs w:val="16"/>
                <w:color w:val="auto"/>
              </w:rPr>
            </w:pPr>
          </w:p>
        </w:tc>
      </w:tr>
      <w:tr>
        <w:trPr>
          <w:trHeight w:val="216"/>
        </w:trPr>
        <w:tc>
          <w:tcPr>
            <w:tcW w:w="87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38"/>
        </w:trPr>
        <w:tc>
          <w:tcPr>
            <w:tcW w:w="870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220" w:type="dxa"/>
            <w:vAlign w:val="bottom"/>
          </w:tcPr>
          <w:p>
            <w:pPr>
              <w:spacing w:after="0"/>
              <w:rPr>
                <w:sz w:val="20"/>
                <w:szCs w:val="20"/>
                <w:color w:val="auto"/>
              </w:rPr>
            </w:pPr>
          </w:p>
        </w:tc>
        <w:tc>
          <w:tcPr>
            <w:tcW w:w="11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100" w:type="dxa"/>
            <w:vAlign w:val="bottom"/>
          </w:tcPr>
          <w:p>
            <w:pPr>
              <w:spacing w:after="0"/>
              <w:rPr>
                <w:sz w:val="20"/>
                <w:szCs w:val="20"/>
                <w:color w:val="auto"/>
              </w:rPr>
            </w:pPr>
          </w:p>
        </w:tc>
      </w:tr>
      <w:tr>
        <w:trPr>
          <w:trHeight w:val="209"/>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December 31, 2023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284</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3,251.77</w:t>
            </w: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Options cancelled/forfeited</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7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September 30, 2024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284</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3,251.77</w:t>
            </w: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chose the “straight-line” attribution method for allocating compensation costs of each stock option over the requisite service period using the Black-Scholes option pricing model to calculate the grant date fair value.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recorded no compensation expense for these stock option grants for the three and nine months ended September 30, 2024, and $7,840 and $23,574 for the three and nine months ended September 30, 2023, respectively. The Company granted no stock options under the 2016 Plan for the three months ended September 30,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2024, there were no unrecognized compensation costs related to non-vested stock option awards under the 2016 Plan.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1999 Stock Plan, as Amended and Restated</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October 2000, the Company adopted the 1999 Stock Plan, as amended and restated on June 17, 2008 (the “1999 Plan”). Under the 1999 Plan, with the approval of the Compensation Committee of the Board of Directors, the Company could grant stock options, restricted stock, stock appreciation rights and new shares of common stock upon exercise of stock options. On March 13, 2014, the Company’s stockholders approved an amendment to the 1999 Plan which increased the number of shares of common stock authorized for issuance under the 1999 Plan to a total of 125 shares, up from 10 previously authorized. On September 15, 2015, the Company’s stockholders approved an additional amendment to the 1999 Plan which increased the number of</w:t>
      </w:r>
    </w:p>
    <w:p>
      <w:pPr>
        <w:sectPr>
          <w:pgSz w:w="11900" w:h="16851" w:orient="portrait"/>
          <w:cols w:equalWidth="0" w:num="1">
            <w:col w:w="11240"/>
          </w:cols>
          <w:pgMar w:left="320" w:top="121" w:right="339" w:bottom="0" w:gutter="0" w:footer="0" w:header="0"/>
        </w:sectPr>
      </w:pPr>
    </w:p>
    <w:bookmarkStart w:id="11" w:name="page12"/>
    <w:bookmarkEnd w:id="11"/>
    <w:p>
      <w:pPr>
        <w:jc w:val="both"/>
        <w:spacing w:after="0" w:line="266" w:lineRule="auto"/>
        <w:rPr>
          <w:sz w:val="20"/>
          <w:szCs w:val="20"/>
          <w:color w:val="auto"/>
        </w:rPr>
      </w:pPr>
      <w:r>
        <w:rPr>
          <w:rFonts w:ascii="Times New Roman" w:cs="Times New Roman" w:eastAsia="Times New Roman" w:hAnsi="Times New Roman"/>
          <w:sz w:val="18"/>
          <w:szCs w:val="18"/>
          <w:color w:val="auto"/>
        </w:rPr>
        <w:t>shares of common stock authorized for issuance under the 1999 Plan to a total of 157 shares, up from 125 previously authorized. The 1999 Plan expired on June 17, 2018, and no new grants may be made under that plan after that date. However, unexpired awards granted under the 1999 Plan remain outstanding and subject to the terms of the 1999 Plan.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1999 Plan Stock Options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Stock options granted under the 1999 Plan may be ISOs or NSOs. ISOs could be granted only to employees. NSOs could be granted to employees, consultants and directors. Stock options under the 1999 Plan could be granted with a term of up to ten years and at prices no less than fair market value for ISOs and no less than 85% of the fair market value for NSOs. Stock options granted generally vest over one to three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outstanding stock options under the 1999 Plan for the nine months ended September 30, 2024:</w:t>
      </w:r>
    </w:p>
    <w:p>
      <w:pPr>
        <w:spacing w:after="0" w:line="221" w:lineRule="exact"/>
        <w:rPr>
          <w:sz w:val="20"/>
          <w:szCs w:val="20"/>
          <w:color w:val="auto"/>
        </w:rPr>
      </w:pPr>
    </w:p>
    <w:p>
      <w:pPr>
        <w:ind w:left="9100"/>
        <w:spacing w:after="0"/>
        <w:rPr>
          <w:sz w:val="20"/>
          <w:szCs w:val="20"/>
          <w:color w:val="auto"/>
        </w:rPr>
      </w:pPr>
      <w:r>
        <w:rPr>
          <w:rFonts w:ascii="Times New Roman" w:cs="Times New Roman" w:eastAsia="Times New Roman" w:hAnsi="Times New Roman"/>
          <w:sz w:val="18"/>
          <w:szCs w:val="18"/>
          <w:b w:val="1"/>
          <w:bCs w:val="1"/>
          <w:color w:val="auto"/>
        </w:rPr>
        <w:t>Outstanding Options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70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ind w:right="50"/>
              <w:spacing w:after="0" w:line="188"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6"/>
                <w:szCs w:val="16"/>
                <w:color w:val="auto"/>
              </w:rPr>
            </w:pPr>
          </w:p>
        </w:tc>
      </w:tr>
      <w:tr>
        <w:trPr>
          <w:trHeight w:val="216"/>
        </w:trPr>
        <w:tc>
          <w:tcPr>
            <w:tcW w:w="8700" w:type="dxa"/>
            <w:vAlign w:val="bottom"/>
          </w:tcPr>
          <w:p>
            <w:pPr>
              <w:spacing w:after="0"/>
              <w:rPr>
                <w:sz w:val="18"/>
                <w:szCs w:val="18"/>
                <w:color w:val="auto"/>
              </w:rPr>
            </w:pPr>
          </w:p>
        </w:tc>
        <w:tc>
          <w:tcPr>
            <w:tcW w:w="100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38"/>
        </w:trPr>
        <w:tc>
          <w:tcPr>
            <w:tcW w:w="8700" w:type="dxa"/>
            <w:vAlign w:val="bottom"/>
          </w:tcPr>
          <w:p>
            <w:pPr>
              <w:spacing w:after="0"/>
              <w:rPr>
                <w:sz w:val="20"/>
                <w:szCs w:val="20"/>
                <w:color w:val="auto"/>
              </w:rPr>
            </w:pPr>
          </w:p>
        </w:tc>
        <w:tc>
          <w:tcPr>
            <w:tcW w:w="100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100" w:type="dxa"/>
            <w:vAlign w:val="bottom"/>
          </w:tcPr>
          <w:p>
            <w:pPr>
              <w:spacing w:after="0"/>
              <w:rPr>
                <w:sz w:val="20"/>
                <w:szCs w:val="20"/>
                <w:color w:val="auto"/>
              </w:rPr>
            </w:pPr>
          </w:p>
        </w:tc>
      </w:tr>
      <w:tr>
        <w:trPr>
          <w:trHeight w:val="210"/>
        </w:trPr>
        <w:tc>
          <w:tcPr>
            <w:tcW w:w="9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December 31, 2023</w:t>
            </w:r>
          </w:p>
        </w:tc>
        <w:tc>
          <w:tcPr>
            <w:tcW w:w="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88"/>
              </w:rPr>
              <w:t>9</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86,108.80</w:t>
            </w: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Options cancelled/forfeited</w:t>
            </w:r>
          </w:p>
        </w:tc>
        <w:tc>
          <w:tcPr>
            <w:tcW w:w="1000" w:type="dxa"/>
            <w:vAlign w:val="bottom"/>
          </w:tcPr>
          <w:p>
            <w:pPr>
              <w:spacing w:after="0"/>
              <w:rPr>
                <w:sz w:val="18"/>
                <w:szCs w:val="18"/>
                <w:color w:val="auto"/>
              </w:rPr>
            </w:pPr>
          </w:p>
        </w:tc>
        <w:tc>
          <w:tcPr>
            <w:tcW w:w="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7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September 30, 2024</w:t>
            </w:r>
          </w:p>
        </w:tc>
        <w:tc>
          <w:tcPr>
            <w:tcW w:w="10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88"/>
              </w:rPr>
              <w:t>9</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86,108.80</w:t>
            </w: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chose the “straight-line” attribution method for allocating compensation costs of each stock option over the requisite service period using the Black-Scholes option pricing model to calculate the grant date fair value.</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recorded no compensation expense for these stock option grants for the three and nine months ended September 30, 2024, and 2023,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2024, there were no unrecognized compensation costs related to non-vested stock option awards under the 1999 Plan.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Inducement Stock Options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granted two employment inducement stock option awards, one for 63 shares of common stock and the other for 156 shares of common stock, to its new CEO on July 6, 2021.</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employment inducement stock option for 63 shares of common stock was awarded in accordance with the employment inducement award exemption provided by Nasdaq Listing Rule 5635(c)(4) and was therefore not awarded under the Company’s stockholder approved equity plan. The option award was to vest as follows: 50% upon initiation of a Phase 3 trial for levosimendan by June 30, 2022; and 50% upon initiation of a Phase 3 trial for imatinib by June 30, 2022. The options had a 10-year term and an exercise price of $3,152.00 per share, the July 6, 2021, closing price of our common stock. As of December 31, 2022, none of the vesting milestones had been achieved and the options were subsequently cancelled. The estimated fair value of this inducement stock option award was $178,291 using a Black-Scholes option pricing model based on market prices and the following assumptions at the date of inducement option grant: risk-free interest rate of 1.37%, dividend yield of 0%, volatility factor for our common stock of 103.50% and an expected life of 10 years.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employment inducement stock option award for 156 shares of common stock also was awarded in accordance with the employment inducement award exemption provided by Nasdaq Listing Rule 5635(c)(4) and was therefore not awarded under the Company’s stockholder approved equity plan. The option award will vest as follows: 25% on the one-year anniversary of the CEO’s employment start date and an additional 25% on each of the following three anniversaries of the CEO’s employment start date, subject to continued employment. The options have a 10-year term and an exercise price of $3,152 per share, the July 6, 2021 closing price of our common stock. As of September 30, 2024, three of the vesting milestones have been achieved.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estimated fair value of this inducement stock option award was $403,180 using a Black-Scholes option pricing model based on market prices and the following assumptions at the date of inducement option grant: risk-free interest rate of 1.13%, dividend yield of 0%, volatility factor for our common stock of 99.36% and an expected life of 7 years.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granted an employment inducement stock option award for 156 shares of common stock to our Chief Medical Officer on January 15, 2021. This employment inducement stock option was awarded in accordance with the employment inducement award exemption provided by Nasdaq Listing Rule 5635(c)(4) and was therefore not awarded under the Company’s stockholder approved equity plan. The option award will vest as follows: 25% upon initiation of a Phase 3 trial; 25% upon database lock; 25% upon acceptance for review of an investigational NDA; and 25% upon approval. The options have a 10-year term and an exercise price of $2,848 per share, the January 15, 2021 closing price of our common stock. As of September 30, 2024, two of the vesting milestones have been achieved. The estimated fair value of the inducement stock option award granted was $402,789 using a Black-Scholes option pricing model based on market prices and the following assumptions at the date of inducement option grant: risk-free interest rate of 11%, dividend yield of 0%, volatility factor for our common stock of 103.94% and an expected life of 10 years.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Inducement stock option compensation expense totaled $5,607 and $121,389 for the three and nine months ended September 30, 2024. As of September 30, 2024, there was $226,293 remaining unrecognized compensation expense related to these inducement stock options.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SUBSEQUENT EVENTS</w:t>
      </w:r>
    </w:p>
    <w:p>
      <w:pPr>
        <w:sectPr>
          <w:pgSz w:w="11900" w:h="16838" w:orient="portrait"/>
          <w:cols w:equalWidth="0" w:num="1">
            <w:col w:w="11240"/>
          </w:cols>
          <w:pgMar w:left="320" w:top="121" w:right="339" w:bottom="0" w:gutter="0" w:footer="0" w:header="0"/>
        </w:sectPr>
      </w:pPr>
    </w:p>
    <w:bookmarkStart w:id="12" w:name="page13"/>
    <w:bookmarkEnd w:id="12"/>
    <w:p>
      <w:pPr>
        <w:jc w:val="both"/>
        <w:spacing w:after="0" w:line="261" w:lineRule="auto"/>
        <w:rPr>
          <w:sz w:val="20"/>
          <w:szCs w:val="20"/>
          <w:color w:val="auto"/>
        </w:rPr>
      </w:pPr>
      <w:r>
        <w:rPr>
          <w:rFonts w:ascii="Times New Roman" w:cs="Times New Roman" w:eastAsia="Times New Roman" w:hAnsi="Times New Roman"/>
          <w:sz w:val="18"/>
          <w:szCs w:val="18"/>
          <w:color w:val="auto"/>
        </w:rPr>
        <w:t>On October 25, 2024, the Company held a special meeting of stockholders (the “Special Meeting”). At the Special Meeting, stockholders of the Company approved Amendment No. 2 to the 2022 Plan increasing the number of shares of common stock authorized for issuance under the 2022 Plan to a total of 8,336,600 shares, representing an increase of 7,935,912 shares. The Company’s Board of Directors had previously approved Amendment No. 2 to the 2022 Plan on September 6, 2024, subject to stockholder approval.</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should be read in conjunction with the unaudited condensed consolidated financial statements and notes thereto included in Part I, Item 1 of this Quarterly Report on Form 10-Q and with the audited condensed consolidated financial statements and related notes thereto included as part of our Annual Report on Form 10-K for the year ended December 31, 2023. All references in this Quarterly Report to “Tenax Therapeutics,” “we,” “our” and “us” means Tenax Therapeutics, Inc.</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Section 27A of the Securities Act of 1933, as amended, or the Securities Act, and Section 21E of the Securities Exchange Act of 1934, as amended, or the Exchange Act, which are subject to the “safe harbor” created by those sections. Forward-looking statements are based on our management’s beliefs and assumptions and on information currently available to them. In some cases, you can identify forward-looking statements by words such as “might,” “may,” “will,” “should,” “could,” “would,” “expects,” “plans,” “anticipates,” “believes,” “estimates,” “projects,” “predicts,” “potential” and similar expressions intended to identify forward-looking statements. These statements reflect our current view with respect to future events and are subject to risks, uncertainties and assumptions related to various factors that could cause actual results and the timing of events to differ materially from future results expressed or implied by such forward-looking statements. Factors that could cause or contribute to such differences include, but are not limited to, those discussed in the section titled “Risk Factors” included in our most recent Annual Report on Form 10-K filed with the SEC. Furthermore, such forward-looking statements speak only as of this Quarterly Report on Form 10-Q. Except as required by law, we undertake no obligation to update any forward-looking statements to reflect events or circumstances after the date of such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was originally formed as a New Jersey corporation in 1967 under the name Rudmer, David &amp; Associates, Inc., and subsequently changed its name to Synthetic Blood International, Inc. Effective June 30, 2008, we changed the domiciliary state of the corporation to Delaware and changed the Company name to Oxygen Biotherapeutics, Inc. On September 19, 2014, the Company changed its name to Tenax Therapeutics, Inc.</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November 2013, we acquired a license with Orion Corporation (“Orion”) granting our wholly-owned subsidiary an exclusive, sublicensable right to develop and commercialize pharmaceutical products containing levosimendan, 2.5 mg/ml concentrate for solution for infusion / 5ml vial in the United States and Canada. In October 2020 and January 2022, we entered into an amendment to the license agreement between the Company and Orion to include in the scope of the license two new oral product formulations containing levosimendan, in capsule and solid dosage form (TNX-103) and a subcutaneously administered dosage form (TNX-102), subject to specified limitations. In February 2024, we entered into an additional amendment to the license, providing global rights to oral and subcutaneous formulations of levosimendan used in the treatment of pulmonary hypertension in heart failure with preserved ejection fraction (“PH-HFpEF”), revising the royalty structure, lowering the royalty rates, modifying milestones associated with certain regulatory and commercial achievements, and excluding from our right of first refusal the right to commercialize new applications of levosimendan for neurological diseases and disorders developed by Orion.</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January 2021, we acquired 100% of the equity of PHPrecisionMed Inc., a Delaware corporation (“PHPM”), with PHPM surviving as our wholly-owned subsidiary. As a result of the merger, we have rights to commercialize pharmaceutical products containing imatinib for the treatment of pulmonary arterial hypertension (“PAH”).</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August 2024, we closed a private placement financing (the “August 2024 Offering”) in which we sold to multiple accredited investors, including certain members of the Company’s Board of Directors, an aggregate of 1,450,661 shares of the Company’s common stock, and pre-funded warrants (“Pre-Funded Warrants”) to purchase an aggregate of 31,882,671 shares of the Company’s common stock, along with accompanying warrants (“Warrants”) to purchase an aggregate of 16,666,666 shares of the Company’s common stock (or, in lieu thereof, additional Pre-Funded Warrants) for gross process of approximately $99.7 million, before deducting placement agent fees and estimated offering expenses payable by the Company. We intend to use the net proceeds from the August 2024 Offering to complete our ongoing Phase 3 LEVEL trial, to initiate all sites and advance enrollment in a second planned Phase 3 trial of oral levosimendan, and for working capital, capital expenditures, and other general corporate purposes. The approximately $99.7 million in gross proceeds from the August 2024 Offering, combined with the Company’s current cash and cash equivalents, are expected to fund the Company’s operations through the end of 2027.</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Having raised capital expected to fund the Company through the end of 2027, the Company plans to accelerate its Phase 3 program. Site selection and initiation processes, and enrollment of participants, are ongoing in the Phase 3 LEVEL study, the Company having received U.S. Food and Drug Administration (“FDA”) input into this oral levosimendan protocol and clinical development program in the third quarter of 2023. The Company began initiating LEVEL sites in the fourth quarter of 2023 and continues to enroll patients. The Company also plans an open label extension phase following the completion of the randomized phase. The Company will complete efficacy and safety analyses of levosimendan versus placebo at the end of the randomized treatment phase, but many patients will continue, beyond the completion of these statistical analyses, to be treated under the protocol on open label levosimendan, allowing for additional weeks of safety observation that will contribute to the overall body of safety data on oral levosimendan. With the net proceeds of the August 2024 Offering, the Company also expects to fund the initiation of a second Phase 3 study planned for 2025.</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two U.S. Patents, issued in March and July 2023, covering the use of IV and oral levosimendan in patients with PH-HFpEF. An additional new patent was issued in early 2024 which provides protection covering all therapeutic doses of all three formulations of the product in patients with PH-HFpEF. Given our prioritization of the Phase 3 testing of levosimendan, we have suspended plans to launch an imatinib Phase 3 trial.</w:t>
      </w:r>
    </w:p>
    <w:p>
      <w:pPr>
        <w:sectPr>
          <w:pgSz w:w="11900" w:h="16838" w:orient="portrait"/>
          <w:cols w:equalWidth="0" w:num="1">
            <w:col w:w="11240"/>
          </w:cols>
          <w:pgMar w:left="320" w:top="121" w:right="339" w:bottom="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key elements of our business strategy are outlined below.</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Efficiently conduct clinical development to establish clinical proof of principle in new indications, refine dosage levels and dosing strategies, conduct other required clinical and nonclinical testing as FDA and other regulators may require, and continue Phase 3 testing of oral levosimendan, as our prioritized product candidate.</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Levosimendan and imatinib have been approved and prescribed in countries around the world for more than 20 years, but we believe their mechanisms of action have not been fully exploited, despite promising evidence they may significantly improve the lives of patients with pulmonary hypertension. We are conducting clinical development with the intent to establish proof of beneficial activity in cardiopulmonary diseases in which these therapeutics would be expected to have benefit for patients with diseases for which either no pharmaceutical therapies are approved at all, or in the case of pulmonary arterial hypertension (“PAH”), where numerous, expensive therapies generally offer a modest reduction of symptoms. Our focus is primarily on designing and executing formulation improvements, protecting these innovations with patents and other forms of exclusivity, and employing innovative clinical trial science to establish a robust foundation for subsequent development, product approval, and commercialization. We intend to submit marketing authorization applications following two Phase 3 trials of levosimendan and, when appropriate, a single Phase 3 trial of imatinib. Our trials are designed to incorporate and reflect advanced clinical trial design science and the regulatory and advisory experience of our team. We intend to continue partnering with innovative companies, renowned biostatisticians and trialists, medical leaders, formulation and regulatory experts, and premier clinical testing organizations to help expedite development, and continue expanding into complementary areas when opportunities arise through our development, research, and discoveries. We also intend to continue outsourcing to CROs, and seeking and acting upon the advice of preeminent scientists focused on cardiovascular and pulmonary drug development, when designing and executing our research.</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Efficiently explore new high-potential therapeutic applications, in particular where expedited regulatory pathways are available, leveraging third-party research collaborations and our results from related areas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Levosimendan has shown promise in multiple disease areas in the more than two decades following its approval. Our own Phase 2 study and open-label extension has demonstrated that levosimendan’s property of relaxing the venous circulation, a formerly under-appreciated mechanism of action of levosimendan, brings durable improvements in exercise capacity and quality of life, as well as other clinical assessments, in patients with PH-HFpEF. The FDA has not approved a therapy for this disease. We are committed to exploring potential clinical indications where our therapies may achieve best-in-class profile, and where we can address significant unmet medical needs.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believe these factors will support approval by the FDA of this product candidate based on positive Phase 3 data. Through our agreement with our licensor, Orion, the originator of levosimendan for acute decompensated heart failure, we have access to a library of ongoing and completed trials and research projects, including certain documentation, which we believe, in combination with positive Phase 3 data we hope to generate in at least one indication, will support FDA approval of levosimendan. Likewise, the regulatory pathway for approval of imatinib for the treatment of PAH, as formulated by us at the dose shown to be effective in a prior Phase 3 trial conducted by Novartis, allows us to build on the dossier of research results already reviewed by the FDA. In order to achieve our objective of developing these medicines for new groups of patients, we have established collaborative research relationships with investigators from leading research and clinical institutions, and our strategic partners. These collaborative relationships have enabled us to explore where our product candidates may have therapeutic relevance, gain the advice and support of key opinion leaders in medicine and clinical trial science, and invest in development efforts to exploit opportunities to advance beyond current clinical care.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Continue to expand our intellectual property portfolio.</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intellectual property and the confidentiality of all our Company information is important to our business and we are taking significant steps to help protect its value. Our research and development efforts, both through internal activities and through collaborative research activities with others, aim to develop new intellectual property and enable us to file patent applications that cover new uses of our existing technologies, alone or in combination with existing therapies, as well as other product candidates.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Notice of Allowance and Patents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February 1, 2023, the Company announced it was granted a Notice of Allowance from the United States Patent and Trademark Office (“USPTO”) for its patent application with claims covering the use of IV levosimendan (TNX-101) in the treatment of PH-HFpEF. This patent (U.S. Patent No. 11,607,412) was issued on March 21, 2023. On July 19, 2023, the Company announced USPTO issuance of another patent, this one including claims covering the use of oral levosimendan (TNX-103) in patients with PH-HFpEF. This issued patent (U.S. Patent No. 11,701,355) provides exclusivity through December 2040. On February 6, 2024, the Company announced it was granted a Notice of Allowance from the USPTO for its patent application broadening IP protection for oral, I.V., and subcutaneous use of levosimendan and its active metabolites in PH-HFpEF, at all therapeutic doses and in combination with various cardiovascular drugs. At present, the Company has other patent applications pending, with additional decisions expected in the future. Patents pending in Europe may lead to intellectual property protections on the use of levosimendan in patients with PH-HFpEF in 2024.</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Enter into licensing or product co-development arrangements.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our internal development efforts, an important part of our product development strategy is to work with collaborators and partners to accelerate product development, maintain our low development and business operations costs, and broaden our commercialization capabilities globally. We believe this strategy will help us develop a portfolio of high-quality product development opportunities, enhance our clinical development and commercialization capabilities, and increase our ability to generate value from our proprietary technologies.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also continue to position ourselves to execute upon licensing and other partnering opportunities. To do so, we need to continue to maintain our strategic direction, manage and deploy our available cash efficiently, and strengthen our collaborative research development and partner relationships.</w:t>
      </w:r>
    </w:p>
    <w:p>
      <w:pPr>
        <w:sectPr>
          <w:pgSz w:w="11900" w:h="16838" w:orient="portrait"/>
          <w:cols w:equalWidth="0" w:num="1">
            <w:col w:w="11240"/>
          </w:cols>
          <w:pgMar w:left="320" w:top="337" w:right="339" w:bottom="0" w:gutter="0" w:footer="0" w:header="0"/>
        </w:sectPr>
      </w:pPr>
    </w:p>
    <w:bookmarkStart w:id="14" w:name="page15"/>
    <w:bookmarkEnd w:id="14"/>
    <w:p>
      <w:pPr>
        <w:jc w:val="both"/>
        <w:spacing w:after="0" w:line="261" w:lineRule="auto"/>
        <w:rPr>
          <w:sz w:val="20"/>
          <w:szCs w:val="20"/>
          <w:color w:val="auto"/>
        </w:rPr>
      </w:pPr>
      <w:r>
        <w:rPr>
          <w:rFonts w:ascii="Times New Roman" w:cs="Times New Roman" w:eastAsia="Times New Roman" w:hAnsi="Times New Roman"/>
          <w:sz w:val="18"/>
          <w:szCs w:val="18"/>
          <w:color w:val="auto"/>
        </w:rPr>
        <w:t>Historically, we have financed our operations principally through equity and debt offerings, including private placements such as the August 2024 Offering and loans from our stockholders. Based on its current operating plan, the Company has determined that there is no longer substantial doubt about its ability to continue as a going concern. Given its resources on September 30, 2024, the Company believes it can continue its operations over at least the next 12 months.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Overview – Three Months Ended September 30, 2024</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6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24"/>
                <w:szCs w:val="24"/>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Increase/</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 Increase/</w:t>
            </w:r>
          </w:p>
        </w:tc>
        <w:tc>
          <w:tcPr>
            <w:tcW w:w="0" w:type="dxa"/>
            <w:vAlign w:val="bottom"/>
          </w:tcPr>
          <w:p>
            <w:pPr>
              <w:spacing w:after="0"/>
              <w:rPr>
                <w:sz w:val="1"/>
                <w:szCs w:val="1"/>
                <w:color w:val="auto"/>
              </w:rPr>
            </w:pPr>
          </w:p>
        </w:tc>
      </w:tr>
      <w:tr>
        <w:trPr>
          <w:trHeight w:val="238"/>
        </w:trPr>
        <w:tc>
          <w:tcPr>
            <w:tcW w:w="6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0" w:type="dxa"/>
            <w:vAlign w:val="bottom"/>
            <w:gridSpan w:val="5"/>
          </w:tcPr>
          <w:p>
            <w:pPr>
              <w:ind w:left="4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(Decrease)</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0" w:type="dxa"/>
            <w:vAlign w:val="bottom"/>
          </w:tcPr>
          <w:p>
            <w:pPr>
              <w:spacing w:after="0"/>
              <w:rPr>
                <w:sz w:val="1"/>
                <w:szCs w:val="1"/>
                <w:color w:val="auto"/>
              </w:rPr>
            </w:pPr>
          </w:p>
        </w:tc>
      </w:tr>
      <w:tr>
        <w:trPr>
          <w:trHeight w:val="209"/>
        </w:trPr>
        <w:tc>
          <w:tcPr>
            <w:tcW w:w="6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1,506,796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1,051,524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455,272</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spacing w:after="0"/>
              <w:rPr>
                <w:sz w:val="18"/>
                <w:szCs w:val="18"/>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3,112,085</w:t>
            </w:r>
          </w:p>
        </w:tc>
        <w:tc>
          <w:tcPr>
            <w:tcW w:w="240" w:type="dxa"/>
            <w:vAlign w:val="bottom"/>
          </w:tcPr>
          <w:p>
            <w:pPr>
              <w:spacing w:after="0"/>
              <w:rPr>
                <w:sz w:val="18"/>
                <w:szCs w:val="18"/>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1,065,855</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2,046,230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4,618,881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2,117,379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2,501,502</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were $1.5 million for the three months ended September 30, 2024, compared to $1.1 million for the same period in 2023. General and administrative expenses consist primarily of compensation for executive, finance, legal and administrative personnel, including stock-based compensation. Other general and administrative expenses include facility costs not otherwise included in research and development expenses, legal and accounting services, and other professional and consulting services. General and administrative expenses and percentage changes for the three months ended September 30, 2024 and 2023, respectively, are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2660" w:type="dxa"/>
            <w:vAlign w:val="bottom"/>
            <w:gridSpan w:val="6"/>
          </w:tcPr>
          <w:p>
            <w:pPr>
              <w:jc w:val="center"/>
              <w:ind w:right="220"/>
              <w:spacing w:after="0"/>
              <w:rPr>
                <w:sz w:val="20"/>
                <w:szCs w:val="20"/>
                <w:color w:val="auto"/>
              </w:rPr>
            </w:pPr>
            <w:r>
              <w:rPr>
                <w:rFonts w:ascii="Times New Roman" w:cs="Times New Roman" w:eastAsia="Times New Roman" w:hAnsi="Times New Roman"/>
                <w:sz w:val="18"/>
                <w:szCs w:val="18"/>
                <w:color w:val="auto"/>
                <w:w w:val="99"/>
              </w:rPr>
              <w:t>Three months ended September</w:t>
            </w:r>
          </w:p>
        </w:tc>
        <w:tc>
          <w:tcPr>
            <w:tcW w:w="12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Increase/</w:t>
            </w:r>
          </w:p>
        </w:tc>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 Increase/</w:t>
            </w:r>
          </w:p>
        </w:tc>
      </w:tr>
      <w:tr>
        <w:trPr>
          <w:trHeight w:val="234"/>
        </w:trPr>
        <w:tc>
          <w:tcPr>
            <w:tcW w:w="5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30</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(Decrease)</w:t>
            </w: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(Decrease)</w:t>
            </w:r>
          </w:p>
        </w:tc>
      </w:tr>
      <w:tr>
        <w:trPr>
          <w:trHeight w:val="210"/>
        </w:trPr>
        <w:tc>
          <w:tcPr>
            <w:tcW w:w="59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Personnel costs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642,150</w:t>
            </w: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439,622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202,528</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Legal and professional fees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681,594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412,121</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269,473</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w:t>
            </w:r>
          </w:p>
        </w:tc>
      </w:tr>
      <w:tr>
        <w:trPr>
          <w:trHeight w:val="23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costs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180,516</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196,820</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(16,304)</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Facilities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(425)</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0"/>
        </w:trPr>
        <w:tc>
          <w:tcPr>
            <w:tcW w:w="59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1,506,796</w:t>
            </w: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1,051,524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455,272</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w:t>
            </w: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Personnel costs increased approximately $203,000 for the three months ended September 30, 2024, compared to the same period in 2023. The change was primarily attributable to higher salaries and performance-based compensation expense.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Legal and professional fees increased approximately $269,000 for the three months ended September 30, 2024, compared to the same period in the prior year. Professional fees consist of the costs incurred for accounting fees, capital market expenses, consulting fees and investor relations services, as well as fees paid to the members of our Board of Directors.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Legal fees increased approximately $36,000 for the three months ended September 30, 2024, compared to the same period in the prior year. The change was primarily due to increased legal fees associated with general corporate matters, fundraising activities and IP costs compared to the same period in the prior year.</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Professional fees increased approximately $233,000 for the three months ended September 30, 2024, compared to the same period in the prior year. The change was primarily attributable to increased capital market expenses, consulting expenses and accounting expenses.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costs decreased approximately $16,000 for the three months ended September 30, 2024, compared to the same period in 2023. Other costs include expenses incurred for franchise and other taxes, travel, supplies, insurance, depreciation, and other miscellaneous charges. The change was primarily attributable to decreases in insurance costs.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Facilities costs include costs paid for rent and utilities at our corporate headquarters in North Carolina. Facilities costs decreased by a de minimis amount of approximately $400 for the three months ended September 30, 2024 compared to the same period in 2023.</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Research and development expenses were approximately $3.1 million for the three months ended September 30, 2024, compared to $1.1 million for the same period in the prior year. Research and development expenses include, but are not limited to, (i) expenses incurred under agreements with contract research organizations and investigative sites, which conduct our clinical trials and a substantial portion of our pre-clinical studies; (ii) the cost of supplying clinical trial materials; (iii) payments to contract service organizations, as well as consultants; (iv) employee-related expenses, which include salaries and benefits; and (v) facilities, depreciation and other allocated expenses, which include direct and allocated expenses for rent and maintenance of facilities and equipment, depreciation of leasehold improvements, equipment, and other supplies. All research and development expenses are expensed as incurred. Research and development expenses and percentage changes for the three months ended September 30, 2024, and 2023, respectively, are as follows:</w:t>
      </w:r>
    </w:p>
    <w:p>
      <w:pPr>
        <w:sectPr>
          <w:pgSz w:w="11900" w:h="16838" w:orient="portrait"/>
          <w:cols w:equalWidth="0" w:num="1">
            <w:col w:w="11240"/>
          </w:cols>
          <w:pgMar w:left="320" w:top="337" w:right="339" w:bottom="0" w:gutter="0" w:footer="0" w:header="0"/>
        </w:sectPr>
      </w:pPr>
    </w:p>
    <w:bookmarkStart w:id="15" w:name="page16"/>
    <w:bookmarkEnd w:id="15"/>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Increase/</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 Increase/</w:t>
            </w:r>
          </w:p>
        </w:tc>
      </w:tr>
      <w:tr>
        <w:trPr>
          <w:trHeight w:val="238"/>
        </w:trPr>
        <w:tc>
          <w:tcPr>
            <w:tcW w:w="6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(Decrease)</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(Decrease)</w:t>
            </w:r>
          </w:p>
        </w:tc>
      </w:tr>
      <w:tr>
        <w:trPr>
          <w:trHeight w:val="209"/>
        </w:trPr>
        <w:tc>
          <w:tcPr>
            <w:tcW w:w="60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Clinical and preclinical development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2,690,612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978,767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1,711,845</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175%</w:t>
            </w: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Personnel costs</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274,133</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71,898</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202,235</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281%</w:t>
            </w: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costs</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147,340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15,190</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132,150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870%</w:t>
            </w:r>
          </w:p>
        </w:tc>
      </w:tr>
      <w:tr>
        <w:trPr>
          <w:trHeight w:val="20"/>
        </w:trPr>
        <w:tc>
          <w:tcPr>
            <w:tcW w:w="60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28"/>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3,112,085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1,065,855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2,046,230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192%</w:t>
            </w:r>
          </w:p>
        </w:tc>
      </w:tr>
    </w:tbl>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Clinical and preclinical development costs increased approximately $1.7 million for the three months ended September 30, 2024, compared to the same period in the prior year. Clinical and preclinical development costs for the three months ended September 30, 2024 consist of expenses associated with our Phase 2 HELP Open Label Extension Study and Phase 3 LEVEL trial for oral levosimendan, compared with costs for the three months ended September 30, 2023, associated with our Phase 2 HELP Open Label Extension Study for levosimendan.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Personnel costs increased approximately $202,000 for the three months ended September 30, 2024, compared to the same period in the prior year, primarily attributable to higher salaries and additional performance-based compensation expense.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costs increased approximately $132,000 for the three months ended September 30, 2024, compared to the same period in the prior year, primarily due to increased regulatory consulting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and Expense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income and expenses include non-operating income and expense items not otherwise recorded in our consolidated statement of comprehensive loss. These items include but are not limited to interest income earned and fixed asset disposals. Interest expenses were approximately $6,000 and $5,000 for three months ended September 30, 2024 and 2023. Other income increased approximately $514,000 primarily related to higher interest income on increased cash deposits as a result of the August 2024 Offering.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Overview – Nine Months Ended September 30, 2024</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6000" w:type="dxa"/>
            <w:vAlign w:val="bottom"/>
          </w:tcPr>
          <w:p>
            <w:pPr>
              <w:spacing w:after="0"/>
              <w:rPr>
                <w:sz w:val="24"/>
                <w:szCs w:val="24"/>
                <w:color w:val="auto"/>
              </w:rPr>
            </w:pPr>
          </w:p>
        </w:tc>
        <w:tc>
          <w:tcPr>
            <w:tcW w:w="264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c>
          <w:tcPr>
            <w:tcW w:w="120" w:type="dxa"/>
            <w:vAlign w:val="bottom"/>
          </w:tcPr>
          <w:p>
            <w:pPr>
              <w:spacing w:after="0"/>
              <w:rPr>
                <w:sz w:val="24"/>
                <w:szCs w:val="24"/>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Increase/</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 Increase/</w:t>
            </w:r>
          </w:p>
        </w:tc>
        <w:tc>
          <w:tcPr>
            <w:tcW w:w="0" w:type="dxa"/>
            <w:vAlign w:val="bottom"/>
          </w:tcPr>
          <w:p>
            <w:pPr>
              <w:spacing w:after="0"/>
              <w:rPr>
                <w:sz w:val="1"/>
                <w:szCs w:val="1"/>
                <w:color w:val="auto"/>
              </w:rPr>
            </w:pPr>
          </w:p>
        </w:tc>
      </w:tr>
      <w:tr>
        <w:trPr>
          <w:trHeight w:val="238"/>
        </w:trPr>
        <w:tc>
          <w:tcPr>
            <w:tcW w:w="6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30,</w:t>
            </w: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(Decrease)</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0" w:type="dxa"/>
            <w:vAlign w:val="bottom"/>
          </w:tcPr>
          <w:p>
            <w:pPr>
              <w:spacing w:after="0"/>
              <w:rPr>
                <w:sz w:val="1"/>
                <w:szCs w:val="1"/>
                <w:color w:val="auto"/>
              </w:rPr>
            </w:pPr>
          </w:p>
        </w:tc>
      </w:tr>
      <w:tr>
        <w:trPr>
          <w:trHeight w:val="210"/>
        </w:trPr>
        <w:tc>
          <w:tcPr>
            <w:tcW w:w="6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4,083,858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3,363,511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720,347</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8,115,370</w:t>
            </w:r>
          </w:p>
        </w:tc>
        <w:tc>
          <w:tcPr>
            <w:tcW w:w="240" w:type="dxa"/>
            <w:vAlign w:val="bottom"/>
          </w:tcPr>
          <w:p>
            <w:pPr>
              <w:spacing w:after="0"/>
              <w:rPr>
                <w:sz w:val="18"/>
                <w:szCs w:val="18"/>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1,529,493</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6,585,877</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431%</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12,199,228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4,893,004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7,306,224</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were $4.1 million for the nine months ended September 30, 2024, compared to $3.4 million for the same period in 2023. General and administrative expenses consist primarily of compensation for executive, finance, legal and administrative personnel, including stock-based compensation. Other general and administrative expenses include facility costs not otherwise included in research and development expenses, legal and accounting services, and other professional and consulting services. General and administrative expenses and percentage changes for the nine months ended September 30, 2024, and 2023, are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266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c>
          <w:tcPr>
            <w:tcW w:w="12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 Increase/</w:t>
            </w:r>
          </w:p>
        </w:tc>
      </w:tr>
      <w:tr>
        <w:trPr>
          <w:trHeight w:val="238"/>
        </w:trPr>
        <w:tc>
          <w:tcPr>
            <w:tcW w:w="5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3"/>
          </w:tcPr>
          <w:p>
            <w:pPr>
              <w:jc w:val="right"/>
              <w:ind w:right="136"/>
              <w:spacing w:after="0"/>
              <w:rPr>
                <w:sz w:val="20"/>
                <w:szCs w:val="20"/>
                <w:color w:val="auto"/>
              </w:rPr>
            </w:pPr>
            <w:r>
              <w:rPr>
                <w:rFonts w:ascii="Times New Roman" w:cs="Times New Roman" w:eastAsia="Times New Roman" w:hAnsi="Times New Roman"/>
                <w:sz w:val="18"/>
                <w:szCs w:val="18"/>
                <w:b w:val="1"/>
                <w:bCs w:val="1"/>
                <w:color w:val="auto"/>
              </w:rPr>
              <w:t>30,</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(Decrease)</w:t>
            </w:r>
          </w:p>
        </w:tc>
      </w:tr>
      <w:tr>
        <w:trPr>
          <w:trHeight w:val="209"/>
        </w:trPr>
        <w:tc>
          <w:tcPr>
            <w:tcW w:w="59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0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Personnel costs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1,731,718</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1,446,549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285,169</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Legal and professional fees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1,731,651</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1,299,021</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432,630</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w:t>
            </w:r>
          </w:p>
        </w:tc>
      </w:tr>
      <w:tr>
        <w:trPr>
          <w:trHeight w:val="22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costs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610,395</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592,174</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18,221</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Facilities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25,767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(15,673)</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0"/>
        </w:trPr>
        <w:tc>
          <w:tcPr>
            <w:tcW w:w="59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4,083,858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3,363,511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720,347</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r>
    </w:tbl>
    <w:p>
      <w:pPr>
        <w:spacing w:after="0" w:line="19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Personnel costs increased approximately $285,000 for the nine months ended September 30, 2024, compared to the same period in 2023. The change was primarily attributable to higher salaries and performance-based compensation plan expense.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Legal and professional fees increased approximately $433,000 for the nine months ended September 30, 2024, compared to the same period in the prior year. Professional fees consist of the costs incurred for accounting fees, capital market expenses, consulting fees and investor relations services, as well as fees paid to the members of our Board of Directors.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Legal fees increased approximately $77,000 for the nine months ended September 30, 2024, compared to the same period in the prior year. The change was primarily due to increased legal fees associated with general corporate matters, fundraising activities and IP costs compared to the same period in the prior year.</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Professional fees increased approximately $356,000 for the nine months ended September 30, 2024, compared to the same period in the prior year. The change was primarily attributable to increased capital market expenses, consulting expenses, and accounting expenses.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costs increased approximately $18,000 for the nine months ended September 30, 2024, compared to the same period in 2023. Other costs include expenses incurred for franchise and other taxes, travel, supplies, insurance, depreciation, and other miscellaneous charges. The change was primarily</w:t>
      </w:r>
    </w:p>
    <w:p>
      <w:pPr>
        <w:sectPr>
          <w:pgSz w:w="11900" w:h="16927" w:orient="portrait"/>
          <w:cols w:equalWidth="0" w:num="1">
            <w:col w:w="11240"/>
          </w:cols>
          <w:pgMar w:left="320" w:top="117" w:right="339" w:bottom="0" w:gutter="0" w:footer="0" w:header="0"/>
        </w:sectPr>
      </w:pPr>
    </w:p>
    <w:bookmarkStart w:id="16" w:name="page17"/>
    <w:bookmarkEnd w:id="16"/>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attributable to increases in franchise tax fees offset by lower costs for insurance and general office supplies.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Facilities costs include costs paid for rent and utilities at our corporate headquarters in North Carolina. Facilities costs decreased approximately $16,000 for the nine months ended September 30, 2024, compared to the same period in 2023. The decrease is the result of the Company’s relocation to new shared office space resulting in lower rent and utility costs.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Research and development expenses were approximately $8.1 million for the nine months ended September 30, 2024, compared to $1.5 million for the same period in the prior year. Research and development expenses include, but are not limited to, (i) expenses incurred under agreements with contract research organizations and investigative sites, which conduct our clinical trials and a substantial portion of our pre-clinical studies; (ii) the cost of supplying clinical trial materials; (iii) payments to contract service organizations, as well as consultants; (iv) employee-related expenses, which include salaries and benefits; and (v) facilities, depreciation and other allocated expenses, which include direct and allocated expenses for rent and maintenance of facilities and equipment, depreciation of leasehold improvements, equipment, and other supplies. All research and development expenses are expensed as incurred. Research and development expenses and percentage changes for the nine months ended September 30, 2024, and 2023, respectively,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00" w:type="dxa"/>
            <w:vAlign w:val="bottom"/>
          </w:tcPr>
          <w:p>
            <w:pPr>
              <w:spacing w:after="0"/>
              <w:rPr>
                <w:sz w:val="18"/>
                <w:szCs w:val="18"/>
                <w:color w:val="auto"/>
              </w:rPr>
            </w:pPr>
          </w:p>
        </w:tc>
        <w:tc>
          <w:tcPr>
            <w:tcW w:w="264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Increase/</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 Increase/</w:t>
            </w:r>
          </w:p>
        </w:tc>
      </w:tr>
      <w:tr>
        <w:trPr>
          <w:trHeight w:val="238"/>
        </w:trPr>
        <w:tc>
          <w:tcPr>
            <w:tcW w:w="6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30,</w:t>
            </w: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(Decrease)</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(Decrease)</w:t>
            </w:r>
          </w:p>
        </w:tc>
      </w:tr>
      <w:tr>
        <w:trPr>
          <w:trHeight w:val="209"/>
        </w:trPr>
        <w:tc>
          <w:tcPr>
            <w:tcW w:w="60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09"/>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Clinical and preclinical development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7,207,292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1,119,920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6,087,372</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544%</w:t>
            </w: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Personnel costs</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733,113</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340,625</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392,488</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115%</w:t>
            </w: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costs</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174,965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68,948</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106,017</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154%</w:t>
            </w:r>
          </w:p>
        </w:tc>
      </w:tr>
      <w:tr>
        <w:trPr>
          <w:trHeight w:val="20"/>
        </w:trPr>
        <w:tc>
          <w:tcPr>
            <w:tcW w:w="60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28"/>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8,115,370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1,529,493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6,585,877</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431%</w:t>
            </w:r>
          </w:p>
        </w:tc>
      </w:tr>
    </w:tbl>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Clinical and preclinical development costs increased approximately $6.1 million for the nine months ended September 30, 2024, compared to the same period in the prior year. Clinical and preclinical development costs for the nine months ended September 30, 2024, consists of expenses associated with our Phase 2 HELP Open Label Extension Study and Phase 3 LEVEL trial for oral levosimendan, compared with costs for the nine months ended September 30, 2023, associated with our Phase 2 HELP Open Label Extension Study for levosimendan.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Personnel costs increased approximately $392,000 for the nine months ended September 30, 2024, compared to the same period in the prior year, primarily attributable to vesting of options associated with the commencement of the Phase 3 LEVEL trial for oral levosimendan and additional performance-based compensation plan expense.</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Other costs increased approximately $106,000 for the nine months ended September 30, 2024, compared to the same period in the prior year, primarily due to increased regulatory consulting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and Expense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Other income and expenses include non-operating income and expense items not otherwise recorded in our consolidated statement of comprehensive loss. These items include but are not limited to interest income earned and fixed asset disposals. Interest expenses were approximately $23,000 and $21,000 for the nine months ended September 30, 2024, and 2023, respectively. The change is due primarily to an increase in the interest rate associated with the premium finance note agreement with Premium Funding Associates, Inc. Other income increased approximately $458,000 primarily related to higher interest income on cash deposits as a result of the February 2024 Offering (as defined below) and August 2024 Offering.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Capital Resources and Plan of Operation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incurred losses since our inception and, as of September 30, 2024, we had an accumulated deficit of approximately $308.6 million. We will continue to incur losses until we generate sufficient revenue to offset our expenses, and we anticipate that we will continue to incur net losses for at least the next several years. We expect to incur additional expenses related to our development and potential commercialization of levosimendan and, over the long term, imatinib for PAH, and other potential indications, as well as identifying and developing other potential product candidates, and as a result, we will need to generate significant net product sales, royalty and other revenues to achieve profitability.</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process of conducting preclinical studies and clinical trials necessary to obtain approval from the FDA is costly and time consuming. The probability of success for each product candidate and clinical trial may be affected by a variety of factors, including, among other things, the quality of the product candidate’s early clinical data, investment in the program, competition, manufacturing capabilities and commercial viability. As a result of the uncertainties discussed above, uncertainty associated with clinical trial enrollment and risks inherent in the development process, we are unable to determine the duration and completion costs of current or future clinical stages of our product candidates or when, or to what extent, we will generate revenues from the commercialization and sale of any of our product candidates. Development timelines, probability of success and development costs vary widely. We are currently focused on developing our two product candidates, levosimendan and imatinib, and have prioritized levosimendan; however, we will need substantial additional capital in the future in order to finalize the development of levosimendan, commence its commercialization, potentially develop imatinib, and to continue with the development of other potential product candidates.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7"/>
          <w:szCs w:val="17"/>
          <w:color w:val="auto"/>
        </w:rPr>
        <w:t>We have financed our operations since September 1990 through the issuance of debt and equity securities and loans from stockholders. We had total current assets of approximately $99.8 million and $11.7 million and working capital of approximately $97.2 million and $8.1 million as of September 30, 2024,</w:t>
      </w:r>
    </w:p>
    <w:p>
      <w:pPr>
        <w:sectPr>
          <w:pgSz w:w="11900" w:h="16854" w:orient="portrait"/>
          <w:cols w:equalWidth="0" w:num="1">
            <w:col w:w="11240"/>
          </w:cols>
          <w:pgMar w:left="320" w:top="121" w:right="339" w:bottom="0" w:gutter="0" w:footer="0" w:header="0"/>
        </w:sectPr>
      </w:pPr>
    </w:p>
    <w:bookmarkStart w:id="17" w:name="page18"/>
    <w:bookmarkEnd w:id="17"/>
    <w:p>
      <w:pPr>
        <w:jc w:val="both"/>
        <w:spacing w:after="0" w:line="282" w:lineRule="auto"/>
        <w:rPr>
          <w:sz w:val="20"/>
          <w:szCs w:val="20"/>
          <w:color w:val="auto"/>
        </w:rPr>
      </w:pPr>
      <w:r>
        <w:rPr>
          <w:rFonts w:ascii="Times New Roman" w:cs="Times New Roman" w:eastAsia="Times New Roman" w:hAnsi="Times New Roman"/>
          <w:sz w:val="18"/>
          <w:szCs w:val="18"/>
          <w:color w:val="auto"/>
        </w:rPr>
        <w:t>and December 31, 2023, respectively. Our practice is to invest excess cash, where available, in short-term money market investment instruments and high-quality government bonds.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and Preclinical Product Development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currently conducting the LEVEL trial and intend to recruit patients through 2024 and into at least the first half of 2025. Our ability to continue to pursue development of our products, including completion of a second Phase 3 oral levosimendan trial, beyond 2027, will depend on obtaining license income or outside financial resources. There is no assurance that we will obtain any license agreement or outside financing or that we will otherwise succeed in obtaining any necessary resources.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August 8, 2024, we sold in the August 2024 Offering an aggregate of 1,450,661 shares of our common stock, and Pre-Funded Warrants to purchase an aggregate of up to 31,882,671 shares of our common stock, along with accompanying Warrants to purchase an aggregate of up to 16,666,666 shares of our common stock (or, in lieu thereof, additional Pre-Funded Warrants). The purchase price for each share and accompanying Warrant was $3.00, with the accompanying Warrant having an exercise price of $4.50 (provided, the purchase price for each Pre-Funded Warrant and accompanying Warrant was $2.99, with the Pre-Funded Warrants having an exercise price of $0.01). Gross proceeds from the August 2024 Offering were approximately $99.7 million, before deducting the placement agent fees and estimated offering expenses payable by the Company. Net proceeds from the offering were approximately $92.3 million, after deducting the placement agent fees and offering expenses payable by the Company.</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8, 2024, we sold in a registered public offering (the “February 2024 Offering”) (i) an aggregate of 421,260 shares of our common stock and pre-funded warrants to purchase an aggregate of 1,178,740 shares of our common stock and (ii) accompanying warrants to purchase up to an aggregate of 3,200,000 shares of our common stock at a combined offering price of $5.65 per share of common stock and accompanying warrant, or $5.649 per pre-funded warrant and accompanying warrant, resulting in gross proceeds to the Company of approximately $9.0 million. Net proceeds of the offering were approximately $8.0 million, after deducting the placement agent fees and offering expenses payable by the Company.</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retrospectively adjusted for the Reverse Stock Split effected in January 2024, on February 3, 2023, we sold in a registered public offering (i) an aggregate of 86,994 shares of our common stock and pre-funded warrants to purchase an aggregate of 21,341 shares of our common stock and (ii) accompanying warrants to purchase up to an aggregate of 216,667 shares of our common stock at a combined offering price of $144.00 per share of common stock and accompanying warrant, or $143.92 per pre-funded warrant and accompanying warrant, resulting in gross proceeds to the Company of approximately $15.6 million. Net proceeds of the offering were approximately $14.1 million, after deducting the placement agent fees and offering expenses payable by the Company.</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retrospectively adjusted for the Reverse Stock Splits, on May 17, 2022, we sold 6,623 units in a private placement at a purchase price of $1,240.00 per unit for net proceeds of approximately $7.9 million. Each unit consisted of one unregistered pre-funded warrant to purchase one share of our common stock and one unregistered warrant to purchase one share of common stock.</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70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Cash Flows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shows a summary of our cash flows for the periods indicated:</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700" w:type="dxa"/>
            <w:vAlign w:val="bottom"/>
          </w:tcPr>
          <w:p>
            <w:pPr>
              <w:spacing w:after="0"/>
              <w:rPr>
                <w:sz w:val="24"/>
                <w:szCs w:val="24"/>
                <w:color w:val="auto"/>
              </w:rPr>
            </w:pPr>
          </w:p>
        </w:tc>
        <w:tc>
          <w:tcPr>
            <w:tcW w:w="254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r>
      <w:tr>
        <w:trPr>
          <w:trHeight w:val="238"/>
        </w:trPr>
        <w:tc>
          <w:tcPr>
            <w:tcW w:w="8700" w:type="dxa"/>
            <w:vAlign w:val="bottom"/>
          </w:tcPr>
          <w:p>
            <w:pPr>
              <w:spacing w:after="0"/>
              <w:rPr>
                <w:sz w:val="20"/>
                <w:szCs w:val="20"/>
                <w:color w:val="auto"/>
              </w:rPr>
            </w:pPr>
          </w:p>
        </w:tc>
        <w:tc>
          <w:tcPr>
            <w:tcW w:w="13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30</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8700" w:type="dxa"/>
            <w:vAlign w:val="bottom"/>
          </w:tcPr>
          <w:p>
            <w:pPr>
              <w:spacing w:after="0"/>
              <w:rPr>
                <w:sz w:val="18"/>
                <w:szCs w:val="18"/>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10"/>
        </w:trPr>
        <w:tc>
          <w:tcPr>
            <w:tcW w:w="8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(11,283,967)</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(4,728,992)</w:t>
            </w:r>
          </w:p>
        </w:tc>
      </w:tr>
      <w:tr>
        <w:trPr>
          <w:trHeight w:val="216"/>
        </w:trPr>
        <w:tc>
          <w:tcPr>
            <w:tcW w:w="8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2,843</w:t>
            </w:r>
          </w:p>
        </w:tc>
      </w:tr>
      <w:tr>
        <w:trPr>
          <w:trHeight w:val="216"/>
        </w:trPr>
        <w:tc>
          <w:tcPr>
            <w:tcW w:w="8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99,802,755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13,743,603</w:t>
            </w:r>
          </w:p>
        </w:tc>
      </w:tr>
    </w:tbl>
    <w:p>
      <w:pPr>
        <w:spacing w:after="0" w:line="19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Net cash used in operating activities. </w:t>
      </w:r>
      <w:r>
        <w:rPr>
          <w:rFonts w:ascii="Times New Roman" w:cs="Times New Roman" w:eastAsia="Times New Roman" w:hAnsi="Times New Roman"/>
          <w:sz w:val="18"/>
          <w:szCs w:val="18"/>
          <w:color w:val="auto"/>
        </w:rPr>
        <w:t>Net cash used in operating activities was approximately $11.3 million for the nine months ended September 30,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approximately $4.7 million for the nine months ended September 30, 2023. The increase in cash used for operating activities was primarily due to higher study expense activity in the current period as compared to the prior year.</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Net cash provided by investing activities</w:t>
      </w:r>
      <w:r>
        <w:rPr>
          <w:rFonts w:ascii="Times New Roman" w:cs="Times New Roman" w:eastAsia="Times New Roman" w:hAnsi="Times New Roman"/>
          <w:sz w:val="18"/>
          <w:szCs w:val="18"/>
          <w:color w:val="auto"/>
        </w:rPr>
        <w:t>. There was no net cash provided or consumed by investing activities for the nine months ended September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compared to net cash provided by investing activities of approximately $2,800 in the nine months ended September 30, 2023. The decrease in cash provided by investing activities was primarily due to the sale of all remaining office furniture related to the Company’s headquarters in the prior year.</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Net cash provided by financing activities</w:t>
      </w:r>
      <w:r>
        <w:rPr>
          <w:rFonts w:ascii="Times New Roman" w:cs="Times New Roman" w:eastAsia="Times New Roman" w:hAnsi="Times New Roman"/>
          <w:sz w:val="18"/>
          <w:szCs w:val="18"/>
          <w:color w:val="auto"/>
        </w:rPr>
        <w:t>. Net cash provided by financing activities was approximately $99.8 million for the nine months ended September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 2024, compared to approximately $14.0 million in the nine months ended September 30, 2023. The increase in cash provided by financing activities was due to higher net proceeds received from the August 8, 2024 and February 8, 2024 sales of common stock, pre-funded warrants, and warrants, compared to the February 3, 2023 sale of common stock and warrants and the exercise of warrants.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Capital and Capital Expenditure Requirements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that include, but are not limited to the following:</w:t>
      </w:r>
    </w:p>
    <w:p>
      <w:pPr>
        <w:spacing w:after="0" w:line="225" w:lineRule="exact"/>
        <w:rPr>
          <w:sz w:val="20"/>
          <w:szCs w:val="20"/>
          <w:color w:val="auto"/>
        </w:rPr>
      </w:pPr>
    </w:p>
    <w:p>
      <w:pPr>
        <w:ind w:left="900" w:hanging="447"/>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and completion of clinical trials for our product candidates and potential product candidates;</w:t>
      </w:r>
    </w:p>
    <w:p>
      <w:pPr>
        <w:spacing w:after="0" w:line="225"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regulatory approvals and the regulatory approval process;</w:t>
      </w:r>
    </w:p>
    <w:p>
      <w:pPr>
        <w:spacing w:after="0" w:line="225"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that may be caused by changing regulatory requirements;</w:t>
      </w:r>
    </w:p>
    <w:p>
      <w:pPr>
        <w:sectPr>
          <w:pgSz w:w="11900" w:h="16838" w:orient="portrait"/>
          <w:cols w:equalWidth="0" w:num="1">
            <w:col w:w="11240"/>
          </w:cols>
          <w:pgMar w:left="320" w:top="121" w:right="339" w:bottom="0" w:gutter="0" w:footer="0" w:header="0"/>
        </w:sectPr>
      </w:pPr>
    </w:p>
    <w:bookmarkStart w:id="18" w:name="page19"/>
    <w:bookmarkEnd w:id="18"/>
    <w:p>
      <w:pPr>
        <w:ind w:left="900" w:hanging="447"/>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product candidates we pursue;</w:t>
      </w:r>
    </w:p>
    <w:p>
      <w:pPr>
        <w:spacing w:after="0" w:line="225"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filing and prosecuting patent applications and enforcing and defending patent claims;</w:t>
      </w:r>
    </w:p>
    <w:p>
      <w:pPr>
        <w:spacing w:after="0" w:line="225"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terms of future collaboration, licensing, consulting or other arrangements that we may enter into;</w:t>
      </w:r>
    </w:p>
    <w:p>
      <w:pPr>
        <w:spacing w:after="0" w:line="225"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establishing sales, marketing, manufacturing and distribution capabilities;</w:t>
      </w:r>
    </w:p>
    <w:p>
      <w:pPr>
        <w:spacing w:after="0" w:line="225"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procuring clinical and commercial supplies of our product candidates;</w:t>
      </w:r>
    </w:p>
    <w:p>
      <w:pPr>
        <w:spacing w:after="0" w:line="225"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invest in businesses, products or technologies;</w:t>
      </w:r>
    </w:p>
    <w:p>
      <w:pPr>
        <w:spacing w:after="0" w:line="225"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that may be caused by another outbreak of an infectious disease or other global societal disruptions; and</w:t>
      </w:r>
    </w:p>
    <w:p>
      <w:pPr>
        <w:spacing w:after="0" w:line="225"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costs of litigation.</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Based on our working capital on September 30, 2024, including the approximately $92.3 million in net proceeds from the August 2024 Offering, we believe we have sufficient capital on hand to continue to fund operations through the end of 2027.</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Significant Judgments and Estimates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unaudited condensed consolidated financial statements have been prepared in accordance with GAAP. The preparation of these financial statements requires us to make estimates and assumptions that affect the reported amounts of assets and liabilities and the disclosure of contingent assets and liabilities at the date of the financial statements, as well as the expenses during the reporting periods. These items are monitored and analyzed by us for changes in facts and circumstances, and material changes in these estimates could occur in the future.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Changes in estimates are reflected in reported results for the period in which they become known. Actual results may differ materially from these estimates under different assumptions or conditions. For information regarding our critical accounting policies and estimates, please refer to “Management’s Discussion and Analysis of Financial Condition and Results of Operations—Summary of Critical Accounting Policies” contained in our Annual Report on Form 10-K for the year ended December 31, 2023 and Note 2 to our unaudited condensed consolidated financial statements included in Part I, Item 1 of this Quarterly Report on Form 10-Q.</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Since our inception, we have not engaged in any off-balance sheet arrangements, including the use of structured finance, special purpose entities or variable interest entities.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Smaller reporting companies are not required to provide the information required by this item.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required by paragraph (b) of Rules 13a-15 and 15d-15 promulgated under the Exchange Act, under the supervision and with the participation of our management, including our President and Chief Executive Officer and our Interim Chief Financial Officer, we conducted an evaluation as of the end of the period covered by this Quarterly Report on Form 10-Q, of the effectiveness of our disclosure controls and procedures as defined in Exchange Act Rules 13a-15(e) and 15d-15(e).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disclosure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on their evaluation, our President and Chief Executive Officer and Interim Chief Financial Officer concluded that our disclosure controls and procedures were effective as of September 30, 2024, the end of the period covered by this Quarterly Report on Form 10-Q, in that they provide reasonable assurance that the information we are required to disclose in the reports we file or submit under the Exchange Act is recorded, processed, summarized and reported within the time periods required by the SEC and is accumulated and communicated to our management, including our President and Chief Executive Officer and Interim Chief Financial Officer, as appropriate to allow timely decisions regarding required disclosure.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our most recently completed fiscal quarter that have materially affected, or are reasonably likely to materially affect, our internal control over financial reporting. We routinely review our internal controls over financial reporting and from time to time make changes intended to enhance the effectiveness of our internal control over financial reporting. We will continue to evaluate the</w:t>
      </w:r>
    </w:p>
    <w:p>
      <w:pPr>
        <w:sectPr>
          <w:pgSz w:w="11900" w:h="16838" w:orient="portrait"/>
          <w:cols w:equalWidth="0" w:num="1">
            <w:col w:w="11240"/>
          </w:cols>
          <w:pgMar w:left="320" w:top="121" w:right="339" w:bottom="0" w:gutter="0" w:footer="0" w:header="0"/>
        </w:sectPr>
      </w:pPr>
    </w:p>
    <w:bookmarkStart w:id="19" w:name="page20"/>
    <w:bookmarkEnd w:id="19"/>
    <w:p>
      <w:pPr>
        <w:jc w:val="both"/>
        <w:spacing w:after="0" w:line="282" w:lineRule="auto"/>
        <w:rPr>
          <w:sz w:val="20"/>
          <w:szCs w:val="20"/>
          <w:color w:val="auto"/>
        </w:rPr>
      </w:pPr>
      <w:r>
        <w:rPr>
          <w:rFonts w:ascii="Times New Roman" w:cs="Times New Roman" w:eastAsia="Times New Roman" w:hAnsi="Times New Roman"/>
          <w:sz w:val="18"/>
          <w:szCs w:val="18"/>
          <w:color w:val="auto"/>
        </w:rPr>
        <w:t>effectiveness of our disclosure controls and procedures and internal controls over financial reporting on an ongoing basis and will take action as appropriate.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most recently completed fiscal quarter, management reviewed all work generated in support of the financial statements and corresponding footnotes in order to determine areas which may be susceptible to human error. The review focused on limiting manual inputs into work papers wherever possible and tying inputs to external source documents. In addition, management also enhanced its work paper review to compare figures to prior year amounts or source documents and increased the number of calculations in the work papers that are reviewed and re-performed.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material pending legal proceedings to which we are a party or to which any of our property is subject.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risks we face have not materially changed from those disclosed in our Annual Report on Form 10-K for the year ended December 31,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being filed or furnished as part of this Quarterly Report on Form 10-Q and are numbered in accordance with Item 601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Regulation S-K:</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8"/>
        </w:trPr>
        <w:tc>
          <w:tcPr>
            <w:tcW w:w="100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Pr>
          <w:p>
            <w:pPr>
              <w:spacing w:after="0"/>
              <w:rPr>
                <w:sz w:val="20"/>
                <w:szCs w:val="20"/>
                <w:color w:val="auto"/>
              </w:rPr>
            </w:pPr>
          </w:p>
        </w:tc>
        <w:tc>
          <w:tcPr>
            <w:tcW w:w="10120" w:type="dxa"/>
            <w:vAlign w:val="bottom"/>
            <w:tcBorders>
              <w:bottom w:val="single" w:sz="8" w:color="auto"/>
            </w:tcBorders>
            <w:gridSpan w:val="10"/>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10"/>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175"/>
        </w:trPr>
        <w:tc>
          <w:tcPr>
            <w:tcW w:w="320" w:type="dxa"/>
            <w:vAlign w:val="bottom"/>
            <w:gridSpan w:val="2"/>
            <w:shd w:val="clear" w:color="auto" w:fill="CCEEFF"/>
          </w:tcPr>
          <w:p>
            <w:pPr>
              <w:spacing w:after="0" w:line="176" w:lineRule="exact"/>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w:t>
              </w:r>
            </w:hyperlink>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120" w:type="dxa"/>
            <w:vAlign w:val="bottom"/>
            <w:gridSpan w:val="10"/>
            <w:shd w:val="clear" w:color="auto" w:fill="CCEEFF"/>
          </w:tcPr>
          <w:p>
            <w:pPr>
              <w:spacing w:after="0" w:line="176" w:lineRule="exact"/>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0000EE"/>
                </w:rPr>
                <w:t>Form of Pre-Funded Warrant to Purchase Common Stock (incorporated herein by reference to Exhibit 4.1 to our Current Report on Form 8-</w:t>
              </w:r>
            </w:hyperlink>
          </w:p>
        </w:tc>
      </w:tr>
      <w:tr>
        <w:trPr>
          <w:trHeight w:val="196"/>
        </w:trPr>
        <w:tc>
          <w:tcPr>
            <w:tcW w:w="24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120" w:type="dxa"/>
            <w:vAlign w:val="bottom"/>
            <w:tcBorders>
              <w:top w:val="single" w:sz="8" w:color="0000EE"/>
            </w:tcBorders>
            <w:gridSpan w:val="10"/>
            <w:shd w:val="clear" w:color="auto" w:fill="CCEEFF"/>
          </w:tcPr>
          <w:p>
            <w:pPr>
              <w:spacing w:after="0" w:line="196" w:lineRule="exact"/>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0000EE"/>
                </w:rPr>
                <w:t>K filed with the SEC on August 6, 2024).</w:t>
              </w:r>
            </w:hyperlink>
          </w:p>
        </w:tc>
      </w:tr>
      <w:tr>
        <w:trPr>
          <w:trHeight w:val="21"/>
        </w:trPr>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320" w:type="dxa"/>
            <w:vAlign w:val="bottom"/>
            <w:gridSpan w:val="2"/>
          </w:tcPr>
          <w:p>
            <w:pPr>
              <w:spacing w:after="0" w:line="176" w:lineRule="exact"/>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w:t>
              </w:r>
            </w:hyperlink>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120" w:type="dxa"/>
            <w:vAlign w:val="bottom"/>
            <w:gridSpan w:val="10"/>
          </w:tcPr>
          <w:p>
            <w:pPr>
              <w:spacing w:after="0" w:line="176" w:lineRule="exact"/>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Form of Warrant to Purchase Shares of Common Stock or Pre-Funded Warrants (incorporated herein by reference to Exhibit 4.2 to our</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Current Report on Form 8-K filed with the SEC on August 6, 2024).</w:t>
              </w:r>
            </w:hyperlink>
          </w:p>
        </w:tc>
      </w:tr>
      <w:tr>
        <w:trPr>
          <w:trHeight w:val="20"/>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19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75"/>
        </w:trPr>
        <w:tc>
          <w:tcPr>
            <w:tcW w:w="500" w:type="dxa"/>
            <w:vAlign w:val="bottom"/>
            <w:gridSpan w:val="4"/>
            <w:shd w:val="clear" w:color="auto" w:fill="CCEEFF"/>
          </w:tcPr>
          <w:p>
            <w:pPr>
              <w:spacing w:after="0" w:line="176" w:lineRule="exact"/>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hyperlink>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120" w:type="dxa"/>
            <w:vAlign w:val="bottom"/>
            <w:gridSpan w:val="10"/>
            <w:shd w:val="clear" w:color="auto" w:fill="CCEEFF"/>
          </w:tcPr>
          <w:p>
            <w:pPr>
              <w:spacing w:after="0" w:line="176" w:lineRule="exact"/>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Amendment No. 2 to the Tenax Therapeutics, Inc. 2022 Stock Incentive Plan (incorporated herein by reference to Exhibit 10.1 to our</w:t>
              </w:r>
            </w:hyperlink>
          </w:p>
        </w:tc>
      </w:tr>
      <w:tr>
        <w:trPr>
          <w:trHeight w:val="217"/>
        </w:trPr>
        <w:tc>
          <w:tcPr>
            <w:tcW w:w="240" w:type="dxa"/>
            <w:vAlign w:val="bottom"/>
            <w:tcBorders>
              <w:top w:val="single" w:sz="8" w:color="0000EE"/>
              <w:bottom w:val="single" w:sz="8" w:color="CCEEFF"/>
            </w:tcBorders>
            <w:shd w:val="clear" w:color="auto" w:fill="CCEEFF"/>
          </w:tcPr>
          <w:p>
            <w:pPr>
              <w:spacing w:after="0"/>
              <w:rPr>
                <w:sz w:val="18"/>
                <w:szCs w:val="18"/>
                <w:color w:val="auto"/>
              </w:rPr>
            </w:pPr>
          </w:p>
        </w:tc>
        <w:tc>
          <w:tcPr>
            <w:tcW w:w="80" w:type="dxa"/>
            <w:vAlign w:val="bottom"/>
            <w:tcBorders>
              <w:top w:val="single" w:sz="8" w:color="0000EE"/>
              <w:bottom w:val="single" w:sz="8" w:color="CCEEFF"/>
            </w:tcBorders>
            <w:shd w:val="clear" w:color="auto" w:fill="CCEEFF"/>
          </w:tcPr>
          <w:p>
            <w:pPr>
              <w:spacing w:after="0"/>
              <w:rPr>
                <w:sz w:val="18"/>
                <w:szCs w:val="18"/>
                <w:color w:val="auto"/>
              </w:rPr>
            </w:pPr>
          </w:p>
        </w:tc>
        <w:tc>
          <w:tcPr>
            <w:tcW w:w="100" w:type="dxa"/>
            <w:vAlign w:val="bottom"/>
            <w:tcBorders>
              <w:top w:val="single" w:sz="8" w:color="0000EE"/>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5080" w:type="dxa"/>
            <w:vAlign w:val="bottom"/>
            <w:tcBorders>
              <w:top w:val="single" w:sz="8" w:color="0000EE"/>
              <w:bottom w:val="single" w:sz="8" w:color="0000EE"/>
            </w:tcBorders>
            <w:gridSpan w:val="6"/>
            <w:shd w:val="clear" w:color="auto" w:fill="CCEEFF"/>
          </w:tcPr>
          <w:p>
            <w:pPr>
              <w:spacing w:after="0" w:line="196" w:lineRule="exact"/>
              <w:rPr>
                <w:rFonts w:ascii="Times New Roman" w:cs="Times New Roman" w:eastAsia="Times New Roman" w:hAnsi="Times New Roman"/>
                <w:sz w:val="18"/>
                <w:szCs w:val="18"/>
                <w:color w:val="0000EE"/>
                <w:w w:val="99"/>
              </w:rPr>
            </w:pPr>
            <w:hyperlink r:id="rId42">
              <w:r>
                <w:rPr>
                  <w:rFonts w:ascii="Times New Roman" w:cs="Times New Roman" w:eastAsia="Times New Roman" w:hAnsi="Times New Roman"/>
                  <w:sz w:val="18"/>
                  <w:szCs w:val="18"/>
                  <w:color w:val="0000EE"/>
                  <w:w w:val="99"/>
                </w:rPr>
                <w:t>Current Report on Form 8-K filed with the SEC on October 30, 2024).</w:t>
              </w:r>
            </w:hyperlink>
          </w:p>
        </w:tc>
        <w:tc>
          <w:tcPr>
            <w:tcW w:w="5040" w:type="dxa"/>
            <w:vAlign w:val="bottom"/>
            <w:tcBorders>
              <w:top w:val="single" w:sz="8" w:color="0000EE"/>
              <w:bottom w:val="single" w:sz="8" w:color="CCEEFF"/>
            </w:tcBorders>
            <w:gridSpan w:val="4"/>
            <w:shd w:val="clear" w:color="auto" w:fill="CCEEFF"/>
          </w:tcPr>
          <w:p>
            <w:pPr>
              <w:spacing w:after="0"/>
              <w:rPr>
                <w:sz w:val="18"/>
                <w:szCs w:val="18"/>
                <w:color w:val="auto"/>
              </w:rPr>
            </w:pPr>
          </w:p>
        </w:tc>
      </w:tr>
      <w:tr>
        <w:trPr>
          <w:trHeight w:val="175"/>
        </w:trPr>
        <w:tc>
          <w:tcPr>
            <w:tcW w:w="420" w:type="dxa"/>
            <w:vAlign w:val="bottom"/>
            <w:gridSpan w:val="3"/>
          </w:tcPr>
          <w:p>
            <w:pPr>
              <w:spacing w:after="0" w:line="176" w:lineRule="exact"/>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w:t>
              </w:r>
            </w:hyperlink>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120" w:type="dxa"/>
            <w:vAlign w:val="bottom"/>
            <w:gridSpan w:val="10"/>
          </w:tcPr>
          <w:p>
            <w:pPr>
              <w:spacing w:after="0" w:line="176" w:lineRule="exact"/>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Form of Securities Purchase Agreement, dated August 6, 2024, by and among Tenax Therapeutics, Inc. and the investors signatory thereto</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(incorporated herein by reference to Exhibit 10.1 to our Current Report on Form 8-K filed with the SEC on August 6, 2024).</w:t>
              </w:r>
            </w:hyperlink>
          </w:p>
        </w:tc>
      </w:tr>
      <w:tr>
        <w:trPr>
          <w:trHeight w:val="20"/>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19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75"/>
        </w:trPr>
        <w:tc>
          <w:tcPr>
            <w:tcW w:w="420" w:type="dxa"/>
            <w:vAlign w:val="bottom"/>
            <w:gridSpan w:val="3"/>
            <w:shd w:val="clear" w:color="auto" w:fill="CCEEFF"/>
          </w:tcPr>
          <w:p>
            <w:pPr>
              <w:spacing w:after="0" w:line="176" w:lineRule="exact"/>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3</w:t>
              </w:r>
            </w:hyperlink>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120" w:type="dxa"/>
            <w:vAlign w:val="bottom"/>
            <w:gridSpan w:val="10"/>
            <w:shd w:val="clear" w:color="auto" w:fill="CCEEFF"/>
          </w:tcPr>
          <w:p>
            <w:pPr>
              <w:spacing w:after="0" w:line="176" w:lineRule="exact"/>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Form of Registration Rights Agreement (incorporated herein by reference to Exhibit 10.1 to our Current Report on Form 8-K filed with the</w:t>
              </w:r>
            </w:hyperlink>
          </w:p>
        </w:tc>
      </w:tr>
      <w:tr>
        <w:trPr>
          <w:trHeight w:val="196"/>
        </w:trPr>
        <w:tc>
          <w:tcPr>
            <w:tcW w:w="24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120" w:type="dxa"/>
            <w:vAlign w:val="bottom"/>
            <w:tcBorders>
              <w:top w:val="single" w:sz="8" w:color="0000EE"/>
            </w:tcBorders>
            <w:gridSpan w:val="10"/>
            <w:shd w:val="clear" w:color="auto" w:fill="CCEEFF"/>
          </w:tcPr>
          <w:p>
            <w:pPr>
              <w:spacing w:after="0" w:line="196" w:lineRule="exact"/>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SEC on August 6, 2024).</w:t>
              </w:r>
            </w:hyperlink>
          </w:p>
        </w:tc>
      </w:tr>
      <w:tr>
        <w:trPr>
          <w:trHeight w:val="20"/>
        </w:trPr>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2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EE"/>
                <w:w w:val="98"/>
              </w:rPr>
              <w:t>31.</w:t>
            </w:r>
            <w:r>
              <w:rPr>
                <w:rFonts w:ascii="Times New Roman" w:cs="Times New Roman" w:eastAsia="Times New Roman" w:hAnsi="Times New Roman"/>
                <w:sz w:val="18"/>
                <w:szCs w:val="18"/>
                <w:u w:val="single" w:color="auto"/>
                <w:color w:val="0000EE"/>
                <w:w w:val="98"/>
              </w:rPr>
              <w:t>1*</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120" w:type="dxa"/>
            <w:vAlign w:val="bottom"/>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President and Chief Executive Officer pursuant to Section 302 of the Sarbanes Oxley Act of 2002.</w:t>
            </w:r>
          </w:p>
        </w:tc>
      </w:tr>
      <w:tr>
        <w:trPr>
          <w:trHeight w:val="20"/>
        </w:trPr>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19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42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31.</w:t>
            </w:r>
            <w:r>
              <w:rPr>
                <w:rFonts w:ascii="Times New Roman" w:cs="Times New Roman" w:eastAsia="Times New Roman" w:hAnsi="Times New Roman"/>
                <w:sz w:val="18"/>
                <w:szCs w:val="18"/>
                <w:u w:val="single" w:color="auto"/>
                <w:color w:val="0000EE"/>
                <w:w w:val="98"/>
              </w:rPr>
              <w:t>2*</w:t>
            </w:r>
          </w:p>
        </w:tc>
        <w:tc>
          <w:tcPr>
            <w:tcW w:w="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74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Certification of Interim Chief Financial Officer pursuant to Section 302 of the Sarbanes Oxley Act of 2002.</w:t>
            </w:r>
          </w:p>
        </w:tc>
        <w:tc>
          <w:tcPr>
            <w:tcW w:w="2380" w:type="dxa"/>
            <w:vAlign w:val="bottom"/>
            <w:tcBorders>
              <w:bottom w:val="single" w:sz="8" w:color="CCEEFF"/>
            </w:tcBorders>
            <w:gridSpan w:val="3"/>
            <w:shd w:val="clear" w:color="auto" w:fill="CCEEFF"/>
          </w:tcPr>
          <w:p>
            <w:pPr>
              <w:spacing w:after="0"/>
              <w:rPr>
                <w:sz w:val="17"/>
                <w:szCs w:val="17"/>
                <w:color w:val="auto"/>
              </w:rPr>
            </w:pPr>
          </w:p>
        </w:tc>
      </w:tr>
      <w:tr>
        <w:trPr>
          <w:trHeight w:val="175"/>
        </w:trPr>
        <w:tc>
          <w:tcPr>
            <w:tcW w:w="100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1**</w:t>
            </w:r>
          </w:p>
        </w:tc>
        <w:tc>
          <w:tcPr>
            <w:tcW w:w="120" w:type="dxa"/>
            <w:vAlign w:val="bottom"/>
          </w:tcPr>
          <w:p>
            <w:pPr>
              <w:spacing w:after="0"/>
              <w:rPr>
                <w:sz w:val="15"/>
                <w:szCs w:val="15"/>
                <w:color w:val="auto"/>
              </w:rPr>
            </w:pPr>
          </w:p>
        </w:tc>
        <w:tc>
          <w:tcPr>
            <w:tcW w:w="10120" w:type="dxa"/>
            <w:vAlign w:val="bottom"/>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President and Chief Executive Officer pursuant to 18 U.S.C. Section 1350, as adopted pursuant to Section 906 of the</w:t>
            </w:r>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Sarbanes-Oxley Act of 2002.</w:t>
            </w:r>
          </w:p>
        </w:tc>
      </w:tr>
      <w:tr>
        <w:trPr>
          <w:trHeight w:val="20"/>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75"/>
        </w:trPr>
        <w:tc>
          <w:tcPr>
            <w:tcW w:w="100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2**</w:t>
            </w:r>
          </w:p>
        </w:tc>
        <w:tc>
          <w:tcPr>
            <w:tcW w:w="120" w:type="dxa"/>
            <w:vAlign w:val="bottom"/>
            <w:shd w:val="clear" w:color="auto" w:fill="CCEEFF"/>
          </w:tcPr>
          <w:p>
            <w:pPr>
              <w:spacing w:after="0"/>
              <w:rPr>
                <w:sz w:val="15"/>
                <w:szCs w:val="15"/>
                <w:color w:val="auto"/>
              </w:rPr>
            </w:pPr>
          </w:p>
        </w:tc>
        <w:tc>
          <w:tcPr>
            <w:tcW w:w="1012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Interim Chief Financial Officer pursuant to 18 U.S.C. Section 1350, as adopted pursuant to Section 906 of the Sarbanes-</w:t>
            </w:r>
          </w:p>
        </w:tc>
      </w:tr>
      <w:tr>
        <w:trPr>
          <w:trHeight w:val="196"/>
        </w:trPr>
        <w:tc>
          <w:tcPr>
            <w:tcW w:w="24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120" w:type="dxa"/>
            <w:vAlign w:val="bottom"/>
            <w:tcBorders>
              <w:top w:val="single" w:sz="8" w:color="0000EE"/>
            </w:tcBorders>
            <w:gridSpan w:val="10"/>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Oxley Act of 2002.</w:t>
            </w:r>
          </w:p>
        </w:tc>
      </w:tr>
      <w:tr>
        <w:trPr>
          <w:trHeight w:val="21"/>
        </w:trPr>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r>
      <w:tr>
        <w:trPr>
          <w:trHeight w:val="198"/>
        </w:trPr>
        <w:tc>
          <w:tcPr>
            <w:tcW w:w="42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10"/>
          </w:tcPr>
          <w:p>
            <w:pPr>
              <w:spacing w:after="0" w:line="198" w:lineRule="exact"/>
              <w:rPr>
                <w:sz w:val="20"/>
                <w:szCs w:val="20"/>
                <w:color w:val="auto"/>
              </w:rPr>
            </w:pPr>
            <w:r>
              <w:rPr>
                <w:rFonts w:ascii="Times New Roman" w:cs="Times New Roman" w:eastAsia="Times New Roman" w:hAnsi="Times New Roman"/>
                <w:sz w:val="18"/>
                <w:szCs w:val="18"/>
                <w:color w:val="auto"/>
              </w:rPr>
              <w:t>Inline XBRL Document Set for the condensed consolidated financial statements and accompanying notes in Part I, Item 1, “Financial</w:t>
            </w:r>
          </w:p>
        </w:tc>
      </w:tr>
      <w:tr>
        <w:trPr>
          <w:trHeight w:val="234"/>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Statements” of this Quarterly Report on Form 10-Q.</w:t>
            </w:r>
          </w:p>
        </w:tc>
      </w:tr>
      <w:tr>
        <w:trPr>
          <w:trHeight w:val="216"/>
        </w:trPr>
        <w:tc>
          <w:tcPr>
            <w:tcW w:w="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2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for the cover page of this Quarterly Report on Form 10-Q, included in the Exhibit 101 Inline XBRL Document Set.</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Management contract or compensatory plan.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right="20" w:firstLine="41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13, 2024</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TENAX THERAPEUTICS,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Lawrence R. Hoffman</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Lawrence R.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-130810</wp:posOffset>
            </wp:positionV>
            <wp:extent cx="24942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Interim Chief Financial Officer</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(On behalf of the Registrant and as</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Principal Financial Officer and</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Accounting Officer)</w:t>
      </w:r>
    </w:p>
    <w:p>
      <w:pPr>
        <w:sectPr>
          <w:pgSz w:w="11900" w:h="16838" w:orient="portrait"/>
          <w:cols w:equalWidth="0" w:num="1">
            <w:col w:w="11240"/>
          </w:cols>
          <w:pgMar w:left="320" w:top="121" w:right="339" w:bottom="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1" w:name="page22"/>
    <w:bookmarkEnd w:id="2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T. Giordano, certify that:</w:t>
      </w:r>
    </w:p>
    <w:p>
      <w:pPr>
        <w:spacing w:after="0" w:line="225" w:lineRule="exact"/>
        <w:rPr>
          <w:sz w:val="20"/>
          <w:szCs w:val="20"/>
          <w:color w:val="auto"/>
        </w:rPr>
      </w:pPr>
    </w:p>
    <w:p>
      <w:pPr>
        <w:ind w:left="900" w:hanging="447"/>
        <w:spacing w:after="0"/>
        <w:tabs>
          <w:tab w:leader="none" w:pos="9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Tenax Therapeutics, Inc.;</w:t>
      </w:r>
    </w:p>
    <w:p>
      <w:pPr>
        <w:spacing w:after="0" w:line="225" w:lineRule="exact"/>
        <w:rPr>
          <w:rFonts w:ascii="Times New Roman" w:cs="Times New Roman" w:eastAsia="Times New Roman" w:hAnsi="Times New Roman"/>
          <w:sz w:val="18"/>
          <w:szCs w:val="18"/>
          <w:color w:val="auto"/>
        </w:rPr>
      </w:pPr>
    </w:p>
    <w:p>
      <w:pPr>
        <w:jc w:val="both"/>
        <w:ind w:left="900" w:hanging="447"/>
        <w:spacing w:after="0" w:line="266" w:lineRule="auto"/>
        <w:tabs>
          <w:tab w:leader="none" w:pos="9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900" w:hanging="447"/>
        <w:spacing w:after="0" w:line="282" w:lineRule="auto"/>
        <w:tabs>
          <w:tab w:leader="none" w:pos="9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900" w:hanging="447"/>
        <w:spacing w:after="0" w:line="261" w:lineRule="auto"/>
        <w:tabs>
          <w:tab w:leader="none" w:pos="9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206" w:lineRule="exact"/>
        <w:rPr>
          <w:rFonts w:ascii="Times New Roman" w:cs="Times New Roman" w:eastAsia="Times New Roman" w:hAnsi="Times New Roman"/>
          <w:sz w:val="18"/>
          <w:szCs w:val="18"/>
          <w:color w:val="auto"/>
        </w:rPr>
      </w:pPr>
    </w:p>
    <w:p>
      <w:pPr>
        <w:jc w:val="both"/>
        <w:ind w:left="1340" w:hanging="441"/>
        <w:spacing w:after="0" w:line="266" w:lineRule="auto"/>
        <w:tabs>
          <w:tab w:leader="none" w:pos="134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340" w:hanging="441"/>
        <w:spacing w:after="0" w:line="266" w:lineRule="auto"/>
        <w:tabs>
          <w:tab w:leader="none" w:pos="134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40" w:hanging="441"/>
        <w:spacing w:after="0" w:line="282" w:lineRule="auto"/>
        <w:tabs>
          <w:tab w:leader="none" w:pos="134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340" w:hanging="441"/>
        <w:spacing w:after="0" w:line="266" w:lineRule="auto"/>
        <w:tabs>
          <w:tab w:leader="none" w:pos="134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900" w:hanging="892"/>
        <w:spacing w:after="0" w:line="282"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40" w:hanging="441"/>
        <w:spacing w:after="0" w:line="282" w:lineRule="auto"/>
        <w:tabs>
          <w:tab w:leader="none" w:pos="134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40" w:hanging="441"/>
        <w:spacing w:after="0" w:line="282" w:lineRule="auto"/>
        <w:tabs>
          <w:tab w:leader="none" w:pos="134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13, 2024</w:t>
      </w:r>
    </w:p>
    <w:p>
      <w:pPr>
        <w:spacing w:after="0" w:line="225"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/s/ Christopher T. Giordano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Christopher T. Giordano</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117" w:right="339" w:bottom="1440" w:gutter="0" w:footer="0" w:header="0"/>
        </w:sectPr>
      </w:pPr>
    </w:p>
    <w:bookmarkStart w:id="22" w:name="page23"/>
    <w:bookmarkEnd w:id="22"/>
    <w:p>
      <w:pPr>
        <w:jc w:val="right"/>
        <w:spacing w:after="0"/>
        <w:rPr>
          <w:sz w:val="20"/>
          <w:szCs w:val="20"/>
          <w:color w:val="auto"/>
        </w:rPr>
      </w:pPr>
      <w:r>
        <w:rPr>
          <w:rFonts w:ascii="Times New Roman" w:cs="Times New Roman" w:eastAsia="Times New Roman" w:hAnsi="Times New Roman"/>
          <w:sz w:val="22"/>
          <w:szCs w:val="22"/>
          <w:b w:val="1"/>
          <w:bCs w:val="1"/>
          <w:color w:val="auto"/>
        </w:rPr>
        <w:t>EXHIBIT 31.2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CERTIFICATION PURSUANT TO</w:t>
      </w:r>
    </w:p>
    <w:p>
      <w:pPr>
        <w:jc w:val="center"/>
        <w:spacing w:after="0"/>
        <w:rPr>
          <w:sz w:val="20"/>
          <w:szCs w:val="20"/>
          <w:color w:val="auto"/>
        </w:rPr>
      </w:pPr>
      <w:r>
        <w:rPr>
          <w:rFonts w:ascii="Times New Roman" w:cs="Times New Roman" w:eastAsia="Times New Roman" w:hAnsi="Times New Roman"/>
          <w:sz w:val="22"/>
          <w:szCs w:val="22"/>
          <w:b w:val="1"/>
          <w:bCs w:val="1"/>
          <w:color w:val="auto"/>
        </w:rPr>
        <w:t>SECTION 302 OF THE SARBANES-OXLEY ACT OF 2002</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Lawrence R. Hoffman, certify that:</w:t>
      </w:r>
    </w:p>
    <w:p>
      <w:pPr>
        <w:spacing w:after="0" w:line="242" w:lineRule="exact"/>
        <w:rPr>
          <w:sz w:val="20"/>
          <w:szCs w:val="20"/>
          <w:color w:val="auto"/>
        </w:rPr>
      </w:pPr>
    </w:p>
    <w:p>
      <w:pPr>
        <w:ind w:left="900" w:hanging="447"/>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Tenax Therapeutics, Inc.;</w:t>
      </w:r>
    </w:p>
    <w:p>
      <w:pPr>
        <w:spacing w:after="0" w:line="225" w:lineRule="exact"/>
        <w:rPr>
          <w:rFonts w:ascii="Times New Roman" w:cs="Times New Roman" w:eastAsia="Times New Roman" w:hAnsi="Times New Roman"/>
          <w:sz w:val="18"/>
          <w:szCs w:val="18"/>
          <w:color w:val="auto"/>
        </w:rPr>
      </w:pPr>
    </w:p>
    <w:p>
      <w:pPr>
        <w:jc w:val="both"/>
        <w:ind w:left="900" w:hanging="447"/>
        <w:spacing w:after="0" w:line="266"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900" w:hanging="447"/>
        <w:spacing w:after="0" w:line="282"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900" w:hanging="447"/>
        <w:spacing w:after="0" w:line="261"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233" w:lineRule="exact"/>
        <w:rPr>
          <w:rFonts w:ascii="Times New Roman" w:cs="Times New Roman" w:eastAsia="Times New Roman" w:hAnsi="Times New Roman"/>
          <w:sz w:val="18"/>
          <w:szCs w:val="18"/>
          <w:color w:val="auto"/>
        </w:rPr>
      </w:pPr>
    </w:p>
    <w:p>
      <w:pPr>
        <w:jc w:val="both"/>
        <w:ind w:left="1340" w:hanging="441"/>
        <w:spacing w:after="0" w:line="266" w:lineRule="auto"/>
        <w:tabs>
          <w:tab w:leader="none" w:pos="13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340" w:hanging="441"/>
        <w:spacing w:after="0" w:line="266" w:lineRule="auto"/>
        <w:tabs>
          <w:tab w:leader="none" w:pos="13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40" w:hanging="441"/>
        <w:spacing w:after="0" w:line="282" w:lineRule="auto"/>
        <w:tabs>
          <w:tab w:leader="none" w:pos="13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340" w:hanging="441"/>
        <w:spacing w:after="0" w:line="266" w:lineRule="auto"/>
        <w:tabs>
          <w:tab w:leader="none" w:pos="13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900" w:hanging="447"/>
        <w:spacing w:after="0" w:line="282"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340" w:hanging="441"/>
        <w:spacing w:after="0" w:line="282" w:lineRule="auto"/>
        <w:tabs>
          <w:tab w:leader="none" w:pos="13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40" w:hanging="441"/>
        <w:spacing w:after="0" w:line="282" w:lineRule="auto"/>
        <w:tabs>
          <w:tab w:leader="none" w:pos="13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November 13, 2024</w:t>
      </w:r>
    </w:p>
    <w:p>
      <w:pPr>
        <w:spacing w:after="0" w:line="242"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/s/ Lawrence R.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9">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Lawrence R. Hoffman</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i w:val="1"/>
          <w:iCs w:val="1"/>
          <w:color w:val="auto"/>
        </w:rPr>
        <w:t>Interim Chief Financial Officer</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i w:val="1"/>
          <w:iCs w:val="1"/>
          <w:color w:val="auto"/>
        </w:rPr>
        <w:t>(Principal Financial Officer and Accounting Officer)</w:t>
      </w:r>
    </w:p>
    <w:p>
      <w:pPr>
        <w:sectPr>
          <w:pgSz w:w="11900" w:h="16838" w:orient="portrait"/>
          <w:cols w:equalWidth="0" w:num="1">
            <w:col w:w="11240"/>
          </w:cols>
          <w:pgMar w:left="320" w:top="108" w:right="339"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607"/>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Tenax Therapeutics, Inc. (the “Company”) on Form 10-Q for the period ended September 30, 2024 as filed with the Securities and Exchange Commission on the date hereof (the “Report”), I, Christopher T. Giordano, President and Chief Executive Officer (Principal Executive Officer) of the Company, certify pursuant to 18 U.S.C. Section 1350, as adopted pursuant to Section 906 of the Sarbanes-Oxley Act of 2002, that, to my knowledge:</w:t>
      </w:r>
    </w:p>
    <w:p>
      <w:pPr>
        <w:spacing w:after="0" w:line="180" w:lineRule="exact"/>
        <w:rPr>
          <w:sz w:val="20"/>
          <w:szCs w:val="20"/>
          <w:color w:val="auto"/>
        </w:rPr>
      </w:pPr>
    </w:p>
    <w:p>
      <w:pPr>
        <w:ind w:left="880" w:hanging="265"/>
        <w:spacing w:after="0"/>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firstLine="615"/>
        <w:spacing w:after="0" w:line="282" w:lineRule="auto"/>
        <w:tabs>
          <w:tab w:leader="none" w:pos="86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covered by the Report.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13, 2024</w:t>
      </w:r>
    </w:p>
    <w:p>
      <w:pPr>
        <w:spacing w:after="0" w:line="225"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/s/ Christopher T. Giordano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0">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Christopher T. Giordano</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foregoing certification is being furnished solely to accompany the Report pursuant to 18 U.S.C. Section 1350, as adopted pursuant to Section 906 of the Sarbanes-Oxley Act of 2002,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ectPr>
          <w:pgSz w:w="11900" w:h="16838" w:orient="portrait"/>
          <w:cols w:equalWidth="0" w:num="1">
            <w:col w:w="11240"/>
          </w:cols>
          <w:pgMar w:left="320" w:top="117" w:right="33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607"/>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Tenax Therapeutics, Inc. (the “Company”) on Form 10-Q for the period ended September 30, 2024 as filed with the Securities and Exchange Commission on the date hereof (the “Report”), I, Lawrence R. Hoffman, Interim Chief Financial Officer (Principal Financial and Accounting Officer) of the Company, certify pursuant to 18 U.S.C. Section 1350, as adopted pursuant to Section 906 of the Sarbanes-Oxley Act of 2002, that, to my knowledge:</w:t>
      </w:r>
    </w:p>
    <w:p>
      <w:pPr>
        <w:spacing w:after="0" w:line="180" w:lineRule="exact"/>
        <w:rPr>
          <w:sz w:val="20"/>
          <w:szCs w:val="20"/>
          <w:color w:val="auto"/>
        </w:rPr>
      </w:pPr>
    </w:p>
    <w:p>
      <w:pPr>
        <w:ind w:left="880" w:hanging="265"/>
        <w:spacing w:after="0"/>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firstLine="615"/>
        <w:spacing w:after="0" w:line="282" w:lineRule="auto"/>
        <w:tabs>
          <w:tab w:leader="none" w:pos="86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covered by the Report.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13, 2024</w:t>
      </w:r>
    </w:p>
    <w:p>
      <w:pPr>
        <w:spacing w:after="0" w:line="225"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/s/ Lawrence R.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1">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Lawrence R. Hoffman</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i w:val="1"/>
          <w:iCs w:val="1"/>
          <w:color w:val="auto"/>
        </w:rPr>
        <w:t>Interim Chief Financial Officer</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i w:val="1"/>
          <w:iCs w:val="1"/>
          <w:color w:val="auto"/>
        </w:rPr>
        <w:t>(Principal Financial Officer and Accounting Officer)</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foregoing certification is being furnished solely to accompany the Report pursuant to 18 U.S.C. Section 1350 , as adopted pursuant to Section 906 of the Sarbanes-Oxley Act of 2002,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lowerRoman"/>
      <w:start w:val="2"/>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6">
    <w:nsid w:val="515F007C"/>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38.png"/><Relationship Id="rId51" Type="http://schemas.openxmlformats.org/officeDocument/2006/relationships/image" Target="media/image39.png"/><Relationship Id="rId40" Type="http://schemas.openxmlformats.org/officeDocument/2006/relationships/hyperlink" Target="http://www.sec.gov/Archives/edgar/data/34956/000165495424009988/tenx_ex41.htm" TargetMode="External"/><Relationship Id="rId41" Type="http://schemas.openxmlformats.org/officeDocument/2006/relationships/hyperlink" Target="http://www.sec.gov/Archives/edgar/data/34956/000165495424009988/tenx_ex42.htm" TargetMode="External"/><Relationship Id="rId42" Type="http://schemas.openxmlformats.org/officeDocument/2006/relationships/hyperlink" Target="http://www.sec.gov/Archives/edgar/data/34956/000165495424013505/tenx_ex101.htm" TargetMode="External"/><Relationship Id="rId43" Type="http://schemas.openxmlformats.org/officeDocument/2006/relationships/hyperlink" Target="http://www.sec.gov/Archives/edgar/data/34956/000165495424009988/tenx_ex101.htm" TargetMode="External"/><Relationship Id="rId44" Type="http://schemas.openxmlformats.org/officeDocument/2006/relationships/hyperlink" Target="http://www.sec.gov/Archives/edgar/data/34956/000165495424009988/tenx_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2024-11-13T15:21:31Z</dcterms:created>
  <dcterms:modified xsi:type="dcterms:W3CDTF">2024-11-13T15:21:31Z</dcterms:modified>
</cp:coreProperties>
</file>