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Tenax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09/03/2026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95"/>
        <w:gridCol w:w="8210"/>
      </w:tblGrid>
      <w:tr>
        <w:trPr/>
        <w:tc>
          <w:tcPr>
            <w:tcW w:w="1995" w:type="dxa"/>
            <w:tcBorders/>
            <w:vAlign w:val="center"/>
          </w:tcPr>
          <w:p>
            <w:pPr>
              <w:pStyle w:val="TableContents"/>
              <w:bidi w:val="0"/>
              <w:spacing w:before="0" w:after="283"/>
              <w:jc w:val="left"/>
              <w:rPr/>
            </w:pPr>
            <w:r>
              <w:rPr/>
              <w:t>1</w:t>
            </w:r>
          </w:p>
        </w:tc>
        <w:tc>
          <w:tcPr>
            <w:tcW w:w="82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ING Groep N.V.</w:t>
            </w:r>
          </w:p>
        </w:tc>
      </w:tr>
      <w:tr>
        <w:trPr/>
        <w:tc>
          <w:tcPr>
            <w:tcW w:w="1995" w:type="dxa"/>
            <w:tcBorders/>
            <w:vAlign w:val="center"/>
          </w:tcPr>
          <w:p>
            <w:pPr>
              <w:pStyle w:val="TableContents"/>
              <w:bidi w:val="0"/>
              <w:spacing w:before="0" w:after="283"/>
              <w:jc w:val="left"/>
              <w:rPr/>
            </w:pPr>
            <w:r>
              <w:rPr/>
              <w:t>2</w:t>
            </w:r>
          </w:p>
        </w:tc>
        <w:tc>
          <w:tcPr>
            <w:tcW w:w="82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95" w:type="dxa"/>
            <w:tcBorders/>
            <w:vAlign w:val="center"/>
          </w:tcPr>
          <w:p>
            <w:pPr>
              <w:pStyle w:val="TableContents"/>
              <w:bidi w:val="0"/>
              <w:spacing w:before="0" w:after="283"/>
              <w:jc w:val="left"/>
              <w:rPr/>
            </w:pPr>
            <w:r>
              <w:rPr/>
              <w:t>3</w:t>
            </w:r>
          </w:p>
        </w:tc>
        <w:tc>
          <w:tcPr>
            <w:tcW w:w="8210" w:type="dxa"/>
            <w:tcBorders/>
            <w:vAlign w:val="center"/>
          </w:tcPr>
          <w:p>
            <w:pPr>
              <w:pStyle w:val="TableContents"/>
              <w:bidi w:val="0"/>
              <w:spacing w:before="0" w:after="283"/>
              <w:jc w:val="left"/>
              <w:rPr/>
            </w:pPr>
            <w:r>
              <w:rPr/>
              <w:t>Sec Use Only</w:t>
            </w:r>
          </w:p>
        </w:tc>
      </w:tr>
      <w:tr>
        <w:trPr/>
        <w:tc>
          <w:tcPr>
            <w:tcW w:w="1995" w:type="dxa"/>
            <w:tcBorders/>
            <w:vAlign w:val="center"/>
          </w:tcPr>
          <w:p>
            <w:pPr>
              <w:pStyle w:val="TableContents"/>
              <w:bidi w:val="0"/>
              <w:spacing w:before="0" w:after="283"/>
              <w:jc w:val="left"/>
              <w:rPr/>
            </w:pPr>
            <w:r>
              <w:rPr/>
              <w:t>4</w:t>
            </w:r>
          </w:p>
        </w:tc>
        <w:tc>
          <w:tcPr>
            <w:tcW w:w="82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19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0" w:type="dxa"/>
            <w:tcBorders/>
            <w:vAlign w:val="center"/>
          </w:tcPr>
          <w:p>
            <w:pPr>
              <w:pStyle w:val="TableContents"/>
              <w:bidi w:val="0"/>
              <w:spacing w:before="0" w:after="283"/>
              <w:jc w:val="left"/>
              <w:rPr>
                <w:sz w:val="4"/>
                <w:szCs w:val="4"/>
              </w:rPr>
            </w:pPr>
            <w:r>
              <w:rPr>
                <w:sz w:val="4"/>
                <w:szCs w:val="4"/>
              </w:rPr>
            </w:r>
          </w:p>
        </w:tc>
      </w:tr>
      <w:tr>
        <w:trPr/>
        <w:tc>
          <w:tcPr>
            <w:tcW w:w="1995" w:type="dxa"/>
            <w:tcBorders/>
            <w:vAlign w:val="center"/>
          </w:tcPr>
          <w:p>
            <w:pPr>
              <w:pStyle w:val="TableContents"/>
              <w:bidi w:val="0"/>
              <w:spacing w:before="0" w:after="283"/>
              <w:jc w:val="left"/>
              <w:rPr/>
            </w:pPr>
            <w:r>
              <w:rPr/>
              <w:t>9</w:t>
            </w:r>
          </w:p>
        </w:tc>
        <w:tc>
          <w:tcPr>
            <w:tcW w:w="82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95" w:type="dxa"/>
            <w:tcBorders/>
            <w:vAlign w:val="center"/>
          </w:tcPr>
          <w:p>
            <w:pPr>
              <w:pStyle w:val="TableContents"/>
              <w:bidi w:val="0"/>
              <w:spacing w:before="0" w:after="283"/>
              <w:jc w:val="left"/>
              <w:rPr/>
            </w:pPr>
            <w:r>
              <w:rPr/>
              <w:t>10</w:t>
            </w:r>
          </w:p>
        </w:tc>
        <w:tc>
          <w:tcPr>
            <w:tcW w:w="82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95" w:type="dxa"/>
            <w:tcBorders/>
            <w:vAlign w:val="center"/>
          </w:tcPr>
          <w:p>
            <w:pPr>
              <w:pStyle w:val="TableContents"/>
              <w:bidi w:val="0"/>
              <w:spacing w:before="0" w:after="283"/>
              <w:jc w:val="left"/>
              <w:rPr/>
            </w:pPr>
            <w:r>
              <w:rPr/>
              <w:t>11</w:t>
            </w:r>
          </w:p>
        </w:tc>
        <w:tc>
          <w:tcPr>
            <w:tcW w:w="82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1995" w:type="dxa"/>
            <w:tcBorders/>
            <w:vAlign w:val="center"/>
          </w:tcPr>
          <w:p>
            <w:pPr>
              <w:pStyle w:val="TableContents"/>
              <w:bidi w:val="0"/>
              <w:spacing w:before="0" w:after="283"/>
              <w:jc w:val="left"/>
              <w:rPr/>
            </w:pPr>
            <w:r>
              <w:rPr/>
              <w:t>12</w:t>
            </w:r>
          </w:p>
        </w:tc>
        <w:tc>
          <w:tcPr>
            <w:tcW w:w="82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 Based on the 37,423,917 shares of common stock of the issuer (the "Common Stock") as of July 28, 2026, as reported in the issuer's Quarterly Report on Form 10-Q for the period ended in June 30, 2026, filed with the Securities and Exchange Commission on July 31,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ING Capital Markets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 Based on the 37,423,917 shares of common stock of the issuer (the "Common Stock") as of July 28, 2026, as reported in the issuer's Quarterly Report on Form 10-Q for the period ended in June 30, 2026, filed with the Securities and Exchange Commission on July 31,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85"/>
        <w:gridCol w:w="8965"/>
        <w:gridCol w:w="155"/>
      </w:tblGrid>
      <w:tr>
        <w:trPr/>
        <w:tc>
          <w:tcPr>
            <w:tcW w:w="1085" w:type="dxa"/>
            <w:tcBorders/>
            <w:vAlign w:val="center"/>
          </w:tcPr>
          <w:p>
            <w:pPr>
              <w:pStyle w:val="TableContents"/>
              <w:bidi w:val="0"/>
              <w:spacing w:before="0" w:after="283"/>
              <w:jc w:val="left"/>
              <w:rPr/>
            </w:pPr>
            <w:r>
              <w:rPr/>
              <w:t>Item 1.</w:t>
            </w:r>
          </w:p>
        </w:tc>
        <w:tc>
          <w:tcPr>
            <w:tcW w:w="896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jc w:val="left"/>
              <w:rPr/>
            </w:pPr>
            <w:r>
              <w:rPr/>
              <w:t xml:space="preserve">Name of issuer: </w:t>
            </w:r>
          </w:p>
          <w:p>
            <w:pPr>
              <w:pStyle w:val="TableContents"/>
              <w:bidi w:val="0"/>
              <w:spacing w:before="0" w:after="0"/>
              <w:jc w:val="left"/>
              <w:rPr/>
            </w:pPr>
            <w:r>
              <w:rPr/>
              <w:t>Tenax Therapeutics, Inc.</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Glen Lennox Drive, Suite 300, Chapel Hill, North Carolina 27517, USA</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2.</w:t>
            </w:r>
          </w:p>
        </w:tc>
        <w:tc>
          <w:tcPr>
            <w:tcW w:w="896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ING Groep, N.V. ING Capital Markets LLC</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ING Groep N.V. PO Box 1800 Amsterdam, P7 1000 BV Amsterdam ING Capital Markets LLC 1133 Avenue of the Americas New York, NY 10036 USA</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(c)</w:t>
            </w:r>
          </w:p>
        </w:tc>
        <w:tc>
          <w:tcPr>
            <w:tcW w:w="8965" w:type="dxa"/>
            <w:tcBorders/>
            <w:vAlign w:val="center"/>
          </w:tcPr>
          <w:p>
            <w:pPr>
              <w:pStyle w:val="TableContents"/>
              <w:bidi w:val="0"/>
              <w:jc w:val="left"/>
              <w:rPr/>
            </w:pPr>
            <w:r>
              <w:rPr/>
              <w:t xml:space="preserve">Citizenship: </w:t>
            </w:r>
          </w:p>
          <w:p>
            <w:pPr>
              <w:pStyle w:val="TableContents"/>
              <w:bidi w:val="0"/>
              <w:spacing w:before="0" w:after="0"/>
              <w:jc w:val="left"/>
              <w:rPr/>
            </w:pPr>
            <w:r>
              <w:rPr/>
              <w:t>ING Groep N.V. - The Netherlands ING Capital Markets LLC - Delaware</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(d)</w:t>
            </w:r>
          </w:p>
        </w:tc>
        <w:tc>
          <w:tcPr>
            <w:tcW w:w="896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(e)</w:t>
            </w:r>
          </w:p>
        </w:tc>
        <w:tc>
          <w:tcPr>
            <w:tcW w:w="896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3.</w:t>
            </w:r>
          </w:p>
        </w:tc>
        <w:tc>
          <w:tcPr>
            <w:tcW w:w="896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(c)</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(d)</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(e)</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(f)</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(g)</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(h)</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(j)</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(k)</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9120" w:type="dxa"/>
            <w:gridSpan w:val="2"/>
            <w:tcBorders/>
            <w:vAlign w:val="center"/>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4.</w:t>
            </w:r>
          </w:p>
        </w:tc>
        <w:tc>
          <w:tcPr>
            <w:tcW w:w="896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September 11, 2026, none of the Reporting Persons beneficially owned any Common Stock.</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September 11, 2026, none of the Reporting Persons beneficially owned any percentage of the Common Stock issued and outstanding as of July 28, 2026, as reported in the issuer's Quarterly Report on Form 10-Q for the period ended in June 30, 2026, filed with the Securities and Exchange Commission on July 31, 2026.  %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(c)</w:t>
            </w:r>
          </w:p>
        </w:tc>
        <w:tc>
          <w:tcPr>
            <w:tcW w:w="896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5.</w:t>
            </w:r>
          </w:p>
        </w:tc>
        <w:tc>
          <w:tcPr>
            <w:tcW w:w="896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6.</w:t>
            </w:r>
          </w:p>
        </w:tc>
        <w:tc>
          <w:tcPr>
            <w:tcW w:w="896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7.</w:t>
            </w:r>
          </w:p>
        </w:tc>
        <w:tc>
          <w:tcPr>
            <w:tcW w:w="896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8.</w:t>
            </w:r>
          </w:p>
        </w:tc>
        <w:tc>
          <w:tcPr>
            <w:tcW w:w="896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9.</w:t>
            </w:r>
          </w:p>
        </w:tc>
        <w:tc>
          <w:tcPr>
            <w:tcW w:w="896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ING Groep N.V.</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39"/>
        <w:gridCol w:w="4166"/>
      </w:tblGrid>
      <w:tr>
        <w:trPr/>
        <w:tc>
          <w:tcPr>
            <w:tcW w:w="60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Bianca Jennifer Dobrescu</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Bianca Jennifer Dobrescu/Authorized Representative</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0"/>
        <w:gridCol w:w="4165"/>
      </w:tblGrid>
      <w:tr>
        <w:trPr/>
        <w:tc>
          <w:tcPr>
            <w:tcW w:w="60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Ioana Adriana Barbu</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Ioana Adriana Barbu/Authorized Representative</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165" w:type="dxa"/>
            <w:tcBorders/>
            <w:vAlign w:val="center"/>
          </w:tcPr>
          <w:p>
            <w:pPr>
              <w:pStyle w:val="TableContents"/>
              <w:bidi w:val="0"/>
              <w:spacing w:before="0" w:after="283"/>
              <w:jc w:val="left"/>
              <w:rPr>
                <w:sz w:val="4"/>
                <w:szCs w:val="4"/>
              </w:rPr>
            </w:pPr>
            <w:r>
              <w:rPr>
                <w:sz w:val="4"/>
                <w:szCs w:val="4"/>
              </w:rPr>
            </w:r>
          </w:p>
        </w:tc>
      </w:tr>
    </w:tbl>
    <w:tbl>
      <w:tblPr>
        <w:tblW w:w="5654" w:type="dxa"/>
        <w:jc w:val="left"/>
        <w:tblInd w:w="0" w:type="dxa"/>
        <w:tblLayout w:type="fixed"/>
        <w:tblCellMar>
          <w:top w:w="28" w:type="dxa"/>
          <w:left w:w="28" w:type="dxa"/>
          <w:bottom w:w="28" w:type="dxa"/>
          <w:right w:w="28" w:type="dxa"/>
        </w:tblCellMar>
      </w:tblPr>
      <w:tblGrid>
        <w:gridCol w:w="2827"/>
        <w:gridCol w:w="2827"/>
      </w:tblGrid>
      <w:tr>
        <w:trPr/>
        <w:tc>
          <w:tcPr>
            <w:tcW w:w="2827" w:type="dxa"/>
            <w:tcBorders/>
            <w:vAlign w:val="center"/>
          </w:tcPr>
          <w:p>
            <w:pPr>
              <w:pStyle w:val="TableContents"/>
              <w:bidi w:val="0"/>
              <w:spacing w:before="0" w:after="0"/>
              <w:jc w:val="left"/>
              <w:rPr/>
            </w:pPr>
            <w:r>
              <w:rPr/>
              <w:t> </w:t>
            </w:r>
          </w:p>
          <w:tbl>
            <w:tblPr>
              <w:tblW w:w="2686" w:type="dxa"/>
              <w:jc w:val="left"/>
              <w:tblInd w:w="0" w:type="dxa"/>
              <w:tblLayout w:type="fixed"/>
              <w:tblCellMar>
                <w:top w:w="28" w:type="dxa"/>
                <w:left w:w="28" w:type="dxa"/>
                <w:bottom w:w="28" w:type="dxa"/>
                <w:right w:w="28" w:type="dxa"/>
              </w:tblCellMar>
            </w:tblPr>
            <w:tblGrid>
              <w:gridCol w:w="2686"/>
            </w:tblGrid>
            <w:tr>
              <w:trPr/>
              <w:tc>
                <w:tcPr>
                  <w:tcW w:w="2686" w:type="dxa"/>
                  <w:tcBorders/>
                  <w:vAlign w:val="center"/>
                </w:tcPr>
                <w:p>
                  <w:pPr>
                    <w:pStyle w:val="TableContents"/>
                    <w:bidi w:val="0"/>
                    <w:spacing w:before="0" w:after="0"/>
                    <w:jc w:val="left"/>
                    <w:rPr/>
                  </w:pPr>
                  <w:r>
                    <w:rPr/>
                    <w:t>ING Capital Markets LLC</w:t>
                  </w:r>
                </w:p>
              </w:tc>
            </w:tr>
          </w:tbl>
          <w:p>
            <w:pPr>
              <w:pStyle w:val="TableContents"/>
              <w:bidi w:val="0"/>
              <w:spacing w:before="0" w:after="283"/>
              <w:jc w:val="left"/>
              <w:rPr/>
            </w:pPr>
            <w:r>
              <w:rPr/>
            </w:r>
          </w:p>
        </w:tc>
        <w:tc>
          <w:tcPr>
            <w:tcW w:w="28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3"/>
        <w:gridCol w:w="4212"/>
      </w:tblGrid>
      <w:tr>
        <w:trPr/>
        <w:tc>
          <w:tcPr>
            <w:tcW w:w="59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Anthony Masciangelo</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Anthony Masciangelo/Director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2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7"/>
        <w:gridCol w:w="4298"/>
      </w:tblGrid>
      <w:tr>
        <w:trPr/>
        <w:tc>
          <w:tcPr>
            <w:tcW w:w="59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Tim Casady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Tim Casady/Authorized Person</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29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rPr/>
      </w:r>
      <w:bookmarkStart w:id="20" w:name="ef20081879_ex99-a.htm"/>
      <w:bookmarkStart w:id="21" w:name="ksef20081879_ex99a"/>
      <w:bookmarkStart w:id="22" w:name="ef20081879_ex99-a.htm"/>
      <w:bookmarkStart w:id="23" w:name="ksef20081879_ex99a"/>
      <w:bookmarkEnd w:id="22"/>
      <w:bookmarkEnd w:id="23"/>
      <w:r>
        <w:br w:type="page"/>
      </w:r>
    </w:p>
    <w:p>
      <w:pPr>
        <w:pStyle w:val="TextBody"/>
        <w:bidi w:val="0"/>
        <w:spacing w:before="0" w:after="0"/>
        <w:jc w:val="center"/>
        <w:rPr>
          <w:b/>
          <w:spacing w:val="0"/>
        </w:rPr>
      </w:pPr>
      <w:r>
        <w:rPr>
          <w:b/>
          <w:spacing w:val="0"/>
        </w:rPr>
        <w:t>Exhibit A to Schedule 13G</w:t>
      </w:r>
    </w:p>
    <w:p>
      <w:pPr>
        <w:pStyle w:val="TextBody"/>
        <w:bidi w:val="0"/>
        <w:spacing w:before="0" w:after="0"/>
        <w:jc w:val="center"/>
        <w:rPr/>
      </w:pPr>
      <w:r>
        <w:rPr>
          <w:color w:val="000000"/>
        </w:rPr>
        <w:t>Joint Filing Agreement</w:t>
      </w:r>
      <w:r>
        <w:rPr/>
        <w:t xml:space="preserve"> </w:t>
      </w:r>
    </w:p>
    <w:p>
      <w:pPr>
        <w:pStyle w:val="TextBody"/>
        <w:bidi w:val="0"/>
        <w:spacing w:before="0" w:after="0"/>
        <w:jc w:val="center"/>
        <w:rPr/>
      </w:pPr>
      <w:r>
        <w:rPr>
          <w:color w:val="000000"/>
        </w:rPr>
        <w:t>Pursuant to Rule 13d-1(k)</w:t>
      </w:r>
      <w:r>
        <w:rPr/>
        <w:t xml:space="preserve"> </w:t>
      </w:r>
    </w:p>
    <w:p>
      <w:pPr>
        <w:pStyle w:val="TextBody"/>
        <w:bidi w:val="0"/>
        <w:spacing w:before="0" w:after="0"/>
        <w:jc w:val="center"/>
        <w:rPr/>
      </w:pPr>
      <w:r>
        <w:rPr/>
        <w:t xml:space="preserve">  </w:t>
      </w:r>
    </w:p>
    <w:p>
      <w:pPr>
        <w:pStyle w:val="TextBody"/>
        <w:bidi w:val="0"/>
        <w:spacing w:before="0" w:after="0"/>
        <w:ind w:left="0" w:right="0" w:firstLine="720"/>
        <w:jc w:val="left"/>
        <w:rPr/>
      </w:pPr>
      <w:r>
        <w:rPr>
          <w:color w:val="000000"/>
        </w:rPr>
        <w:t>The undersigned persons (the “</w:t>
      </w:r>
      <w:r>
        <w:rPr>
          <w:b/>
          <w:color w:val="000000"/>
        </w:rPr>
        <w:t>Reporting Persons</w:t>
      </w:r>
      <w:r>
        <w:rPr>
          <w:color w:val="000000"/>
        </w:rPr>
        <w:t>”) hereby agree that a joint statement on this Schedule 13G be filed on their behalf by ING Groep N.V.</w:t>
      </w:r>
      <w:r>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color w:val="000000"/>
        </w:rPr>
      </w:pPr>
      <w:r>
        <w:rPr>
          <w:color w:val="000000"/>
        </w:rPr>
        <w:t>Each of the Reporting Persons is responsible for the completeness and accuracy of the information concerning each of them contained therein, but none of the Reporting Persons is responsible for the completeness or accuracy of the information concerning any other Reporting Person.</w:t>
      </w:r>
    </w:p>
    <w:p>
      <w:pPr>
        <w:pStyle w:val="TextBody"/>
        <w:bidi w:val="0"/>
        <w:spacing w:before="0" w:after="0"/>
        <w:ind w:left="0" w:right="0" w:firstLine="720"/>
        <w:jc w:val="left"/>
        <w:rPr/>
      </w:pPr>
      <w:r>
        <w:rPr/>
        <w:t> </w:t>
      </w:r>
    </w:p>
    <w:tbl>
      <w:tblPr>
        <w:tblW w:w="6498" w:type="dxa"/>
        <w:jc w:val="left"/>
        <w:tblInd w:w="0" w:type="dxa"/>
        <w:tblLayout w:type="fixed"/>
        <w:tblCellMar>
          <w:top w:w="28" w:type="dxa"/>
          <w:left w:w="28" w:type="dxa"/>
          <w:bottom w:w="28" w:type="dxa"/>
          <w:right w:w="28" w:type="dxa"/>
        </w:tblCellMar>
      </w:tblPr>
      <w:tblGrid>
        <w:gridCol w:w="2776"/>
        <w:gridCol w:w="796"/>
        <w:gridCol w:w="2926"/>
      </w:tblGrid>
      <w:tr>
        <w:trPr/>
        <w:tc>
          <w:tcPr>
            <w:tcW w:w="277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2926" w:type="dxa"/>
            <w:tcBorders/>
            <w:vAlign w:val="center"/>
          </w:tcPr>
          <w:p>
            <w:pPr>
              <w:pStyle w:val="TableContents"/>
              <w:bidi w:val="0"/>
              <w:spacing w:before="0" w:after="283"/>
              <w:jc w:val="left"/>
              <w:rPr/>
            </w:pPr>
            <w:r>
              <w:rPr/>
              <w:t> </w:t>
            </w:r>
          </w:p>
        </w:tc>
      </w:tr>
      <w:tr>
        <w:trPr/>
        <w:tc>
          <w:tcPr>
            <w:tcW w:w="2776" w:type="dxa"/>
            <w:tcBorders/>
            <w:tcMar>
              <w:top w:w="0" w:type="dxa"/>
              <w:left w:w="0" w:type="dxa"/>
              <w:bottom w:w="0" w:type="dxa"/>
              <w:right w:w="0" w:type="dxa"/>
            </w:tcMar>
            <w:vAlign w:val="center"/>
          </w:tcPr>
          <w:p>
            <w:pPr>
              <w:pStyle w:val="TableContents"/>
              <w:bidi w:val="0"/>
              <w:spacing w:before="0" w:after="0"/>
              <w:jc w:val="left"/>
              <w:rPr/>
            </w:pPr>
            <w:r>
              <w:rPr/>
              <w:t xml:space="preserve">Dated: September 11, 2026 </w:t>
            </w:r>
          </w:p>
        </w:tc>
        <w:tc>
          <w:tcPr>
            <w:tcW w:w="3722" w:type="dxa"/>
            <w:gridSpan w:val="2"/>
            <w:tcBorders/>
            <w:vAlign w:val="center"/>
          </w:tcPr>
          <w:p>
            <w:pPr>
              <w:pStyle w:val="TableContents"/>
              <w:bidi w:val="0"/>
              <w:spacing w:before="0" w:after="0"/>
              <w:jc w:val="left"/>
              <w:rPr/>
            </w:pPr>
            <w:r>
              <w:rPr/>
              <w:t xml:space="preserve">  </w:t>
            </w:r>
          </w:p>
        </w:tc>
      </w:tr>
      <w:tr>
        <w:trPr/>
        <w:tc>
          <w:tcPr>
            <w:tcW w:w="277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722" w:type="dxa"/>
            <w:gridSpan w:val="2"/>
            <w:tcBorders/>
            <w:vAlign w:val="center"/>
          </w:tcPr>
          <w:p>
            <w:pPr>
              <w:pStyle w:val="TableContents"/>
              <w:bidi w:val="0"/>
              <w:spacing w:before="0" w:after="0"/>
              <w:jc w:val="left"/>
              <w:rPr/>
            </w:pPr>
            <w:r>
              <w:rPr/>
              <w:t xml:space="preserve">  </w:t>
            </w:r>
          </w:p>
        </w:tc>
      </w:tr>
      <w:tr>
        <w:trPr/>
        <w:tc>
          <w:tcPr>
            <w:tcW w:w="277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722" w:type="dxa"/>
            <w:gridSpan w:val="2"/>
            <w:tcBorders/>
            <w:vAlign w:val="center"/>
          </w:tcPr>
          <w:p>
            <w:pPr>
              <w:pStyle w:val="TableContents"/>
              <w:bidi w:val="0"/>
              <w:spacing w:before="0" w:after="0"/>
              <w:jc w:val="left"/>
              <w:rPr/>
            </w:pPr>
            <w:r>
              <w:rPr/>
              <w:t xml:space="preserve">ING GROEP N.V. </w:t>
            </w:r>
          </w:p>
        </w:tc>
      </w:tr>
      <w:tr>
        <w:trPr/>
        <w:tc>
          <w:tcPr>
            <w:tcW w:w="277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92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77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By: </w:t>
            </w:r>
          </w:p>
        </w:tc>
        <w:tc>
          <w:tcPr>
            <w:tcW w:w="2926"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Bianca Jennifer Dobrescu </w:t>
            </w:r>
          </w:p>
        </w:tc>
      </w:tr>
      <w:tr>
        <w:trPr/>
        <w:tc>
          <w:tcPr>
            <w:tcW w:w="277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Name: </w:t>
            </w:r>
          </w:p>
        </w:tc>
        <w:tc>
          <w:tcPr>
            <w:tcW w:w="2926" w:type="dxa"/>
            <w:tcBorders>
              <w:top w:val="single" w:sz="8" w:space="0" w:color="000000"/>
            </w:tcBorders>
            <w:tcMar>
              <w:left w:w="0" w:type="dxa"/>
              <w:bottom w:w="0" w:type="dxa"/>
              <w:right w:w="0" w:type="dxa"/>
            </w:tcMar>
            <w:vAlign w:val="center"/>
          </w:tcPr>
          <w:p>
            <w:pPr>
              <w:pStyle w:val="TableContents"/>
              <w:bidi w:val="0"/>
              <w:spacing w:before="0" w:after="0"/>
              <w:jc w:val="left"/>
              <w:rPr/>
            </w:pPr>
            <w:r>
              <w:rPr/>
              <w:t xml:space="preserve">Bianca Jennifer Dobrescu </w:t>
            </w:r>
          </w:p>
        </w:tc>
      </w:tr>
      <w:tr>
        <w:trPr/>
        <w:tc>
          <w:tcPr>
            <w:tcW w:w="277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Title: </w:t>
            </w:r>
          </w:p>
        </w:tc>
        <w:tc>
          <w:tcPr>
            <w:tcW w:w="2926" w:type="dxa"/>
            <w:tcBorders/>
            <w:tcMar>
              <w:top w:w="0" w:type="dxa"/>
              <w:left w:w="0" w:type="dxa"/>
              <w:bottom w:w="0" w:type="dxa"/>
              <w:right w:w="0" w:type="dxa"/>
            </w:tcMar>
            <w:vAlign w:val="center"/>
          </w:tcPr>
          <w:p>
            <w:pPr>
              <w:pStyle w:val="TableContents"/>
              <w:bidi w:val="0"/>
              <w:spacing w:before="0" w:after="0"/>
              <w:jc w:val="left"/>
              <w:rPr/>
            </w:pPr>
            <w:r>
              <w:rPr/>
              <w:t xml:space="preserve">Authorized Representative </w:t>
            </w:r>
          </w:p>
        </w:tc>
      </w:tr>
      <w:tr>
        <w:trPr/>
        <w:tc>
          <w:tcPr>
            <w:tcW w:w="277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2926"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277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By: </w:t>
            </w:r>
          </w:p>
        </w:tc>
        <w:tc>
          <w:tcPr>
            <w:tcW w:w="2926"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Ioana Adriana Barbu </w:t>
            </w:r>
          </w:p>
        </w:tc>
      </w:tr>
      <w:tr>
        <w:trPr/>
        <w:tc>
          <w:tcPr>
            <w:tcW w:w="277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Name: </w:t>
            </w:r>
          </w:p>
        </w:tc>
        <w:tc>
          <w:tcPr>
            <w:tcW w:w="2926" w:type="dxa"/>
            <w:tcBorders>
              <w:top w:val="single" w:sz="8" w:space="0" w:color="000000"/>
            </w:tcBorders>
            <w:tcMar>
              <w:left w:w="0" w:type="dxa"/>
              <w:bottom w:w="0" w:type="dxa"/>
              <w:right w:w="0" w:type="dxa"/>
            </w:tcMar>
            <w:vAlign w:val="center"/>
          </w:tcPr>
          <w:p>
            <w:pPr>
              <w:pStyle w:val="TableContents"/>
              <w:bidi w:val="0"/>
              <w:spacing w:before="0" w:after="0"/>
              <w:jc w:val="left"/>
              <w:rPr/>
            </w:pPr>
            <w:r>
              <w:rPr/>
              <w:t xml:space="preserve">Ioana Adriana Barbu </w:t>
            </w:r>
          </w:p>
        </w:tc>
      </w:tr>
      <w:tr>
        <w:trPr/>
        <w:tc>
          <w:tcPr>
            <w:tcW w:w="277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Title: </w:t>
            </w:r>
          </w:p>
        </w:tc>
        <w:tc>
          <w:tcPr>
            <w:tcW w:w="2926" w:type="dxa"/>
            <w:tcBorders/>
            <w:tcMar>
              <w:top w:w="0" w:type="dxa"/>
              <w:left w:w="0" w:type="dxa"/>
              <w:bottom w:w="0" w:type="dxa"/>
              <w:right w:w="0" w:type="dxa"/>
            </w:tcMar>
            <w:vAlign w:val="center"/>
          </w:tcPr>
          <w:p>
            <w:pPr>
              <w:pStyle w:val="TableContents"/>
              <w:bidi w:val="0"/>
              <w:spacing w:before="0" w:after="0"/>
              <w:jc w:val="left"/>
              <w:rPr/>
            </w:pPr>
            <w:r>
              <w:rPr/>
              <w:t xml:space="preserve">Authorized Representative </w:t>
            </w:r>
          </w:p>
        </w:tc>
      </w:tr>
      <w:tr>
        <w:trPr/>
        <w:tc>
          <w:tcPr>
            <w:tcW w:w="277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92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77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722" w:type="dxa"/>
            <w:gridSpan w:val="2"/>
            <w:tcBorders/>
            <w:vAlign w:val="center"/>
          </w:tcPr>
          <w:p>
            <w:pPr>
              <w:pStyle w:val="TableContents"/>
              <w:bidi w:val="0"/>
              <w:spacing w:before="0" w:after="0"/>
              <w:jc w:val="left"/>
              <w:rPr/>
            </w:pPr>
            <w:r>
              <w:rPr/>
              <w:t xml:space="preserve">ING CAPITAL MARKETS LLC </w:t>
            </w:r>
          </w:p>
        </w:tc>
      </w:tr>
      <w:tr>
        <w:trPr/>
        <w:tc>
          <w:tcPr>
            <w:tcW w:w="277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92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77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By: </w:t>
            </w:r>
          </w:p>
        </w:tc>
        <w:tc>
          <w:tcPr>
            <w:tcW w:w="2926"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Anthony Masciangelo </w:t>
            </w:r>
          </w:p>
        </w:tc>
      </w:tr>
      <w:tr>
        <w:trPr/>
        <w:tc>
          <w:tcPr>
            <w:tcW w:w="277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Name: </w:t>
            </w:r>
          </w:p>
        </w:tc>
        <w:tc>
          <w:tcPr>
            <w:tcW w:w="2926" w:type="dxa"/>
            <w:tcBorders>
              <w:top w:val="single" w:sz="8" w:space="0" w:color="000000"/>
            </w:tcBorders>
            <w:tcMar>
              <w:left w:w="0" w:type="dxa"/>
              <w:bottom w:w="0" w:type="dxa"/>
              <w:right w:w="0" w:type="dxa"/>
            </w:tcMar>
            <w:vAlign w:val="center"/>
          </w:tcPr>
          <w:p>
            <w:pPr>
              <w:pStyle w:val="TableContents"/>
              <w:bidi w:val="0"/>
              <w:spacing w:before="0" w:after="0"/>
              <w:jc w:val="left"/>
              <w:rPr/>
            </w:pPr>
            <w:r>
              <w:rPr/>
              <w:t xml:space="preserve">Anthony Masciangelo </w:t>
            </w:r>
          </w:p>
        </w:tc>
      </w:tr>
      <w:tr>
        <w:trPr/>
        <w:tc>
          <w:tcPr>
            <w:tcW w:w="277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Title: </w:t>
            </w:r>
          </w:p>
        </w:tc>
        <w:tc>
          <w:tcPr>
            <w:tcW w:w="2926" w:type="dxa"/>
            <w:tcBorders/>
            <w:tcMar>
              <w:top w:w="0" w:type="dxa"/>
              <w:left w:w="0" w:type="dxa"/>
              <w:bottom w:w="0" w:type="dxa"/>
              <w:right w:w="0" w:type="dxa"/>
            </w:tcMar>
            <w:vAlign w:val="center"/>
          </w:tcPr>
          <w:p>
            <w:pPr>
              <w:pStyle w:val="TableContents"/>
              <w:bidi w:val="0"/>
              <w:spacing w:before="0" w:after="0"/>
              <w:jc w:val="left"/>
              <w:rPr/>
            </w:pPr>
            <w:r>
              <w:rPr/>
              <w:t xml:space="preserve">Director </w:t>
            </w:r>
          </w:p>
        </w:tc>
      </w:tr>
      <w:tr>
        <w:trPr/>
        <w:tc>
          <w:tcPr>
            <w:tcW w:w="277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92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77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By: </w:t>
            </w:r>
          </w:p>
        </w:tc>
        <w:tc>
          <w:tcPr>
            <w:tcW w:w="2926"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Tim Casady </w:t>
            </w:r>
          </w:p>
        </w:tc>
      </w:tr>
      <w:tr>
        <w:trPr/>
        <w:tc>
          <w:tcPr>
            <w:tcW w:w="277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Name: </w:t>
            </w:r>
          </w:p>
        </w:tc>
        <w:tc>
          <w:tcPr>
            <w:tcW w:w="2926" w:type="dxa"/>
            <w:tcBorders>
              <w:top w:val="single" w:sz="8" w:space="0" w:color="000000"/>
            </w:tcBorders>
            <w:tcMar>
              <w:left w:w="0" w:type="dxa"/>
              <w:bottom w:w="0" w:type="dxa"/>
              <w:right w:w="0" w:type="dxa"/>
            </w:tcMar>
            <w:vAlign w:val="center"/>
          </w:tcPr>
          <w:p>
            <w:pPr>
              <w:pStyle w:val="TableContents"/>
              <w:bidi w:val="0"/>
              <w:spacing w:before="0" w:after="0"/>
              <w:jc w:val="left"/>
              <w:rPr/>
            </w:pPr>
            <w:r>
              <w:rPr/>
              <w:t xml:space="preserve">Tim Casady </w:t>
            </w:r>
          </w:p>
        </w:tc>
      </w:tr>
      <w:tr>
        <w:trPr/>
        <w:tc>
          <w:tcPr>
            <w:tcW w:w="277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Title: </w:t>
            </w:r>
          </w:p>
        </w:tc>
        <w:tc>
          <w:tcPr>
            <w:tcW w:w="2926" w:type="dxa"/>
            <w:tcBorders/>
            <w:tcMar>
              <w:top w:w="0" w:type="dxa"/>
              <w:left w:w="0" w:type="dxa"/>
              <w:bottom w:w="0" w:type="dxa"/>
              <w:right w:w="0" w:type="dxa"/>
            </w:tcMar>
            <w:vAlign w:val="center"/>
          </w:tcPr>
          <w:p>
            <w:pPr>
              <w:pStyle w:val="TableContents"/>
              <w:bidi w:val="0"/>
              <w:spacing w:before="0" w:after="0"/>
              <w:jc w:val="left"/>
              <w:rPr/>
            </w:pPr>
            <w:r>
              <w:rPr/>
              <w:t xml:space="preserve">Authorized Person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1224</Words>
  <Characters>6301</Characters>
  <CharactersWithSpaces>7564</CharactersWithSpaces>
  <Paragraphs>296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