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920" w:right="2000" w:hanging="3912"/>
        <w:spacing w:after="0" w:line="503"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3920" w:right="1620" w:hanging="3912"/>
        <w:spacing w:after="0" w:line="500" w:lineRule="auto"/>
        <w:tabs>
          <w:tab w:leader="none" w:pos="4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001-34600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right"/>
              <w:ind w:right="1630"/>
              <w:spacing w:after="0"/>
              <w:rPr>
                <w:sz w:val="20"/>
                <w:szCs w:val="20"/>
                <w:color w:val="auto"/>
              </w:rPr>
            </w:pPr>
            <w:r>
              <w:rPr>
                <w:rFonts w:ascii="Arial" w:cs="Arial" w:eastAsia="Arial" w:hAnsi="Arial"/>
                <w:sz w:val="18"/>
                <w:szCs w:val="18"/>
                <w:b w:val="1"/>
                <w:bCs w:val="1"/>
                <w:color w:val="auto"/>
              </w:rPr>
              <w:t>26-2593535</w:t>
            </w:r>
          </w:p>
        </w:tc>
      </w:tr>
      <w:tr>
        <w:trPr>
          <w:trHeight w:val="191"/>
        </w:trPr>
        <w:tc>
          <w:tcPr>
            <w:tcW w:w="4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 incorporation or</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(I.R.S. Employer Identification No.)</w:t>
            </w:r>
          </w:p>
        </w:tc>
      </w:t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0"/>
              </w:rPr>
              <w:t>organization)</w:t>
            </w: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Glen Lennox Drive, Suite 300, Chapel Hill, North Carolina 27517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(919) 855-2100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68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Trading Symbol(s)</w:t>
            </w:r>
          </w:p>
        </w:tc>
        <w:tc>
          <w:tcPr>
            <w:tcW w:w="44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6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TENX</w:t>
            </w:r>
          </w:p>
        </w:tc>
        <w:tc>
          <w:tcPr>
            <w:tcW w:w="4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426"/>
        </w:trPr>
        <w:tc>
          <w:tcPr>
            <w:tcW w:w="9160" w:type="dxa"/>
            <w:vAlign w:val="bottom"/>
            <w:gridSpan w:val="3"/>
          </w:tcPr>
          <w:p>
            <w:pPr>
              <w:ind w:left="31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080" w:type="dxa"/>
            <w:vAlign w:val="bottom"/>
          </w:tcPr>
          <w:p>
            <w:pPr>
              <w:spacing w:after="0"/>
              <w:rPr>
                <w:sz w:val="24"/>
                <w:szCs w:val="24"/>
                <w:color w:val="auto"/>
              </w:rPr>
            </w:pPr>
          </w:p>
        </w:tc>
      </w:tr>
      <w:tr>
        <w:trPr>
          <w:trHeight w:val="452"/>
        </w:trPr>
        <w:tc>
          <w:tcPr>
            <w:tcW w:w="916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0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160" w:type="dxa"/>
            <w:vAlign w:val="bottom"/>
            <w:gridSpan w:val="3"/>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08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jc w:val="right"/>
              <w:ind w:right="77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jc w:val="right"/>
              <w:ind w:right="77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jc w:val="right"/>
              <w:ind w:right="770"/>
              <w:spacing w:after="0"/>
              <w:rPr>
                <w:sz w:val="20"/>
                <w:szCs w:val="20"/>
                <w:color w:val="auto"/>
              </w:rPr>
            </w:pPr>
            <w:r>
              <w:rPr>
                <w:rFonts w:ascii="Arial" w:cs="Arial" w:eastAsia="Arial" w:hAnsi="Arial"/>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8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50" w:orient="portrait"/>
          <w:cols w:equalWidth="0" w:num="1">
            <w:col w:w="11240"/>
          </w:cols>
          <w:pgMar w:left="320" w:top="675" w:right="339" w:bottom="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aggregate market value of the common equity held by non-affiliates computed by reference to the price at which the common equity was last sold as of June 30, 2022, the last business day of the registrant’s most recently completed second fiscal quarter, was $5,004,960.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class of $0.0001 par value common stock as of March 28, 2023 was 22,398,546.</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4, 2023, the registrant effected a 1-for-20 reverse stock split (the “Reverse Stock Split”). The Reverse Stock Split did not change the number of authorized shares of the registrant’s capital stock or cause an adjustment to the par value of the registrant’s capital stock. However, all other share amounts and references to stock prices in this Annual Report on Form 10-K have been retrospectively restated to reflect the reverse split. Pursuant to their terms, a proportionate adjustment also was made to the per share exercise price and number of shares issuable under the registrant’s outstanding stock options and warrants and to the number of shares authorized for issuance pursuant to the registrant’s equity incentive plans to reflect the Reverse Stock Split. The Company also has adjusted the financial statements in this Annual Report on Form 10-K to reflect the Reverse Stock Split.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2023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161925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213360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20" w:type="dxa"/>
            <w:vAlign w:val="bottom"/>
            <w:gridSpan w:val="12"/>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0"/>
                <w:szCs w:val="20"/>
                <w:color w:val="auto"/>
              </w:rPr>
            </w:pPr>
          </w:p>
        </w:tc>
      </w:tr>
      <w:tr>
        <w:trPr>
          <w:trHeight w:val="392"/>
        </w:trPr>
        <w:tc>
          <w:tcPr>
            <w:tcW w:w="10420" w:type="dxa"/>
            <w:vAlign w:val="bottom"/>
            <w:gridSpan w:val="33"/>
          </w:tcPr>
          <w:p>
            <w:pPr>
              <w:spacing w:after="0"/>
              <w:rPr>
                <w:sz w:val="20"/>
                <w:szCs w:val="20"/>
                <w:color w:val="auto"/>
              </w:rPr>
            </w:pPr>
            <w:r>
              <w:rPr>
                <w:rFonts w:ascii="Arial" w:cs="Arial" w:eastAsia="Arial" w:hAnsi="Arial"/>
                <w:sz w:val="18"/>
                <w:szCs w:val="18"/>
                <w:color w:val="0000EE"/>
              </w:rPr>
              <w:t>PART I</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1—BUSINESS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1A—RISK FACTORS</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16</w:t>
            </w:r>
          </w:p>
        </w:tc>
      </w:tr>
      <w:tr>
        <w:trPr>
          <w:trHeight w:val="21"/>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1B—UNRESOLVED STAFF COMMENTS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2—PROPERTIES</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3—LEGAL PROCEEDINGS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36</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33"/>
          </w:tcPr>
          <w:p>
            <w:pPr>
              <w:spacing w:after="0" w:line="196" w:lineRule="exact"/>
              <w:rPr>
                <w:sz w:val="20"/>
                <w:szCs w:val="20"/>
                <w:color w:val="auto"/>
              </w:rPr>
            </w:pPr>
            <w:r>
              <w:rPr>
                <w:rFonts w:ascii="Arial" w:cs="Arial" w:eastAsia="Arial" w:hAnsi="Arial"/>
                <w:sz w:val="18"/>
                <w:szCs w:val="18"/>
                <w:color w:val="0000EE"/>
              </w:rPr>
              <w:t>PART II</w:t>
            </w:r>
          </w:p>
        </w:tc>
        <w:tc>
          <w:tcPr>
            <w:tcW w:w="8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5—MARKET FOR REGISTRANT’S COMMON EQUITY, RELATED STOCKHOLDER MATTERS AND ISSUER</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9000" w:type="dxa"/>
            <w:vAlign w:val="bottom"/>
            <w:tcBorders>
              <w:top w:val="single" w:sz="8" w:color="0000EE"/>
            </w:tcBorders>
            <w:gridSpan w:val="30"/>
            <w:shd w:val="clear" w:color="auto" w:fill="CCEEFF"/>
          </w:tcPr>
          <w:p>
            <w:pPr>
              <w:spacing w:after="0" w:line="196" w:lineRule="exact"/>
              <w:rPr>
                <w:sz w:val="20"/>
                <w:szCs w:val="20"/>
                <w:color w:val="auto"/>
              </w:rPr>
            </w:pPr>
            <w:r>
              <w:rPr>
                <w:rFonts w:ascii="Arial" w:cs="Arial" w:eastAsia="Arial" w:hAnsi="Arial"/>
                <w:sz w:val="18"/>
                <w:szCs w:val="18"/>
                <w:color w:val="0000EE"/>
              </w:rPr>
              <w:t>PURCHASES OF EQUITY SECURITIES</w:t>
            </w:r>
          </w:p>
        </w:tc>
        <w:tc>
          <w:tcPr>
            <w:tcW w:w="120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6—RESERVED</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38</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7—MANAGEMENT’S DISCUSSION AND ANALYSIS OF FINANCIAL CONDITION AND RESULTS OF OPERATIONS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38</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7A—QUANTITATIVE AND QUALITATIVE DISCLOSURES ABOUT MARKET RISK</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47</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8—FINANCIAL STATEMENTS AND SUPPLEMENTARY DATA</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47</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9—CHANGES IN AND DISAGREEMENTS WITH ACCOUNTANTS ON ACCOUNTING AND FINANCIAL</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868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DISCLOSURE</w:t>
            </w:r>
          </w:p>
        </w:tc>
        <w:tc>
          <w:tcPr>
            <w:tcW w:w="15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9A—CONTROLS AND PROCEDURES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47</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9B—OTHER INFORMATION</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9C— DISCLOSURE REGARDING FOREIGN JURISDICTIONS THAT PREVENT INSPECTIONS.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20" w:type="dxa"/>
            <w:vAlign w:val="bottom"/>
            <w:gridSpan w:val="33"/>
          </w:tcPr>
          <w:p>
            <w:pPr>
              <w:spacing w:after="0" w:line="176" w:lineRule="exact"/>
              <w:rPr>
                <w:sz w:val="20"/>
                <w:szCs w:val="20"/>
                <w:color w:val="auto"/>
              </w:rPr>
            </w:pPr>
            <w:r>
              <w:rPr>
                <w:rFonts w:ascii="Arial" w:cs="Arial" w:eastAsia="Arial" w:hAnsi="Arial"/>
                <w:sz w:val="18"/>
                <w:szCs w:val="18"/>
                <w:color w:val="0000EE"/>
              </w:rPr>
              <w:t>PART III</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49</w:t>
            </w: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10—DIRECTORS, EXECUTIVE OFFICERS AND CORPORATE GOVERNANCE</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49</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11—EXECUTIVE COMPENSATION</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49</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12—SECURITY OWNERSHIP OF CERTAIN BENEFICIAL OWNERS AND MANAGEMENT AND RELATED</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50</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8840" w:type="dxa"/>
            <w:vAlign w:val="bottom"/>
            <w:tcBorders>
              <w:top w:val="single" w:sz="8" w:color="0000EE"/>
            </w:tcBorders>
            <w:gridSpan w:val="29"/>
            <w:shd w:val="clear" w:color="auto" w:fill="CCEEFF"/>
          </w:tcPr>
          <w:p>
            <w:pPr>
              <w:spacing w:after="0" w:line="196" w:lineRule="exact"/>
              <w:rPr>
                <w:sz w:val="20"/>
                <w:szCs w:val="20"/>
                <w:color w:val="auto"/>
              </w:rPr>
            </w:pPr>
            <w:r>
              <w:rPr>
                <w:rFonts w:ascii="Arial" w:cs="Arial" w:eastAsia="Arial" w:hAnsi="Arial"/>
                <w:sz w:val="18"/>
                <w:szCs w:val="18"/>
                <w:color w:val="0000EE"/>
              </w:rPr>
              <w:t>STOCKHOLDER MATTERS</w:t>
            </w:r>
          </w:p>
        </w:tc>
        <w:tc>
          <w:tcPr>
            <w:tcW w:w="136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13—CERTAIN RELATIONSHIPS AND RELATED TRANSACTIONS, AND DIRECTOR INDEPENDENCE</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50</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14—PRINCIPAL ACCOUNTANT FEES AND SERVICES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50</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20" w:type="dxa"/>
            <w:vAlign w:val="bottom"/>
            <w:gridSpan w:val="33"/>
          </w:tcPr>
          <w:p>
            <w:pPr>
              <w:spacing w:after="0" w:line="176" w:lineRule="exact"/>
              <w:rPr>
                <w:sz w:val="20"/>
                <w:szCs w:val="20"/>
                <w:color w:val="auto"/>
              </w:rPr>
            </w:pPr>
            <w:r>
              <w:rPr>
                <w:rFonts w:ascii="Arial" w:cs="Arial" w:eastAsia="Arial" w:hAnsi="Arial"/>
                <w:sz w:val="18"/>
                <w:szCs w:val="18"/>
                <w:color w:val="0000EE"/>
              </w:rPr>
              <w:t>PART IV</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51</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2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ITEM 15—EXHIBIT AND FINANCIAL STATEMENT SCHEDULES</w:t>
            </w:r>
          </w:p>
        </w:tc>
        <w:tc>
          <w:tcPr>
            <w:tcW w:w="8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51</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200" w:type="dxa"/>
            <w:vAlign w:val="bottom"/>
            <w:gridSpan w:val="32"/>
          </w:tcPr>
          <w:p>
            <w:pPr>
              <w:spacing w:after="0" w:line="176" w:lineRule="exact"/>
              <w:rPr>
                <w:sz w:val="20"/>
                <w:szCs w:val="20"/>
                <w:color w:val="auto"/>
              </w:rPr>
            </w:pPr>
            <w:r>
              <w:rPr>
                <w:rFonts w:ascii="Arial" w:cs="Arial" w:eastAsia="Arial" w:hAnsi="Arial"/>
                <w:sz w:val="18"/>
                <w:szCs w:val="18"/>
                <w:color w:val="0000EE"/>
              </w:rPr>
              <w:t>ITEM 16—FORM 10-K SUMMARY</w:t>
            </w:r>
          </w:p>
        </w:tc>
        <w:tc>
          <w:tcPr>
            <w:tcW w:w="8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56</w:t>
            </w:r>
          </w:p>
        </w:tc>
      </w:tr>
      <w:tr>
        <w:trPr>
          <w:trHeight w:val="669"/>
        </w:trPr>
        <w:tc>
          <w:tcPr>
            <w:tcW w:w="240" w:type="dxa"/>
            <w:vAlign w:val="bottom"/>
            <w:tcBorders>
              <w:bottom w:val="single" w:sz="8" w:color="auto"/>
            </w:tcBorders>
            <w:gridSpan w:val="2"/>
          </w:tcPr>
          <w:p>
            <w:pPr>
              <w:spacing w:after="0"/>
              <w:rPr>
                <w:sz w:val="24"/>
                <w:szCs w:val="24"/>
                <w:color w:val="auto"/>
              </w:rPr>
            </w:pPr>
          </w:p>
        </w:tc>
        <w:tc>
          <w:tcPr>
            <w:tcW w:w="2700" w:type="dxa"/>
            <w:vAlign w:val="bottom"/>
            <w:tcBorders>
              <w:top w:val="single" w:sz="8" w:color="0000EE"/>
              <w:bottom w:val="single" w:sz="8" w:color="auto"/>
            </w:tcBorders>
            <w:gridSpan w:val="13"/>
          </w:tcPr>
          <w:p>
            <w:pPr>
              <w:spacing w:after="0"/>
              <w:rPr>
                <w:sz w:val="24"/>
                <w:szCs w:val="24"/>
                <w:color w:val="auto"/>
              </w:rPr>
            </w:pPr>
          </w:p>
        </w:tc>
        <w:tc>
          <w:tcPr>
            <w:tcW w:w="3900" w:type="dxa"/>
            <w:vAlign w:val="bottom"/>
            <w:tcBorders>
              <w:bottom w:val="single" w:sz="8" w:color="auto"/>
            </w:tcBorders>
            <w:gridSpan w:val="10"/>
          </w:tcPr>
          <w:p>
            <w:pPr>
              <w:jc w:val="right"/>
              <w:ind w:right="118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i w:val="1"/>
                <w:iCs w:val="1"/>
                <w:color w:val="0000EE"/>
                <w:w w:val="88"/>
              </w:rPr>
              <w:t>Table of Contents</w:t>
            </w:r>
          </w:p>
        </w:tc>
        <w:tc>
          <w:tcPr>
            <w:tcW w:w="9140" w:type="dxa"/>
            <w:vAlign w:val="bottom"/>
            <w:gridSpan w:val="26"/>
          </w:tcPr>
          <w:p>
            <w:pPr>
              <w:spacing w:after="0"/>
              <w:rPr>
                <w:sz w:val="24"/>
                <w:szCs w:val="24"/>
                <w:color w:val="auto"/>
              </w:rPr>
            </w:pPr>
          </w:p>
        </w:tc>
        <w:tc>
          <w:tcPr>
            <w:tcW w:w="82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contains various forward-looking statements within the meaning of Section 27A of the Securities Act of 1933, as amended (the “Securities Act”) and Section 21E of the Securities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including any potential strategic transaction involving us, which may be provided by our management, are also forward-looking statements. These statements are not guarantees of future performance, and we undertake no obligation to publicly update any forward-looking statements, whether as a result of new information, future events, or otherwise, except as required by law.</w:t>
      </w:r>
    </w:p>
    <w:p>
      <w:pPr>
        <w:sectPr>
          <w:pgSz w:w="11900" w:h="16838" w:orient="portrait"/>
          <w:cols w:equalWidth="0" w:num="1">
            <w:col w:w="11240"/>
          </w:cols>
          <w:pgMar w:left="320" w:top="341" w:right="339" w:bottom="0" w:gutter="0" w:footer="0" w:header="0"/>
        </w:sectPr>
      </w:pPr>
    </w:p>
    <w:bookmarkStart w:id="2" w:name="page3"/>
    <w:bookmarkEnd w:id="2"/>
    <w:p>
      <w:pPr>
        <w:jc w:val="both"/>
        <w:spacing w:after="0" w:line="296" w:lineRule="auto"/>
        <w:rPr>
          <w:sz w:val="20"/>
          <w:szCs w:val="20"/>
          <w:color w:val="auto"/>
        </w:rPr>
      </w:pPr>
      <w:r>
        <w:rPr>
          <w:rFonts w:ascii="Arial" w:cs="Arial" w:eastAsia="Arial" w:hAnsi="Arial"/>
          <w:sz w:val="16"/>
          <w:szCs w:val="16"/>
          <w:color w:val="auto"/>
        </w:rPr>
        <w:t>Forward-looking statements are based on current expectations and projections about future events, actual events and results may differ materially from those expressed or forecasted in forward-looking statements due to a number of factors. You should understand that the following important factors, in addition to those discussed in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Item 1A of Part I of this Annual Report on Form 10-K and in any of our filings with the U.S. Securities and Exchange Commission (the “SEC”) pursuant to Sections 13(a), 13(c), 14 or 15(d) of the Exchange Act, could affect our stock price or future results and could cause those results to differ materially from those expressed in such forward-looking statements:</w:t>
      </w:r>
    </w:p>
    <w:p>
      <w:pPr>
        <w:spacing w:after="0" w:line="16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money to fund our operations for at least the next 12 months as a going concern;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evaluation of strategic alternatives;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current product candidates, and any product candidate which we may develop or in-license in the future;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our partners’ abilities, and third parties’ abilities to protect and assert intellectual property rights;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delays in the commencement, enrollment and completion of clinical testing, as well as the analysis and reporting of results from such clinical testing;</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clinical trials of our product candidates;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obtain regulatory approval of our product candidates;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any collaborations we may enter into for our product candidates;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development;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regulatory approval or commercialize our products;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product liability claims and adverse events;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manufacturers and clinical research organizations (“CROs”);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licensing or other arrangements;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obligations under intellectual property licenses with third parties;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personnel, including our executive team, advisors and members of our Board of Directors; and</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uncertainty in the global economy and financial markets in light of the evolving COVID-19 pandemic, any future epidemic, and geopolitical uncertainties, including the Russian invasion of and war against the country of Ukraine.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forward-looking statements in this Annual Report on Form 10-K represent our views as of the date such statements are made. These forward-looking statements should not be relied upon as representing our views as of any date subsequent to the date such statements are made.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in this Annual Report on Form 10-K to the “Company,” “Tenax Therapeutics”, “we”, “our” and “us” means Tenax Therapeutics, Inc.</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significant risks and uncertainties that make an investment in us speculative and risky. Below we summarize what we believe are the principal risk factors, but these are not the only risks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Financial Position and Need for Additional Capital</w:t>
      </w:r>
    </w:p>
    <w:p>
      <w:pPr>
        <w:spacing w:after="0" w:line="23" w:lineRule="exact"/>
        <w:rPr>
          <w:sz w:val="20"/>
          <w:szCs w:val="20"/>
          <w:color w:val="auto"/>
        </w:rPr>
      </w:pPr>
    </w:p>
    <w:p>
      <w:pPr>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report includes an explanatory paragraph stating that there is substantial doubt about our ability to continue as a going concern.</w:t>
      </w:r>
    </w:p>
    <w:p>
      <w:pPr>
        <w:jc w:val="both"/>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further develop our product candidates, including to complete any Phase 3 trials. Failure to obtain this necessary capital when needed on acceptable terms, or at all, or execute on alternative strategic paths, could force us to delay, limit, reduce or terminate our clinical trials, product development efforts and business operations.</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ongoing exploration of alternative strategic paths may not result in entering into or completing transactions, and the process of reviewing alternative strategic paths or their conclusion could adversely affect our stock price.</w:t>
      </w:r>
    </w:p>
    <w:p>
      <w:pPr>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we do not successfully complete a strategic transaction, should this be deemed necessary, our Board of Directors may decide to pursue a dissolution and liquidation of our Company.</w:t>
      </w: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maintain compliance with Nasdaq’s continued listing requirements could result in the delisting of our Common Stock.</w:t>
      </w:r>
    </w:p>
    <w:p>
      <w:pPr>
        <w:spacing w:after="0" w:line="20"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expect a number of factors to cause our operating results to fluctuate on a quarterly and annual basis, which may make it difficult to predict</w:t>
      </w:r>
    </w:p>
    <w:p>
      <w:pPr>
        <w:sectPr>
          <w:pgSz w:w="11900" w:h="16838" w:orient="portrait"/>
          <w:cols w:equalWidth="0" w:num="1">
            <w:col w:w="11240"/>
          </w:cols>
          <w:pgMar w:left="320" w:top="125" w:right="339" w:bottom="0" w:gutter="0" w:footer="0" w:header="0"/>
        </w:sectPr>
      </w:pPr>
    </w:p>
    <w:bookmarkStart w:id="3" w:name="page4"/>
    <w:bookmarkEnd w:id="3"/>
    <w:p>
      <w:pPr>
        <w:ind w:left="900"/>
        <w:spacing w:after="0"/>
        <w:rPr>
          <w:sz w:val="20"/>
          <w:szCs w:val="20"/>
          <w:color w:val="auto"/>
        </w:rPr>
      </w:pPr>
      <w:r>
        <w:rPr>
          <w:rFonts w:ascii="Arial" w:cs="Arial" w:eastAsia="Arial" w:hAnsi="Arial"/>
          <w:sz w:val="18"/>
          <w:szCs w:val="18"/>
          <w:color w:val="auto"/>
        </w:rPr>
        <w:t>our future performance.</w:t>
      </w:r>
    </w:p>
    <w:p>
      <w:pPr>
        <w:spacing w:after="0" w:line="23"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incurred losses since our inception, expect to continue to incur losses in the foreseeable future, and may never become profitable.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Strategy and Operations</w:t>
      </w:r>
    </w:p>
    <w:p>
      <w:pPr>
        <w:spacing w:after="0" w:line="23" w:lineRule="exact"/>
        <w:rPr>
          <w:sz w:val="20"/>
          <w:szCs w:val="20"/>
          <w:color w:val="auto"/>
        </w:rPr>
      </w:pPr>
    </w:p>
    <w:p>
      <w:pPr>
        <w:ind w:left="900" w:hanging="447"/>
        <w:spacing w:after="0" w:line="250"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limited in the number of products we can simultaneously pursue and therefore our survival depends on our success with a small number of product opportunities.</w:t>
      </w:r>
    </w:p>
    <w:p>
      <w:pPr>
        <w:ind w:left="900" w:hanging="447"/>
        <w:spacing w:after="0" w:line="250"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such as COVID-19, or another coronavirus or similar disrupting illness, may materially and adversely affect our business and our financial results.</w:t>
      </w: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attract and retain personnel, we may be unable to successfully develop and commercialize our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Drug Development and Commercialization</w:t>
      </w:r>
    </w:p>
    <w:p>
      <w:pPr>
        <w:spacing w:after="0" w:line="23" w:lineRule="exact"/>
        <w:rPr>
          <w:sz w:val="20"/>
          <w:szCs w:val="20"/>
          <w:color w:val="auto"/>
        </w:rPr>
      </w:pPr>
    </w:p>
    <w:p>
      <w:pPr>
        <w:ind w:left="900" w:hanging="44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do not have, and may never have, an approved drug products for sale.</w:t>
      </w:r>
    </w:p>
    <w:p>
      <w:pPr>
        <w:spacing w:after="0" w:line="9"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required to conduct additional clinical trials in the future, which are expensive and time consuming, and the outcome of the trials is uncertain.</w:t>
      </w:r>
    </w:p>
    <w:p>
      <w:pPr>
        <w:ind w:left="900" w:hanging="44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may not accept our products.</w:t>
      </w:r>
    </w:p>
    <w:p>
      <w:pPr>
        <w:spacing w:after="0" w:line="9"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Nonfinal results from our clinical trials announced or published from time to time on an interim, preliminary, or “top-line” basis, and conclusions drawn from these nonfinal results, may change as more patient data become available, and these results are subject to audit and verification procedures that could result in material changes in the final data.</w:t>
      </w:r>
    </w:p>
    <w:p>
      <w:pPr>
        <w:spacing w:after="0" w:line="1" w:lineRule="exact"/>
        <w:rPr>
          <w:rFonts w:ascii="Arial" w:cs="Arial" w:eastAsia="Arial" w:hAnsi="Arial"/>
          <w:sz w:val="18"/>
          <w:szCs w:val="18"/>
          <w:color w:val="auto"/>
        </w:rPr>
      </w:pPr>
    </w:p>
    <w:p>
      <w:pPr>
        <w:ind w:left="900" w:hanging="447"/>
        <w:spacing w:after="0" w:line="265"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ind w:left="900" w:hanging="447"/>
        <w:spacing w:after="0" w:line="26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the outcome of our strategic process, delays in the enrollment and completion of clinical testing could result in increased costs to us and delay or limit our ability to obtain regulatory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Our Industry</w:t>
      </w:r>
    </w:p>
    <w:p>
      <w:pPr>
        <w:spacing w:after="0" w:line="23"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Intense competition might render our product candidates noncompetitive or obsolete.</w:t>
      </w:r>
    </w:p>
    <w:p>
      <w:pPr>
        <w:spacing w:after="0" w:line="9"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activities are and will continue to be subject to extensive government regulation, which is expensive and time consuming, and we will not be able to sell our products without regulatory approval.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900" w:hanging="447"/>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the outcome of our strategic process, we may not receive all of the anticipated market exclusivity benefits of imatinib’s orphan drug designation.</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the outcome of our strategic process, even after products are commercialized, we would expect to spend considerable time and money complying with federal and state laws and regulations governing their sale, and, if we are unable to fully comply with such laws and regulations, we could face substantial penalties.</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uncertainty relating to healthcare reform measures and reimbursement policies that, if not favorable to our products, could hinder or prevent our products’ commercial success, if any of our product candidates are approved.</w:t>
      </w:r>
    </w:p>
    <w:p>
      <w:pPr>
        <w:ind w:left="900" w:hanging="447"/>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Governments outside the United States tend to impose strict price controls and reimbursement approval policies, which may adversely affect our prospects for generating revenue outside the United States.</w:t>
      </w:r>
    </w:p>
    <w:p>
      <w:pPr>
        <w:ind w:left="900" w:hanging="447"/>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 limit sales of our existing products and limit commercialization of any products that we may develop.</w:t>
      </w:r>
    </w:p>
    <w:p>
      <w:pPr>
        <w:ind w:left="900" w:hanging="447"/>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 cyber-attacks or deficiencies in our cyber-security.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Dependence on Third Parties</w:t>
      </w:r>
    </w:p>
    <w:p>
      <w:pPr>
        <w:spacing w:after="0" w:line="23" w:lineRule="exact"/>
        <w:rPr>
          <w:sz w:val="20"/>
          <w:szCs w:val="20"/>
          <w:color w:val="auto"/>
        </w:rPr>
      </w:pPr>
    </w:p>
    <w:p>
      <w:pPr>
        <w:ind w:left="900" w:right="300" w:hanging="447"/>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historically, and pending the outcome of our strategic process, we will continue to rely significantly on third parties to conduct our nonclinical testing and clinical studies and other aspects of our development programs.</w:t>
      </w: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third parties to formulate and manufacture our products.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currently have no marketing capabilities and no sales organization.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Intellectual Property</w:t>
      </w:r>
    </w:p>
    <w:p>
      <w:pPr>
        <w:spacing w:after="0" w:line="23" w:lineRule="exact"/>
        <w:rPr>
          <w:sz w:val="20"/>
          <w:szCs w:val="20"/>
          <w:color w:val="auto"/>
        </w:rPr>
      </w:pPr>
    </w:p>
    <w:p>
      <w:pPr>
        <w:ind w:left="90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will depend in part on obtaining and maintaining effective patent and other intellectual property protection for our product candidates and proprietary technology.</w:t>
      </w:r>
    </w:p>
    <w:p>
      <w:pPr>
        <w:ind w:left="90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confidentiality agreements that, if breached, may be difficult to enforce and could have a material adverse effect on our business and competitive position.</w:t>
      </w:r>
    </w:p>
    <w:p>
      <w:pPr>
        <w:ind w:left="90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incur substantial costs as a result of litigation or other proceedings relating to patent and other intellectual property rights and we may be unable to protect our rights to, or use, our technology.</w:t>
      </w: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current law, we may not be able to enforce all employees’ covenants not to compete.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infringe or be alleged to infringe intellectual property rights of third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Common Stock</w:t>
      </w:r>
    </w:p>
    <w:p>
      <w:pPr>
        <w:spacing w:after="0" w:line="23" w:lineRule="exact"/>
        <w:rPr>
          <w:sz w:val="20"/>
          <w:szCs w:val="20"/>
          <w:color w:val="auto"/>
        </w:rPr>
      </w:pPr>
    </w:p>
    <w:p>
      <w:pPr>
        <w:ind w:left="900" w:hanging="44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Anti-takeover provisions in our corporate charter documents and under Delaware law could make an acquisition of us more difficult.</w:t>
      </w:r>
    </w:p>
    <w:p>
      <w:pPr>
        <w:spacing w:after="0" w:line="20" w:lineRule="exact"/>
        <w:rPr>
          <w:rFonts w:ascii="Arial" w:cs="Arial" w:eastAsia="Arial" w:hAnsi="Arial"/>
          <w:sz w:val="17"/>
          <w:szCs w:val="17"/>
          <w:color w:val="auto"/>
        </w:rPr>
      </w:pPr>
    </w:p>
    <w:p>
      <w:pPr>
        <w:ind w:left="900" w:hanging="447"/>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bylaws contain an exclusive forum provision for certain disputes, which could limit our stockholders’ ability to obtain a favorable judicial forum for disputes with us or our directors, officers, employees, or agents.</w:t>
      </w:r>
    </w:p>
    <w:p>
      <w:pPr>
        <w:ind w:left="900" w:hanging="447"/>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not paid cash dividends in the past and do not expect to pay dividends in the future. Any return on investment may be limited to the value of our common stock.</w:t>
      </w:r>
    </w:p>
    <w:p>
      <w:pPr>
        <w:ind w:left="900" w:right="20" w:hanging="447"/>
        <w:spacing w:after="0" w:line="26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and certain other tax attributes to offset future taxable income may be subject to certain limitations.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125"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an amendment to the license to include two new oral products containing levosimendan, in capsule and solid dosage form, and a subcutaneously administered product containing levosimendan, subject to specified limitations.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we acquired 100% of the equity of PHPrecisionMed Inc., a Delaware corporation, or PHPM, with PHPM surviving as our wholly-owned subsidiary. As a result of the merger, we are developing and plan to commercialize pharmaceutical products containing imatinib for the treatment of pulmonary arterial hypertension, or PAH.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Having carefully considered alternatives within the ongoing strategic process announced in September 2022, and having raised capital to fund the Company through to the first quarter of 2024, the Company has recently elected to prioritize the Phase 3 testing of levosimendan, ahead of imatinib, with plans to commence a levosimendan Phase 3 study in 2023. Supporting this strategic decision is a U.S. Patent issued in March 2023, covering the use of IV levosimendan in patients with PH-HFpEF. This patent is the second levosimendan patent granted to Tenax since the start of 2022, and Tenax believes it provides strong precedent for the ongoing review of a third patent which might be granted in 2023 or 2024. This prioritization of the Phase 3 testing of levosimendan places the start of a Phase 3 imatinib trial likely outside the 2023 timeframe, pending fundraising to support that trial, as well as other strategic considerations.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took steps to reduce its monthly operating expenses and conserve cash, as it commenced exploring strategic alternatives. The Company has cancelled substantially all of its non-essential operating expenses such as consulting, its office lease, and dues and subscriptions and office supplies associated with that leased office.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announcing the strategic process, our principal business objective has been to identify, develop, and commercialize late-stage pharmaceutical therapeutic products for serious cardiovascular and pulmonary diseases with high unmet medical need. The Company has been developing TNX-103 (oral levosimendan) for the treatment of Pulmonary Hypertension with Heart Failure with Preserved Ejection Fraction (PH-HFpEF) and TNX-201 (modified release imatinib) for the treatment of pulmonary arterial hypertension (PAH). Both TNX-103 and TNX-201 are Phase 3-ready assets, each with the potential to meaningfully impact the quality and longevity of patient lives.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Pending the outcome of our strategic process, the key elements of our long-term business strategy are outlined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Efficiently conduct clinical development to establish clinical proof of principle in new indications, refine formulation, and commence Phase 3 testing of our current product candidates</w:t>
      </w:r>
      <w:r>
        <w:rPr>
          <w:rFonts w:ascii="Arial" w:cs="Arial" w:eastAsia="Arial" w:hAnsi="Arial"/>
          <w:sz w:val="18"/>
          <w:szCs w:val="18"/>
          <w:color w:val="auto"/>
        </w:rPr>
        <w: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Levosimendan and imatinib have been approved and prescribed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either one or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when designing and executing our research.</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Levosimendan has shown promise in multiple disease areas in the two decades following its approval. Our own Phase 2 study and open-label extension has demonstrated that a formerly under-appreciated mechanism of action of levosimendan, its property of relaxing the venous circulation, brings about durable improvements in exercise capacity and quality of life, as well as other clinical assessments, in patients with heart failure with preserved ejection fraction and associated pulmonary hypertension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these factors will support approval by the United States Food and Drug Administration (the “FDA”) of these product candidates based on positive Phase 3 data. Through our agreement with our licensor, Orion Corporation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Tenax Therapeutics at the dose shown to be effective in a prior Phase 3 trial conducted by Novartis, allows Tenax to build on the dossier of research results already reviewed by the FDA. In order to achieve our</w:t>
      </w:r>
    </w:p>
    <w:p>
      <w:pPr>
        <w:sectPr>
          <w:pgSz w:w="11900" w:h="16838" w:orient="portrait"/>
          <w:cols w:equalWidth="0" w:num="1">
            <w:col w:w="11240"/>
          </w:cols>
          <w:pgMar w:left="320" w:top="121" w:right="339" w:bottom="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objectives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Continue to expand our intellectual property portfolio</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applications of our existing technologies, alone or in combination with existing therapies, as well as other product candidates. We received in 2022 a patent covering the subcutaneous administration of levosimendan (TNX-102) in humans for any medical condition, through 2039. On March 21, 2023, we received our second patent for this product, covering the IV formulation of levosimendan (TENX-101) tested in the Phase II HELP trial in patients with PH-HFpEF. At present, we have two patents pending, with additional decisions expected in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Enter into licensing or product co-development arrangements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to develop a portfolio of high-quality product development opportunities, enhance our clinical development and commercialization capabilities, and increase our ability to generate value from our proprietary technologies.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TNX-101 (IV), TNX-102 (subcutaneous) and TNX-103 (oral) ( (levosimendan) Background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Levosimendan was discovered and developed by Orion. Levosimendan is a calcium sensitizer/K-ATP activator developed for intravenous use in hospitalized patients with acutely decompensated heart failure. It is currently approved in over 60 countries for this indication but is not available in the United States or Canada. It is estimated that to date over 1.5 million patients have been treated worldwide with levosimendan.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Levosimendan is a novel, first in class calcium sensitizer/K-ATP activator. The therapeutic effects of levosimendan are mediated through:</w:t>
      </w:r>
    </w:p>
    <w:p>
      <w:pPr>
        <w:spacing w:after="0" w:line="225" w:lineRule="exact"/>
        <w:rPr>
          <w:sz w:val="20"/>
          <w:szCs w:val="20"/>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w:t>
      </w:r>
    </w:p>
    <w:p>
      <w:pPr>
        <w:spacing w:after="0" w:line="23"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Several studies have demonstrated that levosimendan protects the heart and improves tissue perfusion while minimizing tissue damage during cardiac surgery.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we acquired certain assets of Phyxius Pharma, Inc. (“Phyxius”), including its North American rights to develop and commercialize intravenous levosimendan for any indication in the United States and Canada. The license was subsequently amended in 2020 to include the rights to develop and commercialize oral and subcutaneous formulations of levosimendan. In the countries where it is marketed, intravenous levosimendan is indicated for the short-term treatment of acutely decompensated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TNX-101 (IV), TNX-102 (subcutaneous) and TNX-103 (oral) (levosimendan) Development for Pulmonary Hypertension Patients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2020, we completed a Phase 2 clinical trial of intravenous levosimendan in North America for the treatment of patients with pulmonary hypertension associated with heart failure with PH-HFpEF, a disease defined hemodynamically by a mean pulmonary artery pressure (“mPAP”) of ≥25 mmHg, and a pulmonary capillary wedge pressure “(PCWP”) of &gt;15 mmHg. Pulmonary hypertension in these patients is believed to arise from a passive backward transmission of elevated filling pressures from left-sided heart failure. These mechanical components of pulmonary venous congestion can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PH-HFpEF is the most common of five forms of pulmonary hypertension, with an estimated U.S. prevalence exceeding 1.5 million patients. Currently, no pharmacologic therapies are approved for treatment of PH-HFpEF. Despite the fact that many therapies have been studied in PH-HFpEF patients, including therapies approved to treat PAH patients, no therapies have been shown to be effective in treating PH-HFpEF patients.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for further research into the potential beneficial impact of levosimendan in PH-HFpEF patients.</w:t>
      </w:r>
    </w:p>
    <w:p>
      <w:pPr>
        <w:sectPr>
          <w:pgSz w:w="11900" w:h="16838" w:orient="portrait"/>
          <w:cols w:equalWidth="0" w:num="1">
            <w:col w:w="11240"/>
          </w:cols>
          <w:pgMar w:left="320" w:top="125" w:right="339" w:bottom="1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5"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2018, we met with the FDA to discuss development of levosimendan in these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Hemodynamic Evaluation of Levosimendan in PH-HFpEF.</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initiated the first of our HELP Study clinical sites in November 2018 and the first of 37 patients was enrolled in the HELP Study in March 2019. Enrollment in the HELP Study was completed about one year later, in March 2020. The primary endpoint of the HELP Study was based on the change in pulmonary capillary wedge pressure (“PCWP”) during exercise versus baseline compared to placebo. The HELP Study utilized a double-blind randomized design following five weekly outpatient infusions of levosimendan.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 2020, we announced preliminary, top-line data from the study. The primary efficacy analysis, PCWP during exercise did not demonstrate a statistically significant reduction from baseline. Levosimendan did demonstrate a statistically significant reduction in PCWP compared to baseline (p= &lt;0.0017)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Hemodynamic Results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Hemodynamic measurements were made at rest (supine), after leg raise on a supine bicycle (a test of rapid increase in ventricular filling) and during exercise (25 watts for three minutes or until the patient tired). In the initial open-label phase, 84% of the patients had a significant reduction in right atrial pressure (“RAP”), pulmonary artery pressure, (“PAP”), and PCWP at rest and during exercise. In the randomized double-blinded 6-week trial, levosimendan demonstrated a statistically significant reduction in PCWP compared to baseline (p=&lt;0.0017) and placebo (p=&lt;0.0475) when these three measurements were combined: at rest, with legs up, and on exercise. While there was no significant change in PCWP during exercise, patients receiving levosimendan had reductions from baseline at Week 6 in PCWP and PAP that were statistically significant when patients were “at rest” and/or with their “legs raised” (p&lt;0.05).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Results (6-Minute Walk Distance)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incidence of adverse events or serious adverse events between the control and treated groups was similar. In addition, there were no arrhythmias observed, atrial or ventricular, when comparing baseline electrocardiographic monitoring with 72-hour monitoring after five weeks of treatment.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the full manuscript was published in the peer-reviewed journal JACC: Heart Failure. Burkhoff D, Borlaug BA, Shah SJ, …Rich S. Levosimendan Improves Hemodynamics and Exercise Tolerance in PH-HFpEF: Results of the Randomized Placebo-Controlled HELP Trial. JACC Heart Fail. 2021 May;9(5):360-370.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Next Steps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2020, we entered into an Amendment to the License Agreement between the Company and Orion to include two new product formulations containing levosimendan, in a capsule solid oral dosage form (TNX-103) and a subcutaneously administered dosage form (TNX-102), to the scope of the license, subject to specified limitations. On January 4, 2022, Tenax Therapeutics was issued US Pat. No. 11,213,524, entitled PHARMACEUTICAL COMPOSITIONS FOR SUBCUTANEOUS ADMINISTRATION OF LEVOSIMENDAN.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their completion of the randomized treatment phase of the HELP trial, patients were able to enter a study extension. For over two years, Tenax and our HELP investigators continued studying the safety and efficacy of TNX-103 in all patients participating in the open-label extension of the HELP Study, all of whom previously received weekly infusions of intravenous levosimendan. These patients were safely transitioned from the intravenous to the oral formulation in late 2021, with positive signs of efficacy observed across all measured parameters during the transition study phase of the open-label extension study (“OLE”). We expect the OLE to come to a conclusion in the first half of 2023.</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TNX-103 doses in a Phase 3 clinical study. The FDA expressed that a safety database could be necessary and indicated that the need for a larger safety database could be dependent on the final design of the Phase 3 study. A proposed Phase 3 study design was provided in late 2021 for FDA review and comment on the safety database requirements at filing. In February 2022, the FDA advised in a written response that the safety database at NDA filing only need meet the minimum International Clinical Harmonization (ICH) standards for a chronic medication.</w:t>
      </w:r>
    </w:p>
    <w:p>
      <w:pPr>
        <w:sectPr>
          <w:pgSz w:w="11900" w:h="16838" w:orient="portrait"/>
          <w:cols w:equalWidth="0" w:num="1">
            <w:col w:w="11240"/>
          </w:cols>
          <w:pgMar w:left="320" w:top="125" w:right="339" w:bottom="114"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t>The HELP Study design was novel in several respects. To date, no other multi-center study has evaluated levosimendan in heart failure patients with preserved ejection fraction (“HFpEF”) patients or PH-HFpEF patients. Instead, all previous levosimendan heart failure studies have enrolled heart failure patients with reduced ejection fraction (“HFrEF”), therefore specifically excluding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The transition of patients in the OLE from intravenous to oral therapy was encouraging. PH-HFpEF has an approximate 50% rate of survival of five years. The patients who enrolled in the HELP study had very advanced disease, with 87% Functional Class III at enrollment. At the time of the transition these patients had already been on levosimendan for two years or longer. The fact that there was an improvement in all measures of efficacy on oral therapy beyond what had been achieved on intravenous therapy speaks to the remarkable durability of the treatment effect.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combination of the unique HELP Study patient population, innovative weekly 24-hour dosing, unique home-based site of administration, the transition from intravenous to oral therapy in a subset of these patients who continued in the OLE until the commencement of this transition sub study, and the novel findings of efficacy and safety in PH-HFpEF patients represent important discoveries and significant intellectual property. These discoveries, among others from the HELP Study, form the basis for U.S. patent applications we have filed.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TNX-201 (imatinib) 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Imatinib (marketed in the U.S. as Gleevec®) is a tyrosine kinase inhibitor, which changed the treatment of chronic myeloid leukemia (“CML”) following its approval over 20 years ago, as the first curative treatment of chronic leukemia. The first clinical trial of imatinib took place in 1998 and the drug received FDA approval in May 2001. Encouraged by the success of imatinib in treating CML patients, scientists explored its effect in other cancers, and it was found to produce a similar positive effect in malignancies where tyrosine kinases were overexpressed.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Tyrosine kinases are important mediators of the signaling cascade, determining key roles in diverse biological processes like growth, differentiation, metabolism, and apoptosis in response to external and internal stimuli. Deregulation of protein kinase activity has been shown to play a central role in the pathogenesis of human cancers. Imatinib, a 2-phenyl amino pyrimidine derivative, is a tyrosine kinase inhibitor with activity against ABL, BCR-ABL, PDGFRA and PDGFRB, and c-KIT. Imatinib works by binding close to the ATP binding site, therefore inhibiting the enzyme activity of the protein. Imatinib also inhibits the ABL protein of noncancer cells. Imatinib is well absorbed after oral administration with a bioavailability exceeding 90%. It is extensively metabolized, principally by cytochrome P450 (CYP)3A4 and CYP3A5 and can competitively inhibit the metabolism of drugs that are CYP3A4 or CYP3A5 substrates. Imatinib is generally well tolerated in cancer patients. Common side effects include fluid retention, headache, diarrhea, loss of appetite, weakness, nausea and vomiting, abdominal distention, edema, rash, dizziness, and muscle cramps. Serious side effects may include myelosuppression, heart failure, and liver function abnormalities. Novartis manufactures Gleevec.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Imatinib Development for Pulmonary Arterial Hypertension Patients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PAH, a rare disease, patients who remain symptomatic despite available therapies have a high morbidity and mortality. Though several therapies are now available, there is no cure for the disease, and there is no data supporting that the existing approved therapies, all of which are pulmonary vasodilators, halt progression or induce regression of the disease. Imatinib has been shown in animal models of pulmonary hypertension to induce disease reversal by an effect on platelet derived growth factor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Novartis sponsored a Phase 2 proof-of-concept trial to evaluate the safety, tolerability, and efficacy of imatinib as an adjunct to PAH-specific therapy in patients with PAH. This was a 24-week randomized, double-blind, placebo-controlled study of PAH subjects who remained symptomatic on one or more PAH therapies in WHO Functional Class (FC) II-IV. The Phase 2 trial of imatinib in PAH caused significant hemodynamic improvement in some patients but failed to meet the primary endpoint of an increase in 6-minute walk distance (22 meters, p=NS).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 intolerance during the first eight weeks. The sponsor proposed consideration of a surrogate endpoint under the subpart H provision as a basis for approval but was denied. Consequently, Novartis chose to withdraw the Investigational New Drug application as the drug went off patent.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TNX-201 Development for Pulmonary Arterial Hypertension Patients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30, 2019, PHPrecisionMed Inc., a Delaware corporation (“PHPM”), which was to be acquired by Tenax Therapeutics in January 2021, met with the FDA to discuss a proposal for a Phase 3 trial of imatinib for PAH. At that meeting, PHPM discussed a single Phase 3 trial using change in 6-minute walk distance as the primary endpoint (p&lt;0.05). PHPM received agreement for submission under the 505(b)(2) regulatory pathway, and thereafter received orphan designation. In July 2020, PHPM received agreement from the FDA for the development of a modified release formulation that would require only a small comparative PK/bioavailability study. We recruited 16 volunteers, who received a single dose of the modified release formulation and a single dose of the existing immediate release formulation. This formulation was later optimized in preparation for a second Phase 1 study, completed in the second quarter of 2022. A Phase 3 study of TNX-201, this optimized modified release formulation of imatinib, would be the next clinical trial to commence in Tenax’ development planning, pending the outcome of our strategic process and funding of the trial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contract with third parties for the manufacturing of all of our product candidates, and for pre-clinical and clinical studies, and intend to continue to do so in the future. We do not own or operate any manufacturing facilities and we have no plans to build any owned clinical or commercial scale manufacturing capabilities. We believe that the use of third-party manufacturers and contract manufacturing organizations (“CMOs”) eliminates the need to directly invest in manufacturing facilities, equipment and additional staff.</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8" w:name="page9"/>
    <w:bookmarkEnd w:id="8"/>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terms of our license for levosimendan, Orion is contractually our sole manufacturing source for TNX-103. We may engage other third-party suppliers and CMOs for the supply and manufacture of TNX-102, or other formulations we may develop.</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engaged various third-party suppliers and CMOs for the supply and manufacture of imatinib for potential future clinical trials, and relied on such contractors for material contributing to TNX-201, for testing in our two completed Phase 1 trials.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further develop our product pipeline, we expect to consider secondary or back-up manufacturers for both active pharmaceutical ingredient and drug product manufacturing. To date, our third-party manufacturers have met the manufacturing requirements for our product candidates. We expect third-party manufacturers to be capable of providing sufficient quantities of our product candidates to meet anticipated full-scale commercial demands, but we have not assessed these capabilities beyond the supply of clinical materials to date.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alternate sources of manufacturing will be available to satisfy our clinical and future commercial requirements; however, we cannot guarantee that identifying and establishing alternative relationships with such sources will be successful, cost effective, or completed on a timely basis without significant delay in the development or commercialization of our product candidates. All of the vendors we use are required to conduct their operations under current Good Manufacturing Practices (“cGMP”), a regulatory standard for the manufacture of pharmaceuticals.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employees, consultants, and advisors whom we expect to work on our products to agree to disclose and assign to us all inventions conceived during the workday, developed using our property, or which relate to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two granted patents, and two U.S. patent applications pending, related to product candidates and proprietary process, method and technology. Our issued levosimendan patents expire in 2039 and late 2040.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4, 2022, we received a patent for the subcutaneous administration of levosimendan, whether through the formulation we have developed in collaboration with a formulation development partner, or other subcutaneous formulations meeting certain broad characteristics defined in the patent. In addition, we received on March 21, 2023 a patent for the use of IV levosimendan in the treatment of PH-HFpEF patients, based on several discoveries that have emerged from the HELP Study and the OLE.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trademark registration for Simdax® is owned by Orion and is licensed to us for sales and marketing purposes for any intravenous pharmaceutical products containing levosimendan that are commercialized in the United States and Canada.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in part depend on the ability to obtain and maintain patent and other proprietary rights in commercially important technology, inventions and know-how related to our business, the validity and enforceability of our patents, the continued confidentiality of our trade secrets and our ability to operate without infringing the valid and enforceable patents and proprietary rights of third parties. We also rely on continuing technological innovation and in-licensing opportunities to develop and maintain our proprietary position.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and products. Comprehensive risks related to our intellectual property are described under the heading “Risk Factors - Risks Related to Our Intellectual Property” included elsewhere in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Simdax License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13, 2013, we acquired, through our wholly-owned subsidiary, a license agreement between Phyxius and Orion, which was later amended on October 9, 2020 and January 25, 2022 (as amended, the “License”). The License grants us an exclusive, sublicenseable right to develop and commercialize pharmaceutical products containing levosimendan in the United States and Canada (the “Territory”) and, pursuant to the October 9, 2020 amendment to the License, also includes two product dose forms containing levosimendan, in capsule and solid dosage form, and a subcutaneously administered product containing levosimendan, subject to specified limitations (together, the “Product”). Pursuant to the License, Tenax and Orion will agree to a new trademark when commercializing levosimendan in either of these forms.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License, we have a right of first refusal to commercialize new developments of levosimendan, including developments as to the formulation, presentation, means of delivery, route of administration, dosage or indication (i.e., line extension products).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Orion’s ongoing role under the License includes sublicense approval, serving as the sole source of manufacture of oral formulations of levosimendan, holding a first right to enforce intellectual property rights in the United States and Canada,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 exclusive license to any patents or clinical trial data related to levosimendan developed by the Company under the License. The term of the License extends until 10 years after the launch of a levosimendan product in the United States and Canada, provided that the License will continue after the end of the term in each country in the Territory until the expiration of Orion’s patent rights in levosimendan in such country. In the event that no regulatory approval for levosimendan has been granted in the United States on or before September 20, 2030, however, either party will have the right to terminate the License with immediate effect.</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consideration for the License, we agreed to pay Orion (i) a one-time up-front payment in the amount of $1.0 million, (ii) development milestones consisting of (a) $2.0 million upon the grant of FDA approval and (b) $1.0 million upon the grant of regulatory approval for the Product in Canada, (iii)</w:t>
      </w:r>
    </w:p>
    <w:p>
      <w:pPr>
        <w:sectPr>
          <w:pgSz w:w="11900" w:h="16865" w:orient="portrait"/>
          <w:cols w:equalWidth="0" w:num="1">
            <w:col w:w="11240"/>
          </w:cols>
          <w:pgMar w:left="320" w:top="179" w:right="339" w:bottom="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commercialization milestones aggregating to up to $13.0 million, upon achievement of certain cumulative net sales amounts in the United States and Canada, and (iv) royalties based on net sales of the Product in the United States and Canada. After the end of the License term, the Company must pay Orion a royalty based on net sales of the Product in the Territory for as long as the Company sells the Product in the Territory.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cardiovascular, pulmonary, and related medical conditions, both rare and common.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Our success will be based in part on our ability to identify, develop and manage a portfolio of product candidates that are safer and more effective than any competing products.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concept of using TNX-101/102/103 (levosimendan) to treat patients with PH-HFpEF is novel, and the patent granted for this use in March 2023 demonstrates USPTO’s concurrence. Because no therapies are approved to treat PH-HFpEF, we believe our ability to succeed in the market is primarily dependent on our ability to change the established practice paradigm, which could be difficult. Key factors on which we will compete with regards to the development and marketing of levosimendan for the treatment of pulmonary hypertension in these patients include, among others, the ability to obtain adequate efficacy data, safety data, cost effectiveness data and hospital formulary approval, marketing exclusivity, as well as sufficient distribution and handling. Furthermore, while we believe the mechanism of action of levosimendan is novel, other low-priced, generically available products possess some similar qualities, which could present competition in the form of therapeutic substitution.</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TNX-201 (imatinib) has the potential to be the first disease-modifying treatment of PAH, a fatal orphan disease. Pulmonary vasodilators, the only approved medications for PAH, do not have disease modifying properties. We do not expect these products, other than one which is not widely used today, to be contraindicated in patients taking TNX-201, and our intended protocol design tests TNX-201 as an additional therapy to one or more of these vasodilators.</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Several other companies are developing new therapies to treat PAH, including some that may also be disease-modifying. Novartis developed imatinib for PAH and conducted a Phase 3 trial that in 2013 succeeded in meeting its primary endpoint. However, the high number of dropouts of patients randomized to imatinib led the FDA and EMA to request another trial before they would approve the product in PAH. To address this, we are developing a modified-release oral formulation designed to reduce the stomach’s exposure to imatinib, and the nausea and vomiting commonly observed in patients receiving imatinib. Other companies are developing an inhaled route of administration as their strategy to mitigate gastric intolerance. We believe that our development plan has advantages in that we already know the effective dose of imatinib administered orally, and the systemic exposure from an inhaled route remains uncertain, and costly to determine. Since only the first FDA approved formulation of imatinib to treat PAH will qualify for the seven years of Orphan Drug exclusivity in the U.S., these alternative formulations of imatinib represent potential competitive threats.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compete successfully,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government regulations on our business are discussed under the heading “Risk Factors - Risks Relating to Regulatory Matters”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assembled a high-quality team of clinical development managers and executives with significant experience in the biotechnology and pharmaceutical industries.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2022, we had seven full-time employees and one part-time employee. In addition to our employees, we also rely on the service and support of outside consultants and advisors. None of our employees are represented by a union, and we believe relationships with our employees are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ectPr>
          <w:pgSz w:w="11900" w:h="16838" w:orient="portrait"/>
          <w:cols w:equalWidth="0" w:num="1">
            <w:col w:w="11240"/>
          </w:cols>
          <w:pgMar w:left="320" w:top="125" w:right="339" w:bottom="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www.tenaxthera.com</w:t>
      </w:r>
      <w:r>
        <w:rPr>
          <w:rFonts w:ascii="Arial" w:cs="Arial" w:eastAsia="Arial" w:hAnsi="Arial"/>
          <w:sz w:val="18"/>
          <w:szCs w:val="18"/>
          <w:color w:val="auto"/>
        </w:rPr>
        <w:t xml:space="preserve">, and our investor relations website is located at </w:t>
      </w:r>
      <w:r>
        <w:rPr>
          <w:rFonts w:ascii="Arial" w:cs="Arial" w:eastAsia="Arial" w:hAnsi="Arial"/>
          <w:sz w:val="18"/>
          <w:szCs w:val="18"/>
          <w:i w:val="1"/>
          <w:iCs w:val="1"/>
          <w:color w:val="auto"/>
        </w:rPr>
        <w:t>http://investors.tenaxthera.com</w:t>
      </w:r>
      <w:r>
        <w:rPr>
          <w:rFonts w:ascii="Arial" w:cs="Arial" w:eastAsia="Arial" w:hAnsi="Arial"/>
          <w:sz w:val="18"/>
          <w:szCs w:val="18"/>
          <w:color w:val="auto"/>
        </w:rPr>
        <w:t xml:space="preserve">. Information on our website is not incorporated by reference herein. Copies of our annual reports on Form 10-K, quarterly reports on Form 10-Q, current reports on Form 8-K and our proxy statements for our meetings of stockholders, and any amendments to those reports, as well as Section 13 and 16 reports filed by our insiders, are available free of charge on our website as soon as reasonably practicable after we file the reports with, or furnish the reports to, the SEC. Our SEC filings are also publicly available on the SEC’s website located at </w:t>
      </w:r>
      <w:r>
        <w:rPr>
          <w:rFonts w:ascii="Arial" w:cs="Arial" w:eastAsia="Arial" w:hAnsi="Arial"/>
          <w:sz w:val="18"/>
          <w:szCs w:val="18"/>
          <w:i w:val="1"/>
          <w:iCs w:val="1"/>
          <w:color w:val="auto"/>
        </w:rPr>
        <w:t>www.sec.gov</w:t>
      </w:r>
      <w:r>
        <w:rPr>
          <w:rFonts w:ascii="Arial" w:cs="Arial" w:eastAsia="Arial" w:hAnsi="Arial"/>
          <w:sz w:val="18"/>
          <w:szCs w:val="18"/>
          <w:color w:val="auto"/>
        </w:rPr>
        <w:t>, which contains reports, proxy and information statements, and other information regarding issuers that file electronically with the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Our business, financial condition and operating results may be affected by a number of factors, including but not limited to those described below. Any one or more of such factors could directly or indirectly cause our actual results of operations and financial condition to vary materially from our past or anticipated future results of operations and financial condition. Any of these factors, in whole or in part, could materially and adversely affect our business, financial condition, results of operations and stock price. The following information should be read in conjunction with Part II, Item 7, “Management’s Discussion and Analysis of Financial Condition and Results of Operations” and the accompanying financial statements and related notes in Part II, Item 8, “Financial Statements and Supplementary Data”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includes an explanatory paragraph stating that there is substantial doubt about our ability to continue as a going concern</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consolidated financial statements included elsewhere in this Annual Report on Form 10-K includes an explanatory paragraph indicating that there is substantial doubt about our ability to continue as a going concern. Our ability to continue as a going concern is dependent upon our ability to raise additional capital and to achieve sustainable revenues and profitable operations. Substantial doubt about our ability to continue as a going concern may materially and adversely affect the price per share of our common stock and make it more difficult to obtain financing. Our consolidated financial statements for the fiscal year ended December 31, 2022 have been prepared assuming we will continue as a going concern and do not include any adjustments that might result from uncertainty about our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require substantial additional funding to further develop our product candidates, including to complete Phase 3 testing of levosimendan in PH-HFpEF or to initiate or complete the imatinib Phase 3 trial. Failure to obtain this necessary capital when needed on acceptable terms, or at all, or execute on alternative strategic paths, could force us to delay, limit, reduce or terminate our clinical trials, product development efforts and business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and establishing manufacturing and sales and marketing capabilities, is expensive. We expect our research and development expenses to increase in connection with our ongoing activities. In addition, our expenses could increase beyond expectations if applicable regulatory authorities, including the FDA, require that we perform studies additional to those we currently anticipate, in which case the timing of any potential product approval may be delayed.</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2022, we had $2.1 million of cash and cash equivalents on hand. We will need substantial additional capital in order to develop our product candidates, including to complete a Phase 3 trial, and to complete the regulatory approval process and commercialization of levosimendan, imatinib, or any future product candidates. As a result, we continue to evaluate strategic alternatives, including pursuing additional public or private equity offerings, debt financings or corporate collaboration and licensing arrangements. Such funding may not be available on favorable terms, if at all.</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extent that we raise additional funds by issuing equity securities, our stockholders may experience additional significant dilution;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25"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rate of progress and cost of our clinical trials and other research and development activities;</w:t>
      </w:r>
    </w:p>
    <w:p>
      <w:pPr>
        <w:spacing w:after="0" w:line="23"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investigator sites and patients who participate and the impact that factors such as the rate of patient recruitment, the standard deviation of treatment effect, and the number of patients who have events or withdraw from therapy have on the expected timelines and the eventual required number of patients enrolled for each of our clinical programs;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regulatory approval;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collaboration, licensing or other arrangements that we may establish;</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completion of clinical and commercial-scale manufacturing activities; and</w:t>
      </w:r>
    </w:p>
    <w:p>
      <w:pPr>
        <w:spacing w:after="0" w:line="9"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establishing sales, marketing and distribution capabilities for any product candidates for which we may receive regulatory approval.</w:t>
      </w:r>
    </w:p>
    <w:p>
      <w:pPr>
        <w:sectPr>
          <w:pgSz w:w="11900" w:h="16838" w:orient="portrait"/>
          <w:cols w:equalWidth="0" w:num="1">
            <w:col w:w="11240"/>
          </w:cols>
          <w:pgMar w:left="320" w:top="125" w:right="339" w:bottom="133" w:gutter="0" w:footer="0" w:header="0"/>
        </w:sectPr>
      </w:pPr>
    </w:p>
    <w:bookmarkStart w:id="11" w:name="page12"/>
    <w:bookmarkEnd w:id="11"/>
    <w:p>
      <w:pPr>
        <w:jc w:val="both"/>
        <w:ind w:right="20"/>
        <w:spacing w:after="0" w:line="263" w:lineRule="auto"/>
        <w:rPr>
          <w:sz w:val="20"/>
          <w:szCs w:val="20"/>
          <w:color w:val="auto"/>
        </w:rPr>
      </w:pPr>
      <w:r>
        <w:rPr>
          <w:rFonts w:ascii="Arial" w:cs="Arial" w:eastAsia="Arial" w:hAnsi="Arial"/>
          <w:sz w:val="18"/>
          <w:szCs w:val="18"/>
          <w:color w:val="auto"/>
        </w:rPr>
        <w:t>We also expect to continue our evaluation of additional strategic alternatives, including a sale of our Company, merger, other business combination or recapitalization. In the event we are unable to obtain additional capital as needed or execute on other strategic alternatives, we may further delay, limit, reduce or terminate our current development efforts and business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ongoing exploration of alternative strategic paths may not result in entering into or completing transactions, when necessary, and the process of reviewing alternative strategic paths or their conclusion could adversely affect our stock price.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evaluate strategic paths to provide the resources necessary to complete our product development and maximize stockholder value. Potential strategic paths may include multiple capital raises, a sale of our Company, merger, one or more license agreements, a co-development agreement, a combination of these, or other strategic transactions. There can be no assurance, however, that our evaluation will result in transactions or other alternatives, even when deemed necessary. There is no set timetable for our strategic process and we do not intend to provide updates unless or until the Board of Directors approves a specific action or otherwise determines that disclosure is appropriate or necessary. We have shifted the anticipated launch of the imatinib Phase 3 trial in PAH beyond 2023, and the initiation of that trial and continued development of our product candidates, including completion of a Phase 3 trial of levosimendan in PH-HFpEF, depend on the outcome of our ongoing strategic process.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can be no assurance any transaction will result from the Company’s ongoing evaluation of strategic paths.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 process of reviewing alternative strategic paths may be time consuming and may involve the dedication of significant resources and may require us to incur significant costs and expenses. It could negatively impact our ability to attract, retain and motivate employees, and expose us to potential litigation in connection with this process or any resulting transaction. If we are unable to effectively manage the process, our financial condition and results of operations could be adversely affected. In addition, speculation regarding any developments related to the review of strategic alternatives and perceived uncertainties related to the future of our Company could cause our stock price to fluctuate significantly. Further, any alternative strategic paths that may be pursued and completed ultimately may not deliver the anticipated benefits or enhance stockholder value. There can be no guarantee that the process of evaluating alternative strategic paths will result in our Company entering into or completing potential transactions within the anticipated timing or at all.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spacing w:after="0" w:line="340" w:lineRule="auto"/>
        <w:rPr>
          <w:sz w:val="20"/>
          <w:szCs w:val="20"/>
          <w:color w:val="auto"/>
        </w:rPr>
      </w:pPr>
      <w:r>
        <w:rPr>
          <w:rFonts w:ascii="Arial" w:cs="Arial" w:eastAsia="Arial" w:hAnsi="Arial"/>
          <w:sz w:val="15"/>
          <w:szCs w:val="15"/>
          <w:b w:val="1"/>
          <w:bCs w:val="1"/>
          <w:i w:val="1"/>
          <w:iCs w:val="1"/>
          <w:color w:val="auto"/>
        </w:rPr>
        <w:t>In the event we do not successfully complete a strategic transaction, should this be deemed necessary,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can be no guarantee that the process to identify strategic transactions will result in successfully completed transactions when necessary. If additional transactions are not completed that enable us to continue the development of our product candidates and sustain our business operations, our Board of Directors may decide that it is in the best interest of our stockholders to dissolve our Company and liquidate our assets.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compliance with Nasdaq’s continued listing requirements could result in the delisting of our common stock.</w:t>
      </w:r>
    </w:p>
    <w:p>
      <w:pPr>
        <w:spacing w:after="0" w:line="225" w:lineRule="exact"/>
        <w:rPr>
          <w:sz w:val="20"/>
          <w:szCs w:val="20"/>
          <w:color w:val="auto"/>
        </w:rPr>
      </w:pPr>
    </w:p>
    <w:p>
      <w:pPr>
        <w:ind w:right="20" w:firstLine="607"/>
        <w:spacing w:after="0" w:line="272" w:lineRule="auto"/>
        <w:rPr>
          <w:sz w:val="20"/>
          <w:szCs w:val="20"/>
          <w:color w:val="auto"/>
        </w:rPr>
      </w:pPr>
      <w:r>
        <w:rPr>
          <w:rFonts w:ascii="Arial" w:cs="Arial" w:eastAsia="Arial" w:hAnsi="Arial"/>
          <w:sz w:val="17"/>
          <w:szCs w:val="17"/>
          <w:color w:val="auto"/>
        </w:rPr>
        <w:t>Our common stock is currently listed on The Nasdaq Capital Market. In order to maintain this listing, we must satisfy minimum financial and other requirements. On March 29, 2023, we received a notification letter from the Nasdaq Stock Market LLC (“Nasdaq”) indicating that we were not in compliance with Nasdaq Listing Rule 5550(a)(2) because the minimum bid price of our common stock on the Nasdaq Capital Market closed below $1.00 per share for 30 consecutive business days. In accordance with Nasdaq Listing Rule 5810(c)(3)(A), the Company has a compliance period of 180 calendar days, or until September 25, 2023, to regain compliance with the Bid Price Rule. If at any time before September 25, 2023, the bid price of the Company's common stock closes at $1.00 per share or more for a minimum of ten consecutive business days, Nasdaq will provide the Company with a written confirmation of compliance with the Bid Price Rule.</w:t>
      </w:r>
    </w:p>
    <w:p>
      <w:pPr>
        <w:spacing w:after="0" w:line="177"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While we intend to engage in efforts to regain compliance, and thus maintain our listing, there can be no assurance that we will be successful or continue to meet all applicable Nasdaq Capital Market requirements in the future. If our common stock were to be removed from listing with the Nasdaq Capital Market, it may be subject to the so-called “penny stock” rules. The SEC has adopted regulations that define a “penny stock” to be any equity security that has a market price per share of less than $5.00, subject to certain exceptions, such as any securities listed on a national securities exchange, which is the exception on which we currently rely. For any transaction involving a “penny stock,” unless exempt, the rules impose additional sales practice requirements on broker-dealers, subject to certain exceptions. If our common stock were delisted and determined to be a “penny stock,” a broker-dealer may find it more difficult to trade our common stock and an investor may find it more difficult to acquire or dispose of our common stock on the secondary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our common stock is delisted and there is no longer an active trading market for our shares, it may, among other things:</w:t>
      </w:r>
    </w:p>
    <w:p>
      <w:pPr>
        <w:spacing w:after="0" w:line="225"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stockholders difficulty in selling our shares without depressing the market price for the shares or selling our shares at all;</w:t>
      </w:r>
    </w:p>
    <w:p>
      <w:pPr>
        <w:sectPr>
          <w:pgSz w:w="11900" w:h="16838" w:orient="portrait"/>
          <w:cols w:equalWidth="0" w:num="1">
            <w:col w:w="11240"/>
          </w:cols>
          <w:pgMar w:left="320" w:top="125" w:right="339" w:bottom="0" w:gutter="0" w:footer="0" w:header="0"/>
        </w:sectPr>
      </w:pPr>
    </w:p>
    <w:bookmarkStart w:id="12" w:name="page13"/>
    <w:bookmarkEnd w:id="12"/>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substantially impair our ability to raise additional funds;</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a loss of institutional investor interest and fewer financing opportunities for us; and/or</w:t>
      </w:r>
    </w:p>
    <w:p>
      <w:pPr>
        <w:spacing w:after="0" w:line="9" w:lineRule="exact"/>
        <w:rPr>
          <w:rFonts w:ascii="Arial" w:cs="Arial" w:eastAsia="Arial" w:hAnsi="Arial"/>
          <w:sz w:val="18"/>
          <w:szCs w:val="18"/>
          <w:color w:val="auto"/>
        </w:rPr>
      </w:pPr>
    </w:p>
    <w:p>
      <w:pPr>
        <w:jc w:val="both"/>
        <w:ind w:left="900" w:hanging="447"/>
        <w:spacing w:after="0" w:line="25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potential breaches of representations or covenants of agreements pursuant to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delisting would also reduce the value of our equity compensation plans, which could negatively impact our ability to retain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a number of factors to cause our operating results to fluctuate on a quarterly and annual basis, which may make it difficult to predict our future performance.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84" w:lineRule="exact"/>
        <w:rPr>
          <w:sz w:val="20"/>
          <w:szCs w:val="20"/>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additional money to fund our operations for at least the next 12 months as a going concern;</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ongoing evaluation of strategic alternatives;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our current product candidates, and any product candidate which we may develop or in-license in the future;</w:t>
      </w:r>
    </w:p>
    <w:p>
      <w:pPr>
        <w:spacing w:after="0" w:line="9"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commencement, recruitment and initiation of sites, enrollment of patients, and completion of clinical testing, as well as the analysis and reporting of results from such clinical testing;</w:t>
      </w: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clinical trials of our product candidates;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obtain regulatory approval of our product candidates;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risks related to any collaborations we may enter into for our product candidates;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development;</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receive regulatory approval or commercialize our products;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liability claims and adverse events;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dependency on third-party manufacturers and CROs;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licensing or other arrangements;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our partners’ abilities, and third parties’ abilities to protect and assert intellectual property rights;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obligations under intellectual property licenses with third parties;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personnel, including our executive team, advisors and members of our Board of Directors; and</w:t>
      </w:r>
    </w:p>
    <w:p>
      <w:pPr>
        <w:spacing w:after="0" w:line="9" w:lineRule="exact"/>
        <w:rPr>
          <w:rFonts w:ascii="Arial" w:cs="Arial" w:eastAsia="Arial" w:hAnsi="Arial"/>
          <w:sz w:val="18"/>
          <w:szCs w:val="18"/>
          <w:color w:val="auto"/>
        </w:rPr>
      </w:pPr>
    </w:p>
    <w:p>
      <w:pPr>
        <w:ind w:left="900" w:right="20" w:hanging="447"/>
        <w:spacing w:after="0" w:line="26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and uncertainty in the global economy and financial markets in light of the possibility of pandemics, global financial and geopolitical uncertainties, including the Russian invasion of and war against the country of Ukraine.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losses since our inception, expect to continue to incur losses in the foreseeable future, and may never become profitable.</w:t>
      </w:r>
    </w:p>
    <w:p>
      <w:pPr>
        <w:spacing w:after="0" w:line="24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incurred losses since inception. For the years ended December 31, 2022 and 2021, we incurred net operating losses of $11.0 million and $32.7 million, respectively. We have funded our operations since September 1990 principally through the issuance of debt and equity securities and loans from stockholders.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imatinib for PAH, as well as identifying and developing other potential product candidates, and as a result, we will need to generate significant net product sales, royalty and other revenues to achieve profitability.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Strategy and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limited financial resources, so at present we are primarily focusing our resources on developing levosimendan for the treatment of PH-HFpEF, while imatinib for the treatment of PAH remains part of our portfolio. We intend to commit most of our resources to advancing levosimendan to the point it receives regulatory approval for the treatment of pulmonary hypertension in patients with associated HFpEF. Depending on the funds raised and timing of the funding, as well as on decisions made by USPTO, clinical trial results and other information revealed by competitors, and other factors, we will prioritize our funding and other resources. Pending the outcome of our strategic process, if as a consequence of the results of our planned Phase 3 trials, or the results of prior clinical trials performed using levosimendan or imatinib, we are unable to receive regulatory approval of one or both of our existing product candidates, then we may not have resources to pursue development of any other products and our business could terminate.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38" w:orient="portrait"/>
          <w:cols w:equalWidth="0" w:num="1">
            <w:col w:w="11240"/>
          </w:cols>
          <w:pgMar w:left="320" w:top="125" w:right="339" w:bottom="0" w:gutter="0" w:footer="0" w:header="0"/>
          <w:type w:val="continuous"/>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another coronavirus or similar disrupting illness, may materially and adversely affect our business and our financial results.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spread of COVID-19, including variant strains, has affected segments of the global economy and healthcare systems and has previously had an adverse impact on our business operations. COVID-19 or a similar global pandemic could in the future, directly or indirectly, materially and adversely affect our operations, including the potential interruption of our clinical trial activities and our supply chain. There could be continuing or new effects of COVID-19 or similar disrupting illnesses to the processes, timelines, resourcing, and other aspects of operations at FDA or other health authorities, which could result in delays of reviews and approvals, including with respect to our product candidates.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the continued spread of COVID-19 or similar disrupting illnesses could adversely affect our future clinical trial operations in the United States and elsewhere, including our ability to recruit and retain patients and principal investigators and site staff who, as healthcare providers, may have heightened exposure to respiratory illnesses if an outbreak occurs in their geography. The spread of COVID-19, or another infectious disease, could also negatively affect the operations at our third-party manufacturers, which could result in delays or disruptions in the supply of our product candidates.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develop and commercialize our product candidates.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historically operated with a limited number of employees. As of the date of this report, we have five full-time employees and one part-time employee. Therefore, institutional knowledge is concentrated within a small number of employees. Our success depends in part on our continued ability to attract, retain and motivate highly qualified management, clinical and scientific personnel to continue the development, regulatory approval and commercialization of our product candidates. We will need to hire or contract with additional qualified personnel with expertise in preclinical testing, clinical research and testing, government regulation, formulation and manufacturing, and sales and marketing. Additionally, our future success is highly dependent upon the contributions of our senior management team. The loss of services of any of these individuals could delay or prevent the successful development of our product pipeline, completion of our planned clinical trials or the commercialization of our product candidates.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competition from other companies and organizations for qualified personnel. Other companies and organizations with which we compete for personnel may have greater financial and other resources and different risk profiles than we do, and a history of successful development and commercialization of their product candidates. Replacing employees and attracting sufficiently skilled new employees may be difficult and costly, and we may not have other personnel with the capacity to assume all the responsibilities of an existing employee upon his or her departure or to take on the duties necessary to continue growing our company and pursuing our business strategy. If we cannot attract and retain skilled personnel, as needed, we may not achieve our development and other goals.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success of our business will depend on our ability to develop and maintain relationships with respected service providers and industry-leading consultants and advisors. If we cannot develop and maintain such relationships, as needed, the rate and success at which we can develop and commercialize product candidates may be limited. In addition, our insourcing and outsourcing strategies, which have included engaging consultants to manage core administrative and operational functions, may subject us to scrutiny under labor laws and regulations, which may divert management time and attention and have an adverse effect on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Drug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approved drug products for sale, and we cannot guarantee that we will ever have marketable drug products.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candidates in the United States until we receive approval of a New Drug Application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also require us to conduct additional preclinical studies or clinical trials for our product candidates either prior to or post-approval, or it may object to elements of our clinical development program.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conduct additional clinical trials, which are expensive and time consuming, and the outcome of the trials is uncertain.</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commit a substantial portion of our financial and business resources in the short-term to completing a Phase 3 trial of levosimendan and advancing this product to regulatory approval for use in PH-HFpEF, and potentially other indications. We may in future commit resources to clinical trials for our other product candidates, including imatinib.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assure you that we will be able to complete our clinical trials successfully or obtain FDA or other governmental or regulatory approval of our product candidates, or that such approval, if obtained, will not include limitations on the indicated uses for which our product candidates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business and financial setbacks.</w:t>
      </w:r>
    </w:p>
    <w:p>
      <w:pPr>
        <w:sectPr>
          <w:pgSz w:w="11900" w:h="16838" w:orient="portrait"/>
          <w:cols w:equalWidth="0" w:num="1">
            <w:col w:w="11240"/>
          </w:cols>
          <w:pgMar w:left="320" w:top="341"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may not accept our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87" w:lineRule="exact"/>
        <w:rPr>
          <w:sz w:val="20"/>
          <w:szCs w:val="20"/>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safety and potential advantages of our product candidates;</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 if any;</w:t>
      </w:r>
    </w:p>
    <w:p>
      <w:pPr>
        <w:spacing w:after="0" w:line="9"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w:t>
      </w: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manufacturing, marketing and distribution support;</w:t>
      </w:r>
    </w:p>
    <w:p>
      <w:pPr>
        <w:spacing w:after="0" w:line="9"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of levosimendan, imatinib and any other product candidates, once approved;</w:t>
      </w: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Nonfinal results from our clinical trials announced or published from time to time on an interim, preliminary, or “top-line” basis, and conclusions that may be drawn from such results, may change as more patient data become available, and these results are subject to audit and verification procedures that could result in material changes in the final data.</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and treatment extends, and more patient experience is observed.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and complete data are available.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Pending the outcome of our strategic process, we may enter into collaborations with third parties to develop and commercialize future product candidates. Our dependence on future partners for development and commercialization of our product candidates would subject us to a number of risks, including the following:</w:t>
      </w:r>
    </w:p>
    <w:p>
      <w:pPr>
        <w:spacing w:after="0" w:line="184" w:lineRule="exact"/>
        <w:rPr>
          <w:sz w:val="20"/>
          <w:szCs w:val="20"/>
          <w:color w:val="auto"/>
        </w:rPr>
      </w:pPr>
    </w:p>
    <w:p>
      <w:pPr>
        <w:ind w:left="900" w:hanging="447"/>
        <w:spacing w:after="0" w:line="25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partners may devote to the development or commercialization of our product candidates or to their marketing and distribution;</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ind w:left="900" w:right="20" w:hanging="447"/>
        <w:spacing w:after="0" w:line="26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partners may experience financial difficulties;</w:t>
      </w:r>
    </w:p>
    <w:p>
      <w:pPr>
        <w:spacing w:after="0" w:line="9" w:lineRule="exact"/>
        <w:rPr>
          <w:rFonts w:ascii="Arial" w:cs="Arial" w:eastAsia="Arial" w:hAnsi="Arial"/>
          <w:sz w:val="18"/>
          <w:szCs w:val="18"/>
          <w:color w:val="auto"/>
        </w:rPr>
      </w:pPr>
    </w:p>
    <w:p>
      <w:pPr>
        <w:ind w:left="900" w:hanging="447"/>
        <w:spacing w:after="0" w:line="28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spacing w:after="0" w:line="1" w:lineRule="exact"/>
        <w:rPr>
          <w:rFonts w:ascii="Arial" w:cs="Arial" w:eastAsia="Arial" w:hAnsi="Arial"/>
          <w:sz w:val="16"/>
          <w:szCs w:val="16"/>
          <w:color w:val="auto"/>
        </w:rPr>
      </w:pPr>
    </w:p>
    <w:p>
      <w:pPr>
        <w:ind w:left="900" w:hanging="447"/>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partner’s business strategy may adversely affect a partner’s willingness or ability to meet its obligations under any arrangement;</w:t>
      </w:r>
    </w:p>
    <w:p>
      <w:pPr>
        <w:ind w:left="900" w:hanging="447"/>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partner could independently move forward with a competing product candidate developed either independently or in collaboration with others, including our competitors; and</w:t>
      </w:r>
    </w:p>
    <w:p>
      <w:pPr>
        <w:ind w:left="900" w:hanging="447"/>
        <w:spacing w:after="0" w:line="26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collaborations with our partners may be terminated or allowed to expire, which would delay the development and may increase the cost of developing our product candidates.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Delays in the enrollment and completion of clinical testing could significantly affect our ability to gain FDA approval of current product candidates and could significantly increase our future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p>
    <w:p>
      <w:pPr>
        <w:spacing w:after="0" w:line="176" w:lineRule="exact"/>
        <w:rPr>
          <w:sz w:val="20"/>
          <w:szCs w:val="20"/>
          <w:color w:val="auto"/>
        </w:rPr>
      </w:pPr>
    </w:p>
    <w:p>
      <w:pPr>
        <w:ind w:left="900" w:hanging="447"/>
        <w:spacing w:after="0" w:line="25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trial sites, the terms of which can be subject to extensive negotiation and may vary significantly among trial sites;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to conduct a clinical trial at numerous prospective sites;</w:t>
      </w:r>
    </w:p>
    <w:p>
      <w:pPr>
        <w:sectPr>
          <w:pgSz w:w="11900" w:h="16838" w:orient="portrait"/>
          <w:cols w:equalWidth="0" w:num="1">
            <w:col w:w="11240"/>
          </w:cols>
          <w:pgMar w:left="320" w:top="341" w:right="339" w:bottom="0" w:gutter="0" w:footer="0" w:header="0"/>
        </w:sectPr>
      </w:pPr>
    </w:p>
    <w:bookmarkStart w:id="15" w:name="page16"/>
    <w:bookmarkEnd w:id="15"/>
    <w:p>
      <w:pPr>
        <w:ind w:left="900" w:hanging="447"/>
        <w:spacing w:after="0" w:line="25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and supplying clinical trial material on a timely basis;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collecting, analyzing and reporting final data from the clinical trials; and</w:t>
      </w:r>
    </w:p>
    <w:p>
      <w:pPr>
        <w:spacing w:after="0" w:line="9" w:lineRule="exact"/>
        <w:rPr>
          <w:rFonts w:ascii="Arial" w:cs="Arial" w:eastAsia="Arial" w:hAnsi="Arial"/>
          <w:sz w:val="18"/>
          <w:szCs w:val="18"/>
          <w:color w:val="auto"/>
        </w:rPr>
      </w:pPr>
    </w:p>
    <w:p>
      <w:pPr>
        <w:ind w:left="900" w:right="20" w:hanging="447"/>
        <w:spacing w:after="0" w:line="26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epidemic which might cause site closures because of infected staff or cause patients to avoid or be unable to travel to healthcare facilities and physicians’ offices unless due to a health emergency;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addition, a clinical trial may be suspended or terminated by us, the FDA or other regulatory authorities due to a number of factors, including:</w:t>
      </w:r>
    </w:p>
    <w:p>
      <w:pPr>
        <w:spacing w:after="0" w:line="237"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inspection of the clinical trial operations or trial sites by the FDA or other regulatory authorities resulting in the imposition of a clinical hold;</w:t>
      </w:r>
    </w:p>
    <w:p>
      <w:pPr>
        <w:spacing w:after="0" w:line="20" w:lineRule="exact"/>
        <w:rPr>
          <w:rFonts w:ascii="Arial" w:cs="Arial" w:eastAsia="Arial" w:hAnsi="Arial"/>
          <w:sz w:val="17"/>
          <w:szCs w:val="17"/>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trial presents unacceptable health risks; and</w:t>
      </w:r>
    </w:p>
    <w:p>
      <w:pPr>
        <w:spacing w:after="0" w:line="9"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including unforeseen costs due to enrollment delays, requirements to conduct additional trials and studies, and increased expenses associated with the services of our CROs and other third parties.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Intense competition might render our cardiovascular and pulmonary product candidates noncompetitive or obsolete.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Competition in the pharmaceutical industry in general and in our therapeutic areas in particular is intense and characterized by extensive research efforts and rapid technological progress. Technological developments by competitors, regulatory approval for marketing competitive products, including potential generic or over-the-counter products, or superior marketing resources possessed by competitors could adversely affect the commercial potential of our cardiovascular and pulmonary disease product candidates and could have a material adverse effect on our future revenue and results of operations. We believe that there are numerous pharmaceutical and biotechnology companies, as well as academic research groups throughout the world, engaged in research and development efforts with respect to pharmaceutical products targeted at cardiovascular and pulmonary diseases and conditions addressed by our product pipeline. Developments by others might render our product pipeline obsolete or noncompetitive. Competitors might be able to complete the development and regulatory approval process sooner and, therefore, market their cardiovascular and pulmonary disease products earlier than we can.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current competitors have significant financial, marketing and personnel resources and development capabilities. For example, many large, well-capitalized companies already offer cardiovascular and pulmonary products and services in the United States and Europe that target the indications for which our product candidates are being developed. Currently, as an example, twelve vasodilators are marketed in the U.S. for use in patients with PAH, and sales teams from Janssen, Pfizer, Bayer, United Therapeutics, and other large companies with marketing and sales capabilities represent these products in the specialized care centers where the disease is treated.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activities are and will continue to be subject to extensive government regulation, which is expensive and time consuming, and we will not be able to sell our products without regulatory approval.</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development, marketing and distribution of levosimendan and, potentially in the future, imatinib, are, and will continue to be, subject to extensive regulation, monitoring and approval by the FDA and other regulatory agencies. There are significant risks at each stage of the regulatory scheme.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approval stage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product approval stage, we attempt to prove the safety and efficacy of our product candidate for its indicated uses. There are numerous problems that could arise during this stage, including:</w:t>
      </w:r>
    </w:p>
    <w:p>
      <w:pPr>
        <w:spacing w:after="0" w:line="170" w:lineRule="exact"/>
        <w:rPr>
          <w:sz w:val="20"/>
          <w:szCs w:val="20"/>
          <w:color w:val="auto"/>
        </w:rPr>
      </w:pPr>
    </w:p>
    <w:p>
      <w:pPr>
        <w:ind w:left="1120" w:hanging="559"/>
        <w:spacing w:after="0" w:line="258"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obtained from laboratory testing and clinical trials are susceptible to varying interpretations, which could delay, limit or prevent FDA and other regulatory approvals;</w:t>
      </w:r>
    </w:p>
    <w:p>
      <w:pPr>
        <w:spacing w:after="0" w:line="1" w:lineRule="exact"/>
        <w:rPr>
          <w:rFonts w:ascii="Arial" w:cs="Arial" w:eastAsia="Arial" w:hAnsi="Arial"/>
          <w:sz w:val="18"/>
          <w:szCs w:val="18"/>
          <w:color w:val="auto"/>
        </w:rPr>
      </w:pPr>
    </w:p>
    <w:p>
      <w:pPr>
        <w:ind w:left="1120" w:hanging="55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events could cause the FDA and other regulatory authorities to halt trials;</w:t>
      </w:r>
    </w:p>
    <w:p>
      <w:pPr>
        <w:spacing w:after="0" w:line="9" w:lineRule="exact"/>
        <w:rPr>
          <w:rFonts w:ascii="Arial" w:cs="Arial" w:eastAsia="Arial" w:hAnsi="Arial"/>
          <w:sz w:val="18"/>
          <w:szCs w:val="18"/>
          <w:color w:val="auto"/>
        </w:rPr>
      </w:pPr>
    </w:p>
    <w:p>
      <w:pPr>
        <w:ind w:left="1120" w:hanging="559"/>
        <w:spacing w:after="0" w:line="250"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any time, the FDA and other regulatory agencies could change policies and regulations that could result in delay and perhaps rejection of our products;</w:t>
      </w:r>
    </w:p>
    <w:p>
      <w:pPr>
        <w:ind w:left="1120" w:hanging="559"/>
        <w:spacing w:after="0" w:line="250"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prolonged government shutdown occurs, it could significantly impact the ability of the FDA to timely review and process our regulatory submissions; and</w:t>
      </w:r>
    </w:p>
    <w:p>
      <w:pPr>
        <w:jc w:val="both"/>
        <w:ind w:left="1120" w:hanging="559"/>
        <w:spacing w:after="0" w:line="255"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 after extensive testing and clinical trials, and receiving agreements and reassurances from FDA, EMA, and others, as to their future position on a dataset or result to be generated from a trial the design of which they have weighed in on, there is no assurance that regulatory approval will ever be obtained for any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Post-commercialization stage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ectPr>
          <w:pgSz w:w="11900" w:h="16838" w:orient="portrait"/>
          <w:cols w:equalWidth="0" w:num="1">
            <w:col w:w="11240"/>
          </w:cols>
          <w:pgMar w:left="320" w:top="125" w:right="339" w:bottom="132"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imatinib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receive all of the anticipated market exclusivity benefits of imatinib’s orphan drug designation, if we prioritize imatinib development in the future.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TNX-201, our proprietary formulation of imatinib mesylate, a kinase inhibitor, received Orphan Drug Designation from the FDA in the second quarter of 2020. Orphan Drug Designation may provide market exclusivity in the United States for seven years if (i) imatinib receives market approval before a competitor using a similar mechanism for the same indication, (ii) we are able to produce sufficient supply to meet demand in the marketplace, and (iii) another product with the same active ingredient is not subsequently deemed clinically superior.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Obtaining an Orphan Drug Designation from the FDA may not effectively protect our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Pending the outcome of our ongoing strategic process, even after products are commercialized, we would expect to spend considerable time and money complying with federal and state laws and regulations governing their sale, and, if we are unable to fully comply with such laws and regulations, we could face substantial penalties.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 care providers, physicians and others would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87" w:lineRule="exact"/>
        <w:rPr>
          <w:sz w:val="20"/>
          <w:szCs w:val="20"/>
          <w:color w:val="auto"/>
        </w:rPr>
      </w:pPr>
    </w:p>
    <w:p>
      <w:pPr>
        <w:jc w:val="both"/>
        <w:ind w:left="900" w:hanging="447"/>
        <w:spacing w:after="0" w:line="287"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spacing w:after="0" w:line="2" w:lineRule="exact"/>
        <w:rPr>
          <w:rFonts w:ascii="Arial" w:cs="Arial" w:eastAsia="Arial" w:hAnsi="Arial"/>
          <w:sz w:val="16"/>
          <w:szCs w:val="16"/>
          <w:color w:val="auto"/>
        </w:rPr>
      </w:pPr>
    </w:p>
    <w:p>
      <w:pPr>
        <w:jc w:val="both"/>
        <w:ind w:left="900" w:hanging="447"/>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1"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imposes obligations, including mandatory contractual terms, with respect to safeguarding the privacy, security and transmission of individually identifiable health information;</w:t>
      </w:r>
    </w:p>
    <w:p>
      <w:pPr>
        <w:ind w:left="900" w:hanging="447"/>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Social Security Act contains numerous provisions allowing the imposition of a civil monetary penalty, a monetary assessment, exclusion from the Medicare and Medicaid programs, or some combination of these penalties; and</w:t>
      </w:r>
    </w:p>
    <w:p>
      <w:pPr>
        <w:jc w:val="both"/>
        <w:ind w:left="900" w:hanging="447"/>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many states have analogous state laws and regulations, such as state anti-kickback and false claims laws, which, in some cases, impose more strict requirements than the federal laws and may require pharmaceutical companies to comply with certain price reporting and other compliance requirements.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healthcare reform measures and reimbursement policies that, if not favorable to our products, could hinder or prevent our products’ commercial success, if any of our product candidates are approved.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Pending the outcome of our ongoing strategic process, our ability to successfully commercialize our products will depend in part on the extent to which governmental authorities, such as Medicare, private health insurers and other organizations establish what we believe to be appropriate coverage and reimbursement for our approved products. The unavailability or inadequacy of third-party payer coverage and reimbursement could negatively affect the market acceptance of our product candidates and the future revenues we may expect to receive from any approved products. The commercial success of our</w:t>
      </w:r>
    </w:p>
    <w:p>
      <w:pPr>
        <w:sectPr>
          <w:pgSz w:w="11900" w:h="16838" w:orient="portrait"/>
          <w:cols w:equalWidth="0" w:num="1">
            <w:col w:w="11240"/>
          </w:cols>
          <w:pgMar w:left="320" w:top="125" w:right="339" w:bottom="0" w:gutter="0" w:footer="0" w:header="0"/>
        </w:sectPr>
      </w:pPr>
    </w:p>
    <w:bookmarkStart w:id="17" w:name="page18"/>
    <w:bookmarkEnd w:id="17"/>
    <w:p>
      <w:pPr>
        <w:jc w:val="both"/>
        <w:spacing w:after="0" w:line="296" w:lineRule="auto"/>
        <w:rPr>
          <w:sz w:val="20"/>
          <w:szCs w:val="20"/>
          <w:color w:val="auto"/>
        </w:rPr>
      </w:pPr>
      <w:r>
        <w:rPr>
          <w:rFonts w:ascii="Arial" w:cs="Arial" w:eastAsia="Arial" w:hAnsi="Arial"/>
          <w:sz w:val="16"/>
          <w:szCs w:val="16"/>
          <w:color w:val="auto"/>
        </w:rPr>
        <w:t>product candidates, if approved, will depend in part on the extent to which the costs of such products will be covered by third-party payers, such as government health programs, commercial insurance and other organizations. Third-party payers are increasingly challenging the prices and examining the medical necessity and cost-effectiveness of medical products and services, in addition to their safety and efficacy. If these third-party payers do not consider our products to be cost-effective compared to other therapies, we may not obtain coverage for our products after approval as a benefit under the third-party payers’ plans or, even if we do, the level of coverage or payment may not be sufficient to allow us to sell our products on a profitable basis.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uncertainty exists as to the reimbursement status for newly approved drug products, including coding, coverage and payment. There is no uniform policy requirement for coverage and reimbursement for drug products among third-party payers in the United States; therefore, coverage and reimbursement for drug products can differ significantly from payer to payer. The coverage determination process is often a time-consuming and costly process that will require us to provide scientific and clinical support for the use of our products to each payer separately, with no assurance that coverage and adequate payment will be applied consistently or obtained. The process for determining whether a payer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healthcare providers or less profitable than alternative treatments or if administrative burdens make our products less desirable to use. Third-party payer reimbursement to providers of our products, if approved, may be subject to a bundled payment that also includes the procedure of administering our products or third-party payers may require providers to perform additional patient testing to justify the use of our products. To the extent there is no separate payment for our products, there may be further uncertainty as to the adequacy of reimbursement amounts.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containment of healthcare costs is a priority of federal, state and foreign governments and the prices of drug products have been a focus in this effort. The continuing efforts of government, private insurance companies and other organizations to contain or reduce costs of healthcare may adversely affect our ability to set as high a price for our products as we might otherwise and the rate and scope of adoption of our products by healthcare providers. We expect that federal, state and local governments in the United States, as well as governments in other countries, will continue to consider legislation directed at lowering the total cost of healthcare. In addition, in certain foreign markets, the pricing of drug products is subject to government control and reimbursement may in some cases be unavailable or insufficient. It is uncertain whether and how future legislation, whether domestic or abroad, could affect prospects for our product candidates or what actions governmental or private payers for healthcare treatment and services may take in response to any such healthcare reform proposals or legislation. Adoption of price controls and cost-containment measures, and adoption of more restrictive policies in jurisdictions with existing controls and measures, may prevent or limit our ability to generate revenue, attain profitability or commercialize our product 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potential courses of action are unpredictable and the potential impact of new legislation on our operations and financial position is uncertain, but may result in more rigorous coverage criteria, lower reimbursement and additional downward pressure on the price we may receive for an approved product. Any reduction in reimbursement from Medicare or other government-funded programs may result in a similar reduction in payments from private payers. The implementation of cost containment measures or other healthcare reforms may prevent us from being able to generate revenue, attain profitability or commercialize our products, if approved.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distribution rights in the United States and Canada for levosimendan and worldwide distribution rights to our formulation of imatinib, and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171" w:lineRule="exact"/>
        <w:rPr>
          <w:sz w:val="20"/>
          <w:szCs w:val="20"/>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products and any product candidates that we may develop;</w:t>
      </w:r>
    </w:p>
    <w:p>
      <w:pPr>
        <w:spacing w:after="0" w:line="23" w:lineRule="exact"/>
        <w:rPr>
          <w:rFonts w:ascii="Arial" w:cs="Arial" w:eastAsia="Arial" w:hAnsi="Arial"/>
          <w:sz w:val="18"/>
          <w:szCs w:val="18"/>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120" w:hanging="559"/>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maintain limited product liability insurance coverage for our clinical trials in the total amount of $5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ectPr>
          <w:pgSz w:w="11900" w:h="16838" w:orient="portrait"/>
          <w:cols w:equalWidth="0" w:num="1">
            <w:col w:w="11240"/>
          </w:cols>
          <w:pgMar w:left="320" w:top="125" w:right="339" w:bottom="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deficiencies in our cyber-security.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historically, and pending the outcome of our ongoing strategic process, we will continue to rely significantly on third parties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currently employ personnel or possess the facilities necessary to conduct many of the activities associated with our development programs. We have historically, and pending the outcome of our strategic process, we will continue to engage consultants, advisors, CROs and others to assist in the design and conduct of nonclinical and clinical studies of our product candidates, with interpretation of the results of those studies and with regulatory activities and expect to continue to outsource all or a significant amount of such activities. As a result, many important aspects of our development programs are and will continue to be outside our direct control and our third-party service providers may not perform their activities as required or expected, including the maintenance of Good Laboratory Practices (“GLP”) or Good Clinical Practices (“GCP”) compliance, which are ultimately our responsibility to ensure. Further, such third parties may not be as committed to the success of our programs as our own employees and, therefore, may not devote the same time, thoughtfulness, or creativity to completing projects or problem-solving as our own employees would. To the extent we are unable to successfully manage the performance of third-party service providers, our business may be adversely affected.</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CROs we engage or may engage to execute our clinical studies play a significant role in the conduct of the studies, including the collection and analysis of study data, and we likely will depend on CROs and clinical investigators to conduct future clinical studies and to assist in analyzing data from completed studies and developing regulatory strategies for our product candidates. Individuals working at the CROs with which we contract, as well as investigators at the sites at which our studies are conducted, are not our employees, and we have limited control over the amount or timing of resources that they devote to their programs. If our CROs, study investigators, and/or third-party sponsors fail to devote sufficient time and resources to studies of our product candidates, if we and/or our CROs do not comply with all GLP and GCP regulatory and contractual requirements, or if their performance is substandard, it could adversely affect the development of our product candidates.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third parties we engage may have relationships with other commercial entities, some of which may compete with us. Through intentional or unintentional means, our competitors may benefit from lessons learned on the project that could ultimately harm our competitive position. Moreover, if a CRO fails to properly, or at all, perform our activities during a clinical study, we may not be able to enter into arrangements with alternative CROs on acceptable terms or in a timely manner, or at all. Switching CROs may increase costs and divert management time and attention. In addition, there likely would be a transition period before a new CRO commences work. These challenges could result in delays in the commencement or completion of our clinical studies, which could materially impact our ability to meet our desired and/or announced development timelines and have a material adverse impact on our business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formulate and manufacture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own or operate any manufacturing facilities for the clinical- or commercial-scale production of our products.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terms of our license for levosimendan, Orion is at present our sole manufacturing source for TNX-103; should they opt not to provide us the product, our license agreement provides for 24 months’ notice to Tenax of same, to allow an alternative manufacturer to be brought onboard. We might engage other third-party suppliers and CMOs for the supply and manufacture of TNX-102, or other formulations we might develop.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avoid disruption of our business. If we cannot obtain an alternate manufacturer in a timely manner, we would experience a significant interruption in supply of levosimendan, which could negatively affect our financial condition, results of operations and cash flows.</w:t>
      </w:r>
    </w:p>
    <w:p>
      <w:pPr>
        <w:sectPr>
          <w:pgSz w:w="11900" w:h="16838" w:orient="portrait"/>
          <w:cols w:equalWidth="0" w:num="1">
            <w:col w:w="11240"/>
          </w:cols>
          <w:pgMar w:left="320" w:top="557" w:right="339" w:bottom="1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To potentially manufacture imatinib in the future, we have contracted with various third-party suppliers and clinical manufacturing organizations (“CMOs”) making us highly dependent on these CMOs. We do not at present have alternative CMOs planned or contracted to back up our primary vendors of clinical trial material or, if approved, commercial supply material. Identification of and discussions with other CMOs may be protracted and/or unsuccessful, or these new CMOs may be unsuccessful in producing the same results as the current primary CMOs producing the material. Therefore, if our primary CMOs become unable or unwilling to perform their required activities, we could experience protracted delays or interruptions in the supply of clinical trial material and, ultimately, product for commercial sale, which would materially and adversely affect our development programs, commercial activities, operating results and financial condition. In addition, the FDA or regulatory authorities outside of the United States may require us to have an alternate manufacturer of a drug product before approving any product candidate for marketing and sale in the United States or abroad. Securing such alternate manufacturer, if possible, could result in considerable additional time and cost prior to approval.</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have no marketing capabilities and no sales organization. Pending the outcome of our ongoing strategic process, if we are unable to establish sales and marketing capabilities on our own or through third parties, we will be unable to successfully commercialize our products, if approved, or generate product revenue.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Pending the outcome of our strategic process, to commercialize our products, if approved, in the United States and other jurisdictions in which we may seek approvals, we must build our marketing, sales, managerial and other non-technical capabilities or make arrangements with third parties to perform these services, and we may not be successful in doing so. We have not decided upon a commercialization strategy in these areas. We have no experience in the sale and marketing of approved medical products and marketing the licensing of such products before FDA or other regulatory approval.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78" w:lineRule="exact"/>
        <w:rPr>
          <w:sz w:val="20"/>
          <w:szCs w:val="20"/>
          <w:color w:val="auto"/>
        </w:rPr>
      </w:pPr>
    </w:p>
    <w:p>
      <w:pPr>
        <w:ind w:left="1120" w:hanging="559"/>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120" w:hanging="559"/>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our products;</w:t>
      </w:r>
    </w:p>
    <w:p>
      <w:pPr>
        <w:spacing w:after="0" w:line="9" w:lineRule="exact"/>
        <w:rPr>
          <w:rFonts w:ascii="Arial" w:cs="Arial" w:eastAsia="Arial" w:hAnsi="Arial"/>
          <w:sz w:val="18"/>
          <w:szCs w:val="18"/>
          <w:color w:val="auto"/>
        </w:rPr>
      </w:pPr>
    </w:p>
    <w:p>
      <w:pPr>
        <w:ind w:left="1120" w:hanging="559"/>
        <w:spacing w:after="0" w:line="250"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1120" w:hanging="559"/>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sustaining an independent sales and marketing organization.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92" w:lineRule="exact"/>
        <w:rPr>
          <w:sz w:val="20"/>
          <w:szCs w:val="20"/>
          <w:color w:val="auto"/>
        </w:rPr>
      </w:pPr>
    </w:p>
    <w:p>
      <w:pPr>
        <w:ind w:left="1120" w:hanging="55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our products or product candidates;</w:t>
      </w:r>
    </w:p>
    <w:p>
      <w:pPr>
        <w:spacing w:after="0" w:line="23" w:lineRule="exact"/>
        <w:rPr>
          <w:rFonts w:ascii="Arial" w:cs="Arial" w:eastAsia="Arial" w:hAnsi="Arial"/>
          <w:sz w:val="18"/>
          <w:szCs w:val="18"/>
          <w:color w:val="auto"/>
        </w:rPr>
      </w:pPr>
    </w:p>
    <w:p>
      <w:pPr>
        <w:ind w:left="1120" w:hanging="559"/>
        <w:spacing w:after="0" w:line="250"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distributors or collaborators may devote to the commercialization of our product candidates;</w:t>
      </w:r>
    </w:p>
    <w:p>
      <w:pPr>
        <w:ind w:left="1120" w:hanging="55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distributors or collaborators may experience financial difficulties;</w:t>
      </w:r>
    </w:p>
    <w:p>
      <w:pPr>
        <w:spacing w:after="0" w:line="9" w:lineRule="exact"/>
        <w:rPr>
          <w:rFonts w:ascii="Arial" w:cs="Arial" w:eastAsia="Arial" w:hAnsi="Arial"/>
          <w:sz w:val="18"/>
          <w:szCs w:val="18"/>
          <w:color w:val="auto"/>
        </w:rPr>
      </w:pPr>
    </w:p>
    <w:p>
      <w:pPr>
        <w:ind w:left="1120" w:hanging="559"/>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distributors or collaborators may not devote sufficient time to the marketing and sales of our products; and</w:t>
      </w:r>
    </w:p>
    <w:p>
      <w:pPr>
        <w:spacing w:after="0" w:line="9" w:lineRule="exact"/>
        <w:rPr>
          <w:rFonts w:ascii="Arial" w:cs="Arial" w:eastAsia="Arial" w:hAnsi="Arial"/>
          <w:sz w:val="18"/>
          <w:szCs w:val="18"/>
          <w:color w:val="auto"/>
        </w:rPr>
      </w:pPr>
    </w:p>
    <w:p>
      <w:pPr>
        <w:ind w:left="1120" w:hanging="559"/>
        <w:spacing w:after="0" w:line="260"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implement our own sales and marketing capability or are unable to contract with one or more third parties for such services on acceptable terms or at all, we may not be able to successfully commercialize our products in certain markets. Any failure or delay in the development of our internal or external sales, marketing and distribution capabilities would adversely impact the commercialization of our products. If we are not successful in commercializing our products, either on our own or through collaborations with one or more third parties, our future product revenue will suffer and we would incur significant additional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obtaining and maintaining effective patent and other intellectual property protection for our product candidates and proprietary technology</w:t>
      </w:r>
      <w:r>
        <w:rPr>
          <w:rFonts w:ascii="Arial" w:cs="Arial" w:eastAsia="Arial" w:hAnsi="Arial"/>
          <w:sz w:val="18"/>
          <w:szCs w:val="18"/>
          <w:b w:val="1"/>
          <w:bCs w:val="1"/>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success will depend in part on obtaining and maintaining effective patent protection and other intellectual property protection of our product candidates and the methods used to manufacture them, as well as successfully defending these patents against third-party challenges. Our ability to stop third parties from making, using, selling, offering to sell or importing our products, if any, will be dependent upon the extent to which we have rights under valid and enforceable patents or trade secrets that cover these activities.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pursuing a multi-faceted IP strategy for levosimendan that includes filing patent applications in the U.S. and Canada that, if granted, could protect various uses and formulations of levosimendan In January 2022, the USPTO granted Tenax Therapeutics a patent protecting claims for different uses of various cyclodextrin-based subcutaneous formulations of levosimendan, including a claim for its use in the treatment of PH-HFpEF patients. In addition, we received in March 2023 another patent protecting the use of levosimendan in treatment of PH-HFpEF.</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strategy to maximize market exclusivity for imatinib relies on two forms of exclusivity. First, we have been granted Orphan Drug Designation for the treatment of PAH by the FDA which would provide seven years of regulatory exclusivity in the U.S. if our imatinib formulation is the first to receive FDA approval for PAH. In addition, we expect to file one or more patent applications to cover patentable subject matter that may result from our imatinib development. If granted, a patent would provide protection for 20 years from its filing date.</w:t>
      </w:r>
    </w:p>
    <w:p>
      <w:pPr>
        <w:sectPr>
          <w:pgSz w:w="11900" w:h="16838" w:orient="portrait"/>
          <w:cols w:equalWidth="0" w:num="1">
            <w:col w:w="11240"/>
          </w:cols>
          <w:pgMar w:left="320" w:top="125" w:right="339" w:bottom="135"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less certain still. Changes in either the patent laws or in interpretations of patent laws in the United States and other countries may diminish the value of our intellectual property. Accordingly, we cannot predict the breadth of claims that may be allowed or enforced in the patents we own. Further, if any of our patents are deemed invalid and unenforceable, it could impact our ability to commercialize or license our technology.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0" w:lineRule="exact"/>
        <w:rPr>
          <w:sz w:val="20"/>
          <w:szCs w:val="20"/>
          <w:color w:val="auto"/>
        </w:rPr>
      </w:pPr>
    </w:p>
    <w:p>
      <w:pPr>
        <w:ind w:left="900" w:right="260" w:hanging="447"/>
        <w:spacing w:after="0" w:line="25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compositions or formulations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issued patents or pending patent applications;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9" w:lineRule="exact"/>
        <w:rPr>
          <w:rFonts w:ascii="Arial" w:cs="Arial" w:eastAsia="Arial" w:hAnsi="Arial"/>
          <w:sz w:val="18"/>
          <w:szCs w:val="18"/>
          <w:color w:val="auto"/>
        </w:rPr>
      </w:pPr>
    </w:p>
    <w:p>
      <w:pPr>
        <w:ind w:left="900" w:right="80" w:hanging="447"/>
        <w:spacing w:after="0" w:line="250"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competitive advantages, or may be held invalid or unenforceable as a result of legal challenges by third parties;</w:t>
      </w: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policy is to enter into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78"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 or</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would have a material adverse effect on our business and competitive position.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w:t>
      </w:r>
    </w:p>
    <w:p>
      <w:pPr>
        <w:sectPr>
          <w:pgSz w:w="11900" w:h="16838" w:orient="portrait"/>
          <w:cols w:equalWidth="0" w:num="1">
            <w:col w:w="11240"/>
          </w:cols>
          <w:pgMar w:left="320" w:top="125" w:right="339" w:bottom="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infringe or be alleged to infringe intellectual property rights of third parties.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has been volatile, and may continue to be volatile, which may subject us to securities class action litigation in the future.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price has in the past been, and is likely to be in the future, volatile. The stock market in general, and the market for biopharmaceutical companies in particular,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87"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status and/or results of our clinical trials;</w:t>
      </w:r>
    </w:p>
    <w:p>
      <w:pPr>
        <w:sectPr>
          <w:pgSz w:w="11900" w:h="16838" w:orient="portrait"/>
          <w:cols w:equalWidth="0" w:num="1">
            <w:col w:w="11240"/>
          </w:cols>
          <w:pgMar w:left="320" w:top="125" w:right="339" w:bottom="0" w:gutter="0" w:footer="0" w:header="0"/>
        </w:sectPr>
      </w:pPr>
    </w:p>
    <w:bookmarkStart w:id="22" w:name="page23"/>
    <w:bookmarkEnd w:id="22"/>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status of ongoing litigation;</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actions and decisions by our collaborators or partners;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status of our search and selection of future management and leadership; and</w:t>
      </w:r>
    </w:p>
    <w:p>
      <w:pPr>
        <w:spacing w:after="0" w:line="9"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 including as a result of epidemics or other disruptive events broadly affecting society, and as a result of geopolitical uncertainties, including the Russian invasion of and war against the country of Ukraine.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provisions in our Certificate of Incorporation, as amended (the “Charter”), and our Third Amended and Restated Bylaws (the “Bylaws”) may make it difficult for a third party to acquire, or attempt to acquire, control of the Company, even if a change in control was considered favorable by the stockholders. For example, our Board of Directors has the authority to issue up to 10,000,000 shares of preferred stock. The Board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also contain other provisions that could have an anti-takeover effect, including provisions that:</w:t>
      </w:r>
    </w:p>
    <w:p>
      <w:pPr>
        <w:spacing w:after="0" w:line="225"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that vacancies on the Board of Directors may be filled only by a majority of directors then in office, even though less than a quorum;</w:t>
      </w:r>
    </w:p>
    <w:p>
      <w:pPr>
        <w:spacing w:after="0" w:line="46" w:lineRule="exact"/>
        <w:rPr>
          <w:rFonts w:ascii="Arial" w:cs="Arial" w:eastAsia="Arial" w:hAnsi="Arial"/>
          <w:sz w:val="16"/>
          <w:szCs w:val="16"/>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 the Board of directors the authority to increase or decrease the size of the Board;</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 and</w:t>
      </w:r>
    </w:p>
    <w:p>
      <w:pPr>
        <w:spacing w:after="0" w:line="20" w:lineRule="exact"/>
        <w:rPr>
          <w:rFonts w:ascii="Arial" w:cs="Arial" w:eastAsia="Arial" w:hAnsi="Arial"/>
          <w:sz w:val="17"/>
          <w:szCs w:val="17"/>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Board of Directors, by a majority vote, to amend the Bylaws.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limit the ability of stockholders owning in excess of 15% of our outstanding voting stock to merge or combine with us. These provisions could discourage potential acquisition proposals and could delay or prevent a change in control transaction. They could also have the effect of discouraging others from making tender offers for our common stock, including transactions that may be in stockholder best interests. These provisions may also prevent changes in our management or limit the price that certain investors are willing to pay for our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contain an exclusive forum provision, which could limit our stockholders’ ability to obtain a favorable judicial forum for disputes with us or our directors, officers, employees, or agents.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Bylaws provide that, unless we consent in writing to the selection of an alternative forum, any North Carolina state court that has jurisdiction, or the Delaware Court of Chancery shall, to the fullest extent permitted by law, be the sole and exclusive forum for any internal corporate claims, including without limitation (i) any derivative action or proceeding brought on behalf of us, (ii) any action asserting a claim of breach of a fiduciary duty owed by any director, officer or other employee of us to us or our stockholders, (iii) any action asserting a claim arising pursuant to any provision of the General Corporation Law of the State of Delaware, and (iv) any action asserting a claim governed by the internal affairs doctrine, in each case subject to said court having personal jurisdiction over the indispensable parties named as defendants in such action. This provision would not apply to suits brought to enforce a duty or liability created by the Securities and Exchange Act of 1934, as amended (the “Exchange Act”) or the Securities Act of 1933, as amended (the “Securities Act”), or any other claim for which federal courts have exclusive jurisdiction.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Bylaws to be inapplicable or unenforceable in an action, we may incur additional costs associated with resolving the dispute in other jurisdictions, which could harm our results of operations. Even if we are successful in defending against these claims, litigation could result in substantial costs and be a distraction to management and other employees.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cash dividends in the past and do not expect to pay dividends in the future. Any return on investment may be limited to the value of our common stock.</w:t>
      </w:r>
    </w:p>
    <w:p>
      <w:pPr>
        <w:sectPr>
          <w:pgSz w:w="11900" w:h="16838" w:orient="portrait"/>
          <w:cols w:equalWidth="0" w:num="1">
            <w:col w:w="11240"/>
          </w:cols>
          <w:pgMar w:left="320" w:top="125" w:right="339" w:bottom="118"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shares of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U.S. federal net operating loss carryforwards (“NOLs”), which expire in various years if not utilized. In addition, we have federal research and development credit carryforwards. The federal research and development credit carryforwards expire in various years if not utilized. Under Sections 382 and 383 of Internal Revenue Code of 1986, as amended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2—PROPERTIES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own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 The current rent is approximately $750 per month.</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7, 2023, we entered into a Lease Termination Agreement with CCP Concourse, LLC, a Virginia limited liability company (the “Landlord”) with respect to the Company’s prior principal executive office lease (the “Prior Lease). The Prior Lease, as amended, was originally entered into on January 27, 2011 and would have terminated on June 30, 2024. As consideration for the Landlord’s entry into the Lease Termination Agreement, including a release of any claims the Landlord may have had against the Company under the Prior Lease, the Company has paid the Landlord $169,867.41. Pursuant to the Lease Termination Agreement, effective February 8, 2023, the Company has no remaining rent or further obligations to the Landlord pursuant to the Prior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litigation in the normal course of business, none of which management believes will have a material adverse effect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executive officers as of March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6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Christopher T. Giordano</w:t>
            </w:r>
          </w:p>
        </w:tc>
        <w:tc>
          <w:tcPr>
            <w:tcW w:w="23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Eliot M. Lurier, CPA</w:t>
            </w:r>
          </w:p>
        </w:tc>
        <w:tc>
          <w:tcPr>
            <w:tcW w:w="23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64</w:t>
            </w:r>
          </w:p>
        </w:tc>
        <w:tc>
          <w:tcPr>
            <w:tcW w:w="2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Stuart Rich, MD</w:t>
            </w:r>
          </w:p>
        </w:tc>
        <w:tc>
          <w:tcPr>
            <w:tcW w:w="23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73</w:t>
            </w:r>
          </w:p>
        </w:tc>
        <w:tc>
          <w:tcPr>
            <w:tcW w:w="2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Christopher T. Giordano </w:t>
      </w:r>
      <w:r>
        <w:rPr>
          <w:rFonts w:ascii="Arial" w:cs="Arial" w:eastAsia="Arial" w:hAnsi="Arial"/>
          <w:sz w:val="17"/>
          <w:szCs w:val="17"/>
          <w:color w:val="auto"/>
        </w:rPr>
        <w:t>joined the Company as our Chief Executive Officer and a member of our Board of Directors in July 2021 and became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in October 2021. From March 2018 to July 2021, he served as President of IQVIA Biotech LLC and IQVIA MedTech Inc., a provider of integrated clinical and commercial solutions to medical device and small biotech companies, where he led an executive team that managed a clinical trial portfolio that grew from 250 to 400 active projects during his three years of leadership. Prior to that role, from August 2008 to March 2018, Mr. Giordano held roles of increasing responsibility at Quintiles Transnational Holdings Inc., a provider of pharmaceutical outsourcing services (acquired by IMS Health Holdings, Inc. in October 2016 to become IQVIA Holdings Inc.), and was most recently Global Vice President of the cardiovascular, renal, and metabolic group. From January 2001 to July 2008, Mr. Giordano served in various sales and operational roles at PPD, Inc., a global clinical research organization. Mr. Giordano holds a B.A. (</w:t>
      </w:r>
      <w:r>
        <w:rPr>
          <w:rFonts w:ascii="Arial" w:cs="Arial" w:eastAsia="Arial" w:hAnsi="Arial"/>
          <w:sz w:val="17"/>
          <w:szCs w:val="17"/>
          <w:i w:val="1"/>
          <w:iCs w:val="1"/>
          <w:color w:val="auto"/>
        </w:rPr>
        <w:t>summa cum laude</w:t>
      </w:r>
      <w:r>
        <w:rPr>
          <w:rFonts w:ascii="Arial" w:cs="Arial" w:eastAsia="Arial" w:hAnsi="Arial"/>
          <w:sz w:val="17"/>
          <w:szCs w:val="17"/>
          <w:color w:val="auto"/>
        </w:rPr>
        <w:t>) in English from the University of San Diego and a M.A. in English from the University of North Carolina at Chapel Hill.</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Eliot M. Lurier </w:t>
      </w:r>
      <w:r>
        <w:rPr>
          <w:rFonts w:ascii="Arial" w:cs="Arial" w:eastAsia="Arial" w:hAnsi="Arial"/>
          <w:sz w:val="16"/>
          <w:szCs w:val="16"/>
          <w:color w:val="auto"/>
        </w:rPr>
        <w:t>joined the Company as our Interim Chief Financial Officer in October 2021. Since July 2021, Mr. Lurier has served as a consultant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companies through Danforth Advisors, LLC, an advisory firm that provides operational and strategic support services to life science companies. Prior to joining Danforth, from September 2014 to December 2020, Mr. Lurier was Chief Financial Officer of the Joslin Diabetes Center, Inc., a preeminent diabetes research, clinical care, and education organization. Prior to that, from April 2008 to September 2014, Mr. Lurier was Chief Financial Officer of Interleukin Genetics, Inc., during which time it was a public company. From April 2005 to April 2008, Mr. Lurier was Vice President, Finance and Administration and Chief Financial Officer of NUCRYST Pharmaceuticals, where he assisted in its initial public offering and where he was responsible for</w:t>
      </w:r>
    </w:p>
    <w:p>
      <w:pPr>
        <w:sectPr>
          <w:pgSz w:w="11900" w:h="16838" w:orient="portrait"/>
          <w:cols w:equalWidth="0" w:num="1">
            <w:col w:w="11240"/>
          </w:cols>
          <w:pgMar w:left="320" w:top="125" w:right="339" w:bottom="0" w:gutter="0" w:footer="0" w:header="0"/>
        </w:sectPr>
      </w:pPr>
    </w:p>
    <w:bookmarkStart w:id="24" w:name="page25"/>
    <w:bookmarkEnd w:id="24"/>
    <w:p>
      <w:pPr>
        <w:jc w:val="both"/>
        <w:spacing w:after="0" w:line="296" w:lineRule="auto"/>
        <w:rPr>
          <w:sz w:val="20"/>
          <w:szCs w:val="20"/>
          <w:color w:val="auto"/>
        </w:rPr>
      </w:pPr>
      <w:r>
        <w:rPr>
          <w:rFonts w:ascii="Arial" w:cs="Arial" w:eastAsia="Arial" w:hAnsi="Arial"/>
          <w:sz w:val="16"/>
          <w:szCs w:val="16"/>
          <w:color w:val="auto"/>
        </w:rPr>
        <w:t>the company’s SEC reporting and the implementation of Sarbanes-Oxley requirements. From April 2004 to March 2005, Mr. Lurier served as Chief Financial Officer and Chief Operating Officer for Bridge Pharmaceuticals, Inc., where he established policies for managing business operations. From 1983 to 2004, Mr. Lurier held a number of senior-level financial positions, including Chief Financial Officer of Admetric Biochem, Inc., and Chief Financial Officer, Treasurer and Vice President of Finance of Ascent Pediatrics, Inc. From 1981 to 1983, Mr. Lurier was an auditor at Coopers and Lybrand in Boston, Massachusetts. Mr. Lurier holds a B.S. in Accounting from Syracuse University and is a Certified Public Accountant in Massachusetts.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Stuart Rich, MD </w:t>
      </w:r>
      <w:r>
        <w:rPr>
          <w:rFonts w:ascii="Arial" w:cs="Arial" w:eastAsia="Arial" w:hAnsi="Arial"/>
          <w:sz w:val="16"/>
          <w:szCs w:val="16"/>
          <w:color w:val="auto"/>
        </w:rPr>
        <w:t>has served as our Chief Medical Officer since January 2021 and a director since February 2021. Dr. Rich joined the Company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PHPM, where he was a co-founder and held the positions of Chief Executive Officer and Director from October 2018 until PHPM’s merger with the Company in January 2021. Beginning July 2015, Dr. Rich has served as Professor of Medicine (and since 2021, Professor Emeritus) at Northwestern University Feinberg School of Medicine. He was co-founder and a Trustee of the Pulmonary Vascular Research Institute from 2006 until 2013, a U.K. based charity. Since July 2015, he has also served as a Director of the Pulmonary Vascular Disease Program at the Bluhm Cardiovascular Institute, a U.K. based charity, and since January 2011, he has served as Director of the Cardiovascular Medical and Research Foundation, a U.S. based charity. He was a standing member of the Cardiovascular and Renal Advisory Committee of the U.S. Food and Drug Administration from 2002 through 2013. Prior to Northwestern University, Dr. Rich was Professor of Medicine at the Section of Cardiology of the University of Chicago Pritzker School of Medicine from September 2004 to July 2015. Dr. Rich also served as the Chief Medical Officer (part-time) of United Therapeutics from October 2003 until December 2004. He was Professor of Medicine at the Rush Heart Institute of the Rush University School of Medicine from July 1996 to September 2004 and Professor of Medicine and Chief of the Section of Cardiology at the University of Illinois College of Medicine in Chicago from July 1980 to July 1996. Dr. Rich received his B.S. in Biology at the University of Illinois and his M.D. at Loyola University Stritch School of Medicine, and he completed his residency in medicine at the Washington University of St. Louis and his fellowship in cardiology at the University of Chicago.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Gerald T. Proehl</w:t>
      </w:r>
      <w:r>
        <w:rPr>
          <w:rFonts w:ascii="Arial" w:cs="Arial" w:eastAsia="Arial" w:hAnsi="Arial"/>
          <w:sz w:val="18"/>
          <w:szCs w:val="18"/>
          <w:color w:val="auto"/>
        </w:rPr>
        <w:t>, Director and Chairman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Founder, President, Chief Executive Officer and Chair of the Board of Directors, Dermata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Almenoff, MD, PhD</w:t>
      </w:r>
      <w:r>
        <w:rPr>
          <w:rFonts w:ascii="Arial" w:cs="Arial" w:eastAsia="Arial" w:hAnsi="Arial"/>
          <w:sz w:val="18"/>
          <w:szCs w:val="18"/>
          <w:color w:val="auto"/>
        </w:rPr>
        <w:t>,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Medical Officer, RedHill Biopharma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Davidson, MD</w:t>
      </w:r>
      <w:r>
        <w:rPr>
          <w:rFonts w:ascii="Arial" w:cs="Arial" w:eastAsia="Arial" w:hAnsi="Arial"/>
          <w:sz w:val="18"/>
          <w:szCs w:val="18"/>
          <w:color w:val="auto"/>
        </w:rPr>
        <w:t>,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New Amsterdam Pharma B.V.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Declan Doogan, MD</w:t>
      </w:r>
      <w:r>
        <w:rPr>
          <w:rFonts w:ascii="Arial" w:cs="Arial" w:eastAsia="Arial" w:hAnsi="Arial"/>
          <w:sz w:val="18"/>
          <w:szCs w:val="18"/>
          <w:color w:val="auto"/>
        </w:rPr>
        <w:t>,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Co-founder and Chief Medical Officer, Juvenescence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T. Giordano</w:t>
      </w:r>
      <w:r>
        <w:rPr>
          <w:rFonts w:ascii="Arial" w:cs="Arial" w:eastAsia="Arial" w:hAnsi="Arial"/>
          <w:sz w:val="18"/>
          <w:szCs w:val="18"/>
          <w:color w:val="auto"/>
        </w:rPr>
        <w:t>, Chief Executive Officer, President and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Tenax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Robyn M. Hunter</w:t>
      </w:r>
      <w:r>
        <w:rPr>
          <w:rFonts w:ascii="Arial" w:cs="Arial" w:eastAsia="Arial" w:hAnsi="Arial"/>
          <w:sz w:val="18"/>
          <w:szCs w:val="18"/>
          <w:color w:val="auto"/>
        </w:rPr>
        <w:t>,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Global Chief Financial Officer, Sotio Biotech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Stuart Rich, MD</w:t>
      </w:r>
      <w:r>
        <w:rPr>
          <w:rFonts w:ascii="Arial" w:cs="Arial" w:eastAsia="Arial" w:hAnsi="Arial"/>
          <w:sz w:val="18"/>
          <w:szCs w:val="18"/>
          <w:color w:val="auto"/>
        </w:rPr>
        <w:t>, Chief Medical Officer and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Tenax Therapeutics,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Number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“TENX”.</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Based upon information furnished by our transfer agent, as of March 28, 2023, there were approximately 1,339 holders of record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dividends on our equity securities, and currently do not plan to declare dividends on shares of our common stock in the foreseeable future. We expect to retain our future earnings, if any, for use in the operation and expansion of our business. Subject to the foregoing, the payment of cash dividends in the future, if any, will be at the discretion of our Board of Directors and will depend upon such factors as earnings levels, capital requirements, our overall financial condition and any other factors deemed relevant by our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Unregistered Sales of Equity Securities</w:t>
      </w:r>
    </w:p>
    <w:p>
      <w:pPr>
        <w:sectPr>
          <w:pgSz w:w="11900" w:h="16838" w:orient="portrait"/>
          <w:cols w:equalWidth="0" w:num="1">
            <w:col w:w="11240"/>
          </w:cols>
          <w:pgMar w:left="320" w:top="125" w:right="339" w:bottom="0" w:gutter="0" w:footer="0" w:header="0"/>
          <w:type w:val="continuous"/>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During the year ended December 31, 2022,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the related notes to those statements included in Item 8 –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Having carefully considered alternatives within the ongoing strategic process announced in September 2022, and having raised capital to fund the Company through to the first quarter of 2024, the Company has recently elected to prioritize the Phase 3 testing of levosimendan, ahead of imatinib, with plans to commence a levosimendan Phase 3 study in 2023. Supporting this strategic decision is a U.S. Patent issued in March 2023, covering the use of IV levosimendan in patients with PH-HFpEF. This patent is the second levosimendan patent granted to Tenax since the start of 2022, and Tenax believes it provides strong precedent for the ongoing review of a third patent which may be granted in 2023 or 2024. This prioritization of the Phase 3 testing of levosimendan places the start of a Phase 3 imatinib trial likely outside the 2023 timeframe, pending fundraising to support that trial, as well as other strategic considerations.</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took steps to reduce its monthly operating expenses and conserve cash, as it commenced exploring strategic alternatives in late 2022. The Company has cancelled substantially all of its non-essential operating expenses such as consulting, its office lease, and dues and subscriptions and office supplies associated with that leased office.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Pending the outcome of our ongoing strategic process, the key elements of our business strategy are outlined below.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Efficiently conduct clinical development to establish clinical proof of principle in new indications, refine formulation, and commence Phase 3 testing of our current product candidates.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Levosimendan and imatinib have been approved and prescribed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either one or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when designing and executing our research.</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Levosimendan has shown promise in multiple disease areas in the two decades following its approval. Our own Phase 2 study and open-label extension has demonstrated that a formerly under-appreciated mechanism of action of levosimendan, its property of relaxing the venous circulation, brings about durable improvements in exercise capacity and quality of life, as well as other clinical assessments, in patients with heart failure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these factors will support approval by the FDA of these product candidates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Tenax Therapeutics at the dose shown to be effective in a prior Phase 3 trial conducted by Novartis, allows Tenax to build on the dossier of research results already reviewed by the FDA. In order to achieve our objectives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Continue to expand our intellectual property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applications of our existing technologies, alone or in combination with existing therapies, as well as other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Allowance and Patent</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February 1, 2023, the Company announced it was granted a Notice of Allowance from the United States Patent and Trademark Office (USPTO) for its patent application with claims covering the use of IV levosimendan (TNX-101) in the treatment of PH-HFpEF. This patent was issued on March 21, 2023. At present, we have two patents pending, with additional decisions expected in 2023.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Enter into licensing or product co-development arrangements.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to develop a portfolio of high-quality product development opportunities, enhance our clinical development and commercialization capabilities, and increase our ability to generate value from our proprietary technologies.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focus on our strategic process,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or similar epidemics could in the future, directly or indirectly, adversely impact our ability to recruit and retain patients and principal investigators and site staff who, as healthcare providers, may have heightened exposure to such illnesses, which could negatively impact our trials, increase our operating expenses, and have a material adverse effect on our financial results. We will continue to assess the potential impact of the COVID-19 pandemic on our business and operations, including our clinical operations and manufacturing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Our Results of Operations for the Years Ended December 31,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540" w:type="dxa"/>
            <w:vAlign w:val="bottom"/>
            <w:gridSpan w:val="7"/>
          </w:tcPr>
          <w:p>
            <w:pPr>
              <w:ind w:left="80"/>
              <w:spacing w:after="0"/>
              <w:rPr>
                <w:sz w:val="20"/>
                <w:szCs w:val="20"/>
                <w:color w:val="auto"/>
              </w:rPr>
            </w:pPr>
            <w:r>
              <w:rPr>
                <w:rFonts w:ascii="Arial" w:cs="Arial" w:eastAsia="Arial" w:hAnsi="Arial"/>
                <w:sz w:val="18"/>
                <w:szCs w:val="18"/>
                <w:b w:val="1"/>
                <w:bCs w:val="1"/>
                <w:color w:val="auto"/>
                <w:w w:val="96"/>
              </w:rPr>
              <w:t>The year ended December 31,</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Increase/(Decrease)</w:t>
            </w:r>
          </w:p>
        </w:tc>
      </w:tr>
      <w:tr>
        <w:trPr>
          <w:trHeight w:val="210"/>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5,675,231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7,580,847</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(1,905,616)</w:t>
            </w:r>
          </w:p>
        </w:tc>
      </w:tr>
      <w:tr>
        <w:trPr>
          <w:trHeight w:val="216"/>
        </w:trPr>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5,377,412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25,147,394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(19,769,982)</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11,052,643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32,728,241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(21,675,598)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were $5.7 million for the year ended December 31, 2022, compared to $7.6 million for the same period in 2021.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w:t>
      </w:r>
    </w:p>
    <w:p>
      <w:pPr>
        <w:sectPr>
          <w:pgSz w:w="11900" w:h="16838" w:orient="portrait"/>
          <w:cols w:equalWidth="0" w:num="1">
            <w:col w:w="11240"/>
          </w:cols>
          <w:pgMar w:left="320" w:top="179" w:right="339" w:bottom="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accounting services, and other professional and consulting services. General and administrative expenses and percentage changes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respectively,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2,370,362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4,952,334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(2,581,972)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2,369,126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1,770,483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598,643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782,023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698,473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153,720</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159,557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(5,837)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costs decreased approximately $2.6 million for the year ended December 31, 2022, compared to the same period in the prior year. The decrease was primarily due to approximately $1.2 million in severance costs associated with the departure from the Company of the former CEO and other employees in 2021, as well as approximately $266,000 in noncash compensation expense resulting from the modification of the former CEO’s outstanding stock options and the grant of an additional stock option on his separation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Legal and professional fees increased approximately $599,000 for the year ended December 31, 2022,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fees increased approximately $245,000 for the year ended December 31, 2022, as compared to the same period in the prior year. The increase was primarily due to capital market activities and IP related costs.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Professional fees increased approximately $354,000 for the year ended December 31, 2022, compared to the same period in the prior year. The increase was primarily attributable to increased consulting fees offset by a decrease in accounting, capital markets, and investor relations costs.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costs increased approximately $84,000 for the year ended December 31, 2022, compared to the same period in the prior year. Other costs include expenses incurred for franchise and other taxes, travel, supplies, insurance, depreciation and other miscellaneous charges. The increase was primarily attributable to increased costs for insurance offset by decreases in franchise and other taxes.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Facilities costs include costs paid for rent and utilities at our corporate headquarters in North Carolina. Facilities costs remained relatively unchanged for the years ended December 31, 2022 and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were $5.4 million for the year ended December 31, 2022 as compared to $25.1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2022 and 2021, respectively,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4,657,916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2,653,571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2,004,345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684,451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689,183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21,804,640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(21,769,594)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and preclinical development costs increased approximately $2.0 million for the year ended December 31, 2022 as compared to the same period in the prior year. Clinical and preclinical development costs consist of expenses associated with our Phase 2 HELP Study for levosimendan, which was completed during fiscal year 2020, the ongoing open label extension phase of this study, costs associated with our intravenous-to-oral levosimendan transition study, and development costs associated with the formulation for imatinib. The increase is primarily attributable to approximately $2.8 million in expenditures for CRO and development costs associated with imatinib offset by decreased costs of approximately $800,000 related to our modified release imatinib.</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Personnel costs decreased $4,732 for the year ended December 31, 2022, as compared to the same period in the prior year. The decrease is primarily attributable to increased compensation costs offset by a decrease in annual bonus expense.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costs decreased approximately $21.8 million for the year ended December 31, 2022, as compared to the same period in the prior year. The decrease is primarily attributable to the recognition of in-process research and development acquired as part of the merger with PHPM in the prior period. There were no such expenses incurred in the current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income decreased approximately $246,000 for the year ended December 31, 2022, compared to the same period in the prior year. This increase is due primarily to the forgiveness of our loan pursuant to the Paycheck Protection Program (“PPP Loan”) in the prior period.</w:t>
      </w:r>
    </w:p>
    <w:p>
      <w:pPr>
        <w:sectPr>
          <w:pgSz w:w="11900" w:h="16838" w:orient="portrait"/>
          <w:cols w:equalWidth="0" w:num="1">
            <w:col w:w="11240"/>
          </w:cols>
          <w:pgMar w:left="320" w:top="125" w:right="33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incurred losses since our inception and, as of December 31, 2022, we had an accumulated deficit of approximately $290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approximately $3.2 million and $5.7 million and working capital of approximately $1.4 million and $4.1 million as of December 31, 2022 and December 31, 2021, respectively. Our practice is to invest excess cash, where available, in short-term money market investment instruments and high quality corporate and government bonds.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Preclinical Product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concluding an open label extension phase of the levosimendan HELP clinical trial, during which patients were transitioned from an intravenous to oral formulation of levosimendan for the treatment of pulmonary hypertension. We are also developing a new formulation of imatinib. Our ability to continue to pursue development of our products beyond the first quarter of calendar year 2024 will depend on obtaining license income or outside financial resources. There is no assurance that we will obtain any license agreement or outside financing or that we will otherwise succeed in obtaining any necessary resources.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COVID-19 pandemic or a similar epidemic could in the future, directly or indirectly, adversely affect our ability to recruit and retain patients and principal investigators and site staff who, as healthcare providers, may have heightened exposure to respiratory illnesses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clinical trials or release clinical trial results. See “</w:t>
      </w:r>
      <w:r>
        <w:rPr>
          <w:rFonts w:ascii="Arial" w:cs="Arial" w:eastAsia="Arial" w:hAnsi="Arial"/>
          <w:sz w:val="17"/>
          <w:szCs w:val="17"/>
          <w:i w:val="1"/>
          <w:iCs w:val="1"/>
          <w:color w:val="auto"/>
        </w:rPr>
        <w:t>Item 1A – Risk Factors</w:t>
      </w:r>
      <w:r>
        <w:rPr>
          <w:rFonts w:ascii="Arial" w:cs="Arial" w:eastAsia="Arial" w:hAnsi="Arial"/>
          <w:sz w:val="17"/>
          <w:szCs w:val="17"/>
          <w:color w:val="auto"/>
        </w:rPr>
        <w:t>” above for additional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3, 2023, we sold in a registered public offering (i) an aggregate of 6,959,444 shares of our common stock and pre-funded warrants to purchase an aggregate of 1,707,222 shares of our common stock and (ii) accompanying warrants to purchase up to an aggregate of 17,333,332 shares of our common stock at a combined offering price of $1.80 per share of common stock and associated warrant, or $1.799 per pre-funded warrant and associated warrant, resulting in gross proceeds to the Company of approximately $15.6 million. Net proceeds of the offering were approximately $14.1 million, after deducting the placement agent fees and estimated offering expenses payable by the Company.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17, 2022, we sold 529,802 units in a private placement at a purchase price of $15.50 per unit for net proceeds of approximately $7.9 million. Each unit consisted of one unregistered pre-funded warrant to purchase one share of our common stock and one unregistered warrant to purchase one share of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2021, we sold 238,664 units in a private placement at a purchase price of $41.90 per unit for net proceeds of approximately $10 million. Each unit consisted of one unregistered pre-funded warrant to purchase one share of our common stock and one unregistered warrant to purchase one share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5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9"/>
              </w:rPr>
              <w:t>Year ended December 31,</w:t>
            </w:r>
          </w:p>
        </w:tc>
      </w:tr>
      <w:tr>
        <w:trPr>
          <w:trHeight w:val="209"/>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(12,012,873)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(10,856,203)</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5440" w:type="dxa"/>
            <w:vAlign w:val="bottom"/>
            <w:gridSpan w:val="3"/>
          </w:tcPr>
          <w:p>
            <w:pPr>
              <w:jc w:val="right"/>
              <w:ind w:right="160"/>
              <w:spacing w:after="0"/>
              <w:rPr>
                <w:sz w:val="20"/>
                <w:szCs w:val="20"/>
                <w:color w:val="auto"/>
              </w:rPr>
            </w:pPr>
            <w:r>
              <w:rPr>
                <w:rFonts w:ascii="Arial" w:cs="Arial" w:eastAsia="Arial" w:hAnsi="Arial"/>
                <w:sz w:val="18"/>
                <w:szCs w:val="18"/>
                <w:color w:val="auto"/>
              </w:rPr>
              <w:t>(2,323)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452,609</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8,554,956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9,737,275</w:t>
            </w:r>
          </w:p>
        </w:tc>
      </w:tr>
      <w:tr>
        <w:trPr>
          <w:trHeight w:val="648"/>
        </w:trPr>
        <w:tc>
          <w:tcPr>
            <w:tcW w:w="1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jc w:val="right"/>
              <w:ind w:right="2890"/>
              <w:spacing w:after="0"/>
              <w:rPr>
                <w:sz w:val="20"/>
                <w:szCs w:val="20"/>
                <w:color w:val="auto"/>
              </w:rPr>
            </w:pPr>
            <w:r>
              <w:rPr>
                <w:rFonts w:ascii="Arial" w:cs="Arial" w:eastAsia="Arial" w:hAnsi="Arial"/>
                <w:sz w:val="18"/>
                <w:szCs w:val="18"/>
                <w:color w:val="auto"/>
              </w:rPr>
              <w:t>43</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operating activities</w:t>
      </w:r>
    </w:p>
    <w:p>
      <w:pPr>
        <w:sectPr>
          <w:pgSz w:w="11900" w:h="16838" w:orient="portrait"/>
          <w:cols w:equalWidth="0" w:num="1">
            <w:col w:w="11240"/>
          </w:cols>
          <w:pgMar w:left="320" w:top="121" w:right="339" w:bottom="0" w:gutter="0" w:footer="0" w:header="0"/>
          <w:type w:val="continuous"/>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Net cash used in operating activities was approximately $12.0 million for the year ended December 31, 2022 compared to approximately $10.9 million for the year ended December 31, 2021. The increase in cash used for operating activities was primarily due to an increase in our annual insurance premiums, trade accounts payable and accrued compensation as compared to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or provided by investing activities was approximately $(2,323) for the year ended December 31, 2022, compared to approximately $454,000 in the year ended December 31, 2021. The decrease in cash provided by investing activities was primarily due to the purchase of fixed assets in the current period offset by sale of marketable securities in the prior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was approximately $8.6 million for the year ended December 31, 2022 and is primarily attributable to net proceeds from the sale of stock units in our May 2022 private placement of $7.9 million and the exercise of stock warrants of $0.6 million.</w:t>
      </w:r>
    </w:p>
    <w:p>
      <w:pPr>
        <w:spacing w:after="0" w:line="146" w:lineRule="exact"/>
        <w:rPr>
          <w:sz w:val="20"/>
          <w:szCs w:val="20"/>
          <w:color w:val="auto"/>
        </w:rPr>
      </w:pPr>
    </w:p>
    <w:p>
      <w:pPr>
        <w:jc w:val="both"/>
        <w:ind w:firstLine="71"/>
        <w:spacing w:after="0" w:line="308" w:lineRule="auto"/>
        <w:rPr>
          <w:sz w:val="20"/>
          <w:szCs w:val="20"/>
          <w:color w:val="auto"/>
        </w:rPr>
      </w:pPr>
      <w:r>
        <w:rPr>
          <w:rFonts w:ascii="Arial" w:cs="Arial" w:eastAsia="Arial" w:hAnsi="Arial"/>
          <w:sz w:val="17"/>
          <w:szCs w:val="17"/>
          <w:color w:val="auto"/>
        </w:rPr>
        <w:t>Net cash provided by financing activities was approximately $9.7 million for the year ended December 31, 2021 and is primarily attributable to net proceeds from the sale of stock units in our July 2021 private placement of $9.2 million and the exercise of stock warrants of $0.5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candidates and potential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product candidates we pursue;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that may be caused by the global coronavirus pandemic or similar global societal disruptions;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working capital on December 31, 2022, and the financing completed on February 7, 2023 we believe we have sufficient capital on hand to continue to fund operations through to the first quarter of calendar year 2024.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need substantial additional capital beyond the first quarter of calendar year 2024 and in the future in order to complete the regulatory approval and commercialization of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2022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ectPr>
          <w:pgSz w:w="11900" w:h="16838" w:orient="portrait"/>
          <w:cols w:equalWidth="0" w:num="1">
            <w:col w:w="11240"/>
          </w:cols>
          <w:pgMar w:left="320" w:top="341" w:right="33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the accompanying consolidated financial statements in conformity with accounting principles generally accepted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Preclinical Study and Clinical Accruals</w:t>
      </w:r>
      <w:r>
        <w:rPr>
          <w:rFonts w:ascii="Arial" w:cs="Arial" w:eastAsia="Arial" w:hAnsi="Arial"/>
          <w:sz w:val="16"/>
          <w:szCs w:val="16"/>
          <w:color w:val="auto"/>
        </w:rPr>
        <w:t>—We estimate our preclinical study and clinical trial expenses based on the services received pursuant to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149" w:lineRule="exact"/>
        <w:rPr>
          <w:sz w:val="20"/>
          <w:szCs w:val="20"/>
          <w:color w:val="auto"/>
        </w:rPr>
      </w:pPr>
    </w:p>
    <w:p>
      <w:pPr>
        <w:ind w:left="900" w:hanging="44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research institutions in conjunction with preclinical research studies; and</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—We account for stock-based awards to employees in accordance with Accounting Standards Codification, or ASC, 718,</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2019, the Financial Accounting Standards Board, or the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We adopted this standard on January 1, 2021. Our adoption of the new guidance did not have a material impact on our consolidated financial statements.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statements included at the end of this report beginning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Annual Report on Form 10-K, of the effectiveness of our disclosure controls and procedures as defined in Exchange Act Rules 13a-15(e) and 15d-15(e).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w:t>
      </w:r>
    </w:p>
    <w:p>
      <w:pPr>
        <w:sectPr>
          <w:pgSz w:w="11900" w:h="16838" w:orient="portrait"/>
          <w:cols w:equalWidth="0" w:num="1">
            <w:col w:w="11240"/>
          </w:cols>
          <w:pgMar w:left="320" w:top="337" w:right="339" w:bottom="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and procedures must reflect the fact that there are resource constraints, and that management is required to apply its judgment in evaluating the benefits of possible controls and procedures relative to their costs.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their evaluation, our President and Chief Executive Officer and Interim Chief Financial Officer concluded that our disclosure controls and procedures were effective as of December 31, 2022, the end of the period covered by this Annual Report on Form 10-K,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as defined in Rule 13a-15(f) and Rule 15(d)-15(f) under the Exchange Act, is a process designed by, or under the supervision of, our President and Chief Executive Officer and Interim Chief Financial Officer and affected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176" w:lineRule="exact"/>
        <w:rPr>
          <w:sz w:val="20"/>
          <w:szCs w:val="20"/>
          <w:color w:val="auto"/>
        </w:rPr>
      </w:pPr>
    </w:p>
    <w:p>
      <w:pPr>
        <w:ind w:left="900" w:hanging="447"/>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spacing w:after="0" w:line="183"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2022. In making its assessment, management used the criteria established by the Committee of Sponsoring Organizations of the Treadway Commission in its 2013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its assessment, management has concluded that our internal control over financial reporting was effective as of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independent registered public accounting firm has not assessed the effectiveness of our internal control over financial reporting and, under SEC rules, will not be required to provide an attestation report on the effectiveness of our internal control over financial reporting so long as we qualify as a “non-accelerated filer”.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125" w:right="339" w:bottom="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this Item concerning our directors is incorporated by reference from the sections captioned “Election of Directors” and “Corporate Governance Matters” contained in our proxy statement related to the 2023 Annual Meeting of Stockholders currently scheduled to be held on June 9, 2023, which we intend to file with the SEC within 120 days of the end of our fiscal year pursuant to General Instruction G(3) of Form 10-K.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concerning our Audit and Compliance Committee is incorporated by reference from the section captioned “Corporate Governance Matters—Standing Committees—Audit and Compliance Committee” contained in our proxy statement related to the 2023 Annual Meeting of Stockholders.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Ethics and Business Conduct (the “Code of Ethics”) applicable to all of our officers, directors and employees, including our principal executive officer, principal financial officer, principal accounting officer, controller, or persons performing similar functions. A copy of this Code of Ethics is available free of charge and is posted on our website at http://investors.tenaxthera.com/corporate-governance. In the event the Code of Ethics is revised, or any waiver is granted under the Code of Ethics with respect to our principal executive officer, principal financial officer, principal accounting officer, controller, or persons performing similar functions, notice of such revision or waiver will be posted on our website or disclosed on a current report on Form 8-K as required.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concerning our executive officers is set forth at the end of Part I of this Annual Report on Form 10-K.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if any, concerning compliance with Section 16(a) of the Exchange Act will be incorporated by reference from the section of the proxy statement captioned “Delinquent Section 16(a)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sections captioned “Executive Compensation” and “Director Compensation” in our proxy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the securities authorized for issuance under our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issuances</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to be issued upon</w:t>
            </w: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Weighted-average</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of outstanding</w:t>
            </w: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options, warrants and</w:t>
            </w: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 column</w:t>
            </w: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rights</w:t>
            </w:r>
          </w:p>
        </w:tc>
        <w:tc>
          <w:tcPr>
            <w:tcW w:w="1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warrants and rights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w:t>
            </w:r>
          </w:p>
        </w:tc>
        <w:tc>
          <w:tcPr>
            <w:tcW w:w="0" w:type="dxa"/>
            <w:vAlign w:val="bottom"/>
          </w:tcPr>
          <w:p>
            <w:pPr>
              <w:spacing w:after="0"/>
              <w:rPr>
                <w:sz w:val="1"/>
                <w:szCs w:val="1"/>
                <w:color w:val="auto"/>
              </w:rPr>
            </w:pPr>
          </w:p>
        </w:tc>
      </w:tr>
      <w:tr>
        <w:trPr>
          <w:trHeight w:val="191"/>
        </w:trPr>
        <w:tc>
          <w:tcPr>
            <w:tcW w:w="5360" w:type="dxa"/>
            <w:vAlign w:val="bottom"/>
            <w:vMerge w:val="continue"/>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 Stock Incentive Plan</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 Stock Incentive Plan, as amended</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Amended and Restated 1999 Amended Stock Plan, as amended</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1,123.00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for Employee Inducement Stock Option Grants</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42.21</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information required by this Item is incorporated by reference to the information under the section captioned “Security Ownership of Certain Beneficial Owners and Management” contained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section captioned “Certain Relationships and Related Transactions” and “Corporate Governance Matters”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section captioned “Audit and Compliance Committee Report” in our proxy statement.</w:t>
      </w:r>
    </w:p>
    <w:p>
      <w:pPr>
        <w:sectPr>
          <w:pgSz w:w="11900" w:h="16838" w:orient="portrait"/>
          <w:cols w:equalWidth="0" w:num="1">
            <w:col w:w="11240"/>
          </w:cols>
          <w:pgMar w:left="320" w:top="121" w:right="339" w:bottom="0" w:gutter="0" w:footer="0" w:header="0"/>
        </w:sectPr>
      </w:pPr>
    </w:p>
    <w:bookmarkStart w:id="33" w:name="page34"/>
    <w:bookmarkEnd w:id="3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22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The financial statements of the Company and the related reports of the Company’s independent registered public accounting firm thereon have been filed under Item 8 hereof.</w:t>
      </w:r>
    </w:p>
    <w:p>
      <w:pPr>
        <w:spacing w:after="0" w:line="170" w:lineRule="exact"/>
        <w:rPr>
          <w:rFonts w:ascii="Arial" w:cs="Arial" w:eastAsia="Arial" w:hAnsi="Arial"/>
          <w:sz w:val="18"/>
          <w:szCs w:val="18"/>
          <w:color w:val="auto"/>
        </w:rPr>
      </w:pPr>
    </w:p>
    <w:p>
      <w:pPr>
        <w:ind w:left="460" w:right="8520" w:hanging="452"/>
        <w:spacing w:after="0" w:line="50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have been or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500" w:type="dxa"/>
            <w:vAlign w:val="bottom"/>
            <w:gridSpan w:val="10"/>
          </w:tcPr>
          <w:p>
            <w:pPr>
              <w:ind w:left="90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10"/>
          </w:tcPr>
          <w:p>
            <w:pPr>
              <w:ind w:left="820"/>
              <w:spacing w:after="0"/>
              <w:rPr>
                <w:sz w:val="20"/>
                <w:szCs w:val="20"/>
                <w:color w:val="auto"/>
              </w:rPr>
            </w:pPr>
            <w:r>
              <w:rPr>
                <w:rFonts w:ascii="Arial" w:cs="Arial" w:eastAsia="Arial" w:hAnsi="Arial"/>
                <w:sz w:val="18"/>
                <w:szCs w:val="18"/>
                <w:b w:val="1"/>
                <w:bCs w:val="1"/>
                <w:color w:val="auto"/>
              </w:rPr>
              <w:t>(Unless Otherwise Indicated)</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0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191"/>
        </w:trPr>
        <w:tc>
          <w:tcPr>
            <w:tcW w:w="9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00" w:type="dxa"/>
            <w:vAlign w:val="bottom"/>
            <w:gridSpan w:val="10"/>
          </w:tcPr>
          <w:p>
            <w:pPr>
              <w:ind w:left="900"/>
              <w:spacing w:after="0" w:line="191" w:lineRule="exact"/>
              <w:rPr>
                <w:sz w:val="20"/>
                <w:szCs w:val="20"/>
                <w:color w:val="auto"/>
              </w:rPr>
            </w:pPr>
            <w:r>
              <w:rPr>
                <w:rFonts w:ascii="Arial" w:cs="Arial" w:eastAsia="Arial" w:hAnsi="Arial"/>
                <w:sz w:val="18"/>
                <w:szCs w:val="18"/>
                <w:b w:val="1"/>
                <w:bCs w:val="1"/>
                <w:color w:val="auto"/>
              </w:rPr>
              <w:t>Exhibit Title</w:t>
            </w:r>
          </w:p>
        </w:tc>
        <w:tc>
          <w:tcPr>
            <w:tcW w:w="1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Form</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w:t>
            </w: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6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Arial" w:cs="Arial" w:eastAsia="Arial" w:hAnsi="Arial"/>
                <w:sz w:val="18"/>
                <w:szCs w:val="18"/>
                <w:color w:val="0000EE"/>
                <w:w w:val="99"/>
              </w:rPr>
            </w:pPr>
            <w:hyperlink r:id="rId60">
              <w:r>
                <w:rPr>
                  <w:rFonts w:ascii="Arial" w:cs="Arial" w:eastAsia="Arial" w:hAnsi="Arial"/>
                  <w:sz w:val="18"/>
                  <w:szCs w:val="18"/>
                  <w:color w:val="0000EE"/>
                  <w:w w:val="99"/>
                </w:rPr>
                <w:t>Agreement and Plan of Merger between Synthetic Blood International, Inc. and</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002-31909</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2.01</w:t>
            </w:r>
          </w:p>
        </w:tc>
        <w:tc>
          <w:tcPr>
            <w:tcW w:w="102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Oxygen Biotherapeutics, Inc. dated April 28, 2008.</w:t>
              </w:r>
            </w:hyperlink>
          </w:p>
        </w:tc>
        <w:tc>
          <w:tcPr>
            <w:tcW w:w="520" w:type="dxa"/>
            <w:vAlign w:val="bottom"/>
            <w:tcBorders>
              <w:top w:val="single" w:sz="8" w:color="CCEEFF"/>
            </w:tcBorders>
            <w:gridSpan w:val="6"/>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61">
              <w:r>
                <w:rPr>
                  <w:rFonts w:ascii="Arial" w:cs="Arial" w:eastAsia="Arial" w:hAnsi="Arial"/>
                  <w:sz w:val="18"/>
                  <w:szCs w:val="18"/>
                  <w:color w:val="0000EE"/>
                  <w:w w:val="87"/>
                </w:rPr>
                <w:t>2.2</w:t>
              </w:r>
            </w:hyperlink>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Arial" w:cs="Arial" w:eastAsia="Arial" w:hAnsi="Arial"/>
                <w:sz w:val="18"/>
                <w:szCs w:val="18"/>
                <w:color w:val="0000EE"/>
                <w:w w:val="99"/>
              </w:rPr>
            </w:pPr>
            <w:hyperlink r:id="rId61">
              <w:r>
                <w:rPr>
                  <w:rFonts w:ascii="Arial" w:cs="Arial" w:eastAsia="Arial" w:hAnsi="Arial"/>
                  <w:sz w:val="18"/>
                  <w:szCs w:val="18"/>
                  <w:color w:val="0000EE"/>
                  <w:w w:val="99"/>
                </w:rPr>
                <w:t>Asset Purchase Agreement by and between Oxygen Biotherapeutics, Inc., Life</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02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1"/>
              </w:rPr>
              <w:t>October 25,</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Newco, Inc., Phyxius Pharma, Inc., and the stockholders of Phyxius Pharma, Inc.</w:t>
              </w:r>
            </w:hyperlink>
          </w:p>
        </w:tc>
        <w:tc>
          <w:tcPr>
            <w:tcW w:w="380" w:type="dxa"/>
            <w:vAlign w:val="bottom"/>
            <w:tcBorders>
              <w:bottom w:val="single" w:sz="8" w:color="CCEEFF"/>
            </w:tcBorders>
            <w:gridSpan w:val="5"/>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40" w:type="dxa"/>
            <w:vAlign w:val="bottom"/>
            <w:gridSpan w:val="12"/>
            <w:shd w:val="clear" w:color="auto" w:fill="CCEEFF"/>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dated October 21, 2013.</w:t>
              </w:r>
            </w:hyperlink>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6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Agreement and Plan of Merger among PHPrecisionMed Inc., Tenax Therapeutics,</w:t>
              </w:r>
            </w:hyperlink>
          </w:p>
        </w:tc>
        <w:tc>
          <w:tcPr>
            <w:tcW w:w="320" w:type="dxa"/>
            <w:vAlign w:val="bottom"/>
            <w:tcBorders>
              <w:bottom w:val="single" w:sz="8" w:color="CCEEFF"/>
            </w:tcBorders>
            <w:gridSpan w:val="4"/>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0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7"/>
              </w:rPr>
              <w:t>January 19,</w:t>
            </w: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40" w:type="dxa"/>
            <w:vAlign w:val="bottom"/>
            <w:gridSpan w:val="12"/>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Inc., Life Newco II, Inc., and Dr. Stuart Rich dated January 15, 2021.</w:t>
              </w:r>
            </w:hyperlink>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gridSpan w:val="2"/>
            <w:shd w:val="clear" w:color="auto" w:fill="CCEEFF"/>
          </w:tcPr>
          <w:p>
            <w:pPr>
              <w:spacing w:after="0" w:line="176" w:lineRule="exact"/>
              <w:rPr>
                <w:rFonts w:ascii="Arial" w:cs="Arial" w:eastAsia="Arial" w:hAnsi="Arial"/>
                <w:sz w:val="18"/>
                <w:szCs w:val="18"/>
                <w:color w:val="0000EE"/>
                <w:w w:val="84"/>
              </w:rPr>
            </w:pPr>
            <w:hyperlink r:id="rId6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Certificate of Incorporation of Oxygen Biotherapeutics, Inc., dated April 17, 2008.</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002-31909</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3.01</w:t>
            </w:r>
          </w:p>
        </w:tc>
        <w:tc>
          <w:tcPr>
            <w:tcW w:w="102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196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4"/>
              </w:rPr>
            </w:pPr>
            <w:hyperlink r:id="rId6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1.2</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Certificate of Amendment of the Certificate of Incorporation, effective November 9,</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002-31909</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02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1"/>
              </w:rPr>
              <w:t>November</w:t>
            </w: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100"/>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2009.</w:t>
              </w:r>
            </w:hyperlink>
          </w:p>
        </w:tc>
        <w:tc>
          <w:tcPr>
            <w:tcW w:w="1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88"/>
              </w:rPr>
              <w:t>13, 2009</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gridSpan w:val="2"/>
            <w:shd w:val="clear" w:color="auto" w:fill="CCEEFF"/>
          </w:tcPr>
          <w:p>
            <w:pPr>
              <w:spacing w:after="0" w:line="176" w:lineRule="exact"/>
              <w:rPr>
                <w:rFonts w:ascii="Arial" w:cs="Arial" w:eastAsia="Arial" w:hAnsi="Arial"/>
                <w:sz w:val="18"/>
                <w:szCs w:val="18"/>
                <w:color w:val="0000EE"/>
                <w:w w:val="84"/>
              </w:rPr>
            </w:pPr>
            <w:hyperlink r:id="rId6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1.3</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Certificate of Amendment of the Certificate of Incorporation, effective May 10, 2013.</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02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3"/>
              </w:rPr>
              <w:t>May 15,</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196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4"/>
              </w:rPr>
            </w:pPr>
            <w:hyperlink r:id="rId6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1.4</w:t>
              </w:r>
            </w:hyperlink>
          </w:p>
        </w:tc>
        <w:tc>
          <w:tcPr>
            <w:tcW w:w="640" w:type="dxa"/>
            <w:vAlign w:val="bottom"/>
            <w:tcBorders>
              <w:bottom w:val="single" w:sz="8" w:color="CCEEFF"/>
            </w:tcBorders>
            <w:shd w:val="clear" w:color="auto" w:fill="CCEEFF"/>
          </w:tcPr>
          <w:p>
            <w:pPr>
              <w:spacing w:after="0"/>
              <w:rPr>
                <w:sz w:val="18"/>
                <w:szCs w:val="18"/>
                <w:color w:val="auto"/>
              </w:rPr>
            </w:pPr>
          </w:p>
        </w:tc>
        <w:tc>
          <w:tcPr>
            <w:tcW w:w="618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2"/>
              </w:rPr>
            </w:pPr>
            <w:hyperlink r:id="rId67">
              <w:r>
                <w:rPr>
                  <w:rFonts w:ascii="Arial" w:cs="Arial" w:eastAsia="Arial" w:hAnsi="Arial"/>
                  <w:sz w:val="18"/>
                  <w:szCs w:val="18"/>
                  <w:color w:val="0000EE"/>
                  <w:w w:val="92"/>
                </w:rPr>
                <w:t>Certificate of Amendment of the Certificate of Incorporation, effective September 19,</w:t>
              </w:r>
            </w:hyperlink>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001-34600</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w:t>
            </w:r>
          </w:p>
        </w:tc>
      </w:tr>
      <w:tr>
        <w:trPr>
          <w:trHeight w:val="216"/>
        </w:trPr>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2014.</w:t>
              </w:r>
            </w:hyperlink>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8"/>
              </w:rPr>
              <w:t>15, 2014</w:t>
            </w: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6"/>
        </w:trPr>
        <w:tc>
          <w:tcPr>
            <w:tcW w:w="3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4"/>
              </w:rPr>
            </w:pPr>
            <w:hyperlink r:id="rId6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1.5</w:t>
              </w:r>
            </w:hyperlink>
          </w:p>
        </w:tc>
        <w:tc>
          <w:tcPr>
            <w:tcW w:w="640" w:type="dxa"/>
            <w:vAlign w:val="bottom"/>
            <w:tcBorders>
              <w:bottom w:val="single" w:sz="8" w:color="CCEEFF"/>
            </w:tcBorders>
            <w:shd w:val="clear" w:color="auto" w:fill="CCEEFF"/>
          </w:tcPr>
          <w:p>
            <w:pPr>
              <w:spacing w:after="0"/>
              <w:rPr>
                <w:sz w:val="15"/>
                <w:szCs w:val="15"/>
                <w:color w:val="auto"/>
              </w:rPr>
            </w:pPr>
          </w:p>
        </w:tc>
        <w:tc>
          <w:tcPr>
            <w:tcW w:w="6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Certificate of Amendment of the Certificate of Incorporation, effective February 23,</w:t>
              </w:r>
            </w:hyperlink>
          </w:p>
        </w:tc>
        <w:tc>
          <w:tcPr>
            <w:tcW w:w="34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110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1"/>
              </w:rPr>
              <w:t>February</w:t>
            </w:r>
          </w:p>
        </w:tc>
      </w:tr>
      <w:tr>
        <w:trPr>
          <w:trHeight w:val="216"/>
        </w:trPr>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2018.</w:t>
              </w:r>
            </w:hyperlink>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8"/>
              </w:rPr>
              <w:t>23, 2018</w:t>
            </w: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Certificate of Designation of Series A Convertible Preferred Stock, dated December</w:t>
              </w:r>
            </w:hyperlink>
          </w:p>
        </w:tc>
        <w:tc>
          <w:tcPr>
            <w:tcW w:w="34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4.1</w:t>
            </w:r>
          </w:p>
        </w:tc>
        <w:tc>
          <w:tcPr>
            <w:tcW w:w="110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December</w:t>
            </w:r>
          </w:p>
        </w:tc>
      </w:tr>
      <w:tr>
        <w:trPr>
          <w:trHeight w:val="216"/>
        </w:trPr>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640"/>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10, 2018.</w:t>
              </w:r>
            </w:hyperlink>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8"/>
              </w:rPr>
              <w:t>11, 2018</w:t>
            </w: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360" w:type="dxa"/>
            <w:vAlign w:val="bottom"/>
            <w:gridSpan w:val="4"/>
            <w:shd w:val="clear" w:color="auto" w:fill="CCEEFF"/>
          </w:tcPr>
          <w:p>
            <w:pPr>
              <w:ind w:left="60"/>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640" w:type="dxa"/>
            <w:vAlign w:val="bottom"/>
            <w:shd w:val="clear" w:color="auto" w:fill="CCEEFF"/>
          </w:tcPr>
          <w:p>
            <w:pPr>
              <w:spacing w:after="0"/>
              <w:rPr>
                <w:sz w:val="15"/>
                <w:szCs w:val="15"/>
                <w:color w:val="auto"/>
              </w:rPr>
            </w:pPr>
          </w:p>
        </w:tc>
        <w:tc>
          <w:tcPr>
            <w:tcW w:w="6400" w:type="dxa"/>
            <w:vAlign w:val="bottom"/>
            <w:gridSpan w:val="10"/>
            <w:shd w:val="clear" w:color="auto" w:fill="CCEEFF"/>
          </w:tcPr>
          <w:p>
            <w:pPr>
              <w:spacing w:after="0" w:line="17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Certificate of Designation of Series B Convertible Preferred Stock, dated January 15,</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4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4.1</w:t>
            </w:r>
          </w:p>
        </w:tc>
        <w:tc>
          <w:tcPr>
            <w:tcW w:w="11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7"/>
              </w:rPr>
              <w:t>January 19,</w:t>
            </w:r>
          </w:p>
        </w:tc>
      </w:tr>
      <w:tr>
        <w:trPr>
          <w:trHeight w:val="216"/>
        </w:trPr>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2021.</w:t>
              </w:r>
            </w:hyperlink>
          </w:p>
        </w:tc>
        <w:tc>
          <w:tcPr>
            <w:tcW w:w="134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32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89"/>
              </w:rPr>
              <w:t>2021</w:t>
            </w: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280" w:type="dxa"/>
            <w:vAlign w:val="bottom"/>
            <w:gridSpan w:val="3"/>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0" w:type="dxa"/>
            <w:vAlign w:val="bottom"/>
            <w:gridSpan w:val="10"/>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Third Amended and Restated Bylaws.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4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11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September</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0000EE"/>
            </w:tcBorders>
            <w:shd w:val="clear" w:color="auto" w:fill="CCEEFF"/>
          </w:tcPr>
          <w:p>
            <w:pPr>
              <w:spacing w:after="0"/>
              <w:rPr>
                <w:sz w:val="20"/>
                <w:szCs w:val="20"/>
                <w:color w:val="auto"/>
              </w:rPr>
            </w:pPr>
          </w:p>
        </w:tc>
        <w:tc>
          <w:tcPr>
            <w:tcW w:w="3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9, 2015</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280" w:type="dxa"/>
            <w:vAlign w:val="bottom"/>
            <w:gridSpan w:val="3"/>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0" w:type="dxa"/>
            <w:vAlign w:val="bottom"/>
            <w:gridSpan w:val="10"/>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Specimen Stock Certificate.</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24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4.1</w:t>
            </w:r>
          </w:p>
        </w:tc>
        <w:tc>
          <w:tcPr>
            <w:tcW w:w="11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3"/>
              </w:rPr>
              <w:t>July 23,</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2010</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1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Representative’s Warrant to Purchase Shares of Common Stock, dated December 11,</w:t>
              </w:r>
            </w:hyperlink>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4.2</w:t>
            </w:r>
          </w:p>
        </w:tc>
        <w:tc>
          <w:tcPr>
            <w:tcW w:w="110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December</w:t>
            </w:r>
          </w:p>
        </w:tc>
      </w:tr>
      <w:tr>
        <w:trPr>
          <w:trHeight w:val="217"/>
        </w:trPr>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2018.</w:t>
              </w:r>
            </w:hyperlink>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8"/>
              </w:rPr>
              <w:t>11, 2018</w:t>
            </w: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6"/>
        </w:trPr>
        <w:tc>
          <w:tcPr>
            <w:tcW w:w="280" w:type="dxa"/>
            <w:vAlign w:val="bottom"/>
            <w:gridSpan w:val="3"/>
            <w:shd w:val="clear" w:color="auto" w:fill="CCEEFF"/>
          </w:tcPr>
          <w:p>
            <w:pPr>
              <w:spacing w:after="0" w:line="176" w:lineRule="exact"/>
              <w:rPr>
                <w:rFonts w:ascii="Arial" w:cs="Arial" w:eastAsia="Arial" w:hAnsi="Arial"/>
                <w:sz w:val="18"/>
                <w:szCs w:val="18"/>
                <w:color w:val="0000EE"/>
              </w:rPr>
            </w:pPr>
            <w:hyperlink r:id="rId7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0" w:type="dxa"/>
            <w:vAlign w:val="bottom"/>
            <w:gridSpan w:val="10"/>
            <w:shd w:val="clear" w:color="auto" w:fill="CCEEFF"/>
          </w:tcPr>
          <w:p>
            <w:pPr>
              <w:spacing w:after="0" w:line="17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Form of Warrant to Purchase Shares of Common Stock, dated December 11, 2018.</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4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001-34600</w:t>
            </w:r>
          </w:p>
        </w:tc>
        <w:tc>
          <w:tcPr>
            <w:tcW w:w="70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4.3</w:t>
            </w:r>
          </w:p>
        </w:tc>
        <w:tc>
          <w:tcPr>
            <w:tcW w:w="11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December</w:t>
            </w:r>
          </w:p>
        </w:tc>
      </w:tr>
      <w:tr>
        <w:trPr>
          <w:trHeight w:val="151"/>
        </w:trPr>
        <w:tc>
          <w:tcPr>
            <w:tcW w:w="60" w:type="dxa"/>
            <w:vAlign w:val="bottom"/>
            <w:tcBorders>
              <w:top w:val="single" w:sz="8" w:color="0000EE"/>
            </w:tcBorders>
            <w:shd w:val="clear" w:color="auto" w:fill="CCEEFF"/>
          </w:tcPr>
          <w:p>
            <w:pPr>
              <w:spacing w:after="0"/>
              <w:rPr>
                <w:sz w:val="13"/>
                <w:szCs w:val="13"/>
                <w:color w:val="auto"/>
              </w:rPr>
            </w:pPr>
          </w:p>
        </w:tc>
        <w:tc>
          <w:tcPr>
            <w:tcW w:w="18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340" w:type="dxa"/>
            <w:vAlign w:val="bottom"/>
            <w:tcBorders>
              <w:top w:val="single" w:sz="8" w:color="0000EE"/>
            </w:tcBorders>
            <w:shd w:val="clear" w:color="auto" w:fill="CCEEFF"/>
          </w:tcPr>
          <w:p>
            <w:pPr>
              <w:spacing w:after="0"/>
              <w:rPr>
                <w:sz w:val="13"/>
                <w:szCs w:val="13"/>
                <w:color w:val="auto"/>
              </w:rPr>
            </w:pPr>
          </w:p>
        </w:tc>
        <w:tc>
          <w:tcPr>
            <w:tcW w:w="740" w:type="dxa"/>
            <w:vAlign w:val="bottom"/>
            <w:tcBorders>
              <w:top w:val="single" w:sz="8" w:color="0000EE"/>
            </w:tcBorders>
            <w:shd w:val="clear" w:color="auto" w:fill="CCEEFF"/>
          </w:tcPr>
          <w:p>
            <w:pPr>
              <w:spacing w:after="0"/>
              <w:rPr>
                <w:sz w:val="13"/>
                <w:szCs w:val="13"/>
                <w:color w:val="auto"/>
              </w:rPr>
            </w:pPr>
          </w:p>
        </w:tc>
        <w:tc>
          <w:tcPr>
            <w:tcW w:w="3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r>
    </w:tbl>
    <w:p>
      <w:pPr>
        <w:sectPr>
          <w:pgSz w:w="11900" w:h="16900" w:orient="portrait"/>
          <w:cols w:equalWidth="0" w:num="1">
            <w:col w:w="11240"/>
          </w:cols>
          <w:pgMar w:left="320" w:top="557"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11, 2018</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Warrant Agency Agreement, dated December 11, 2018</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4.4</w:t>
            </w:r>
          </w:p>
        </w:tc>
        <w:tc>
          <w:tcPr>
            <w:tcW w:w="10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December</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11, 2018</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Form of Pre-Funded Warrant, dated March 13,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2"/>
              </w:rPr>
              <w:t>March 13,</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Form of Unregistered Warrant, dated March 13,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0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2"/>
              </w:rPr>
              <w:t>March 13,</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Form of Placement Agent Warrant, dated March 13,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0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2"/>
              </w:rPr>
              <w:t>March 13,</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Form of Pre-Funded Warrant, dated July 6,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0"/>
              </w:rPr>
              <w:t>July 8, 2020</w:t>
            </w: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Form of Unregistered Warrant, dated July 6,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0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0"/>
              </w:rPr>
              <w:t>July 8, 2020</w:t>
            </w: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Form of Placement Agent Warrant, dated July 6,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0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0"/>
              </w:rPr>
              <w:t>July 8, 2020</w:t>
            </w: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w w:val="85"/>
              </w:rPr>
            </w:pPr>
            <w:hyperlink r:id="rId8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Form of Unregistered Pre-Funded Warrant, dated July 6, 2021.</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0"/>
              </w:rPr>
              <w:t>July 8, 2021</w:t>
            </w: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4.</w:t>
              </w:r>
              <w:r>
                <w:rPr>
                  <w:rFonts w:ascii="Arial" w:cs="Arial" w:eastAsia="Arial" w:hAnsi="Arial"/>
                  <w:sz w:val="18"/>
                  <w:szCs w:val="18"/>
                  <w:u w:val="single" w:color="auto"/>
                  <w:color w:val="0000EE"/>
                </w:rPr>
                <w:t>12</w:t>
              </w:r>
            </w:hyperlink>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Form of Unregistered Warrant, dated July 6, 2021.</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0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0"/>
              </w:rPr>
              <w:t>July 8, 2021</w:t>
            </w: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4.</w:t>
              </w:r>
              <w:r>
                <w:rPr>
                  <w:rFonts w:ascii="Arial" w:cs="Arial" w:eastAsia="Arial" w:hAnsi="Arial"/>
                  <w:sz w:val="18"/>
                  <w:szCs w:val="18"/>
                  <w:u w:val="single" w:color="auto"/>
                  <w:color w:val="0000EE"/>
                </w:rPr>
                <w:t>13</w:t>
              </w:r>
            </w:hyperlink>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Form of HCW Warrant, dated July 6, 2021.</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08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0"/>
              </w:rPr>
              <w:t>July 8, 2021</w:t>
            </w:r>
          </w:p>
        </w:tc>
      </w:tr>
      <w:tr>
        <w:trPr>
          <w:trHeight w:val="648"/>
        </w:trPr>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gridSpan w:val="7"/>
          </w:tcPr>
          <w:p>
            <w:pPr>
              <w:spacing w:after="0"/>
              <w:rPr>
                <w:sz w:val="24"/>
                <w:szCs w:val="24"/>
                <w:color w:val="auto"/>
              </w:rPr>
            </w:pPr>
          </w:p>
        </w:tc>
        <w:tc>
          <w:tcPr>
            <w:tcW w:w="1720" w:type="dxa"/>
            <w:vAlign w:val="bottom"/>
            <w:tcBorders>
              <w:top w:val="single" w:sz="8" w:color="CCEEFF"/>
              <w:bottom w:val="single" w:sz="8" w:color="auto"/>
            </w:tcBorders>
            <w:gridSpan w:val="11"/>
          </w:tcPr>
          <w:p>
            <w:pPr>
              <w:jc w:val="right"/>
              <w:ind w:right="140"/>
              <w:spacing w:after="0"/>
              <w:rPr>
                <w:sz w:val="20"/>
                <w:szCs w:val="20"/>
                <w:color w:val="auto"/>
              </w:rPr>
            </w:pPr>
            <w:r>
              <w:rPr>
                <w:rFonts w:ascii="Arial" w:cs="Arial" w:eastAsia="Arial" w:hAnsi="Arial"/>
                <w:sz w:val="18"/>
                <w:szCs w:val="18"/>
                <w:color w:val="auto"/>
              </w:rPr>
              <w:t>52</w:t>
            </w:r>
          </w:p>
        </w:tc>
        <w:tc>
          <w:tcPr>
            <w:tcW w:w="6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r>
      <w:tr>
        <w:trPr>
          <w:trHeight w:val="372"/>
        </w:trPr>
        <w:tc>
          <w:tcPr>
            <w:tcW w:w="7360" w:type="dxa"/>
            <w:vAlign w:val="bottom"/>
            <w:gridSpan w:val="32"/>
          </w:tcPr>
          <w:p>
            <w:pPr>
              <w:spacing w:after="0"/>
              <w:rPr>
                <w:sz w:val="20"/>
                <w:szCs w:val="20"/>
                <w:color w:val="auto"/>
              </w:rPr>
            </w:pPr>
            <w:r>
              <w:rPr>
                <w:rFonts w:ascii="Arial" w:cs="Arial" w:eastAsia="Arial" w:hAnsi="Arial"/>
                <w:sz w:val="18"/>
                <w:szCs w:val="18"/>
                <w:i w:val="1"/>
                <w:iCs w:val="1"/>
                <w:color w:val="0000EE"/>
              </w:rPr>
              <w:t>Table of Contents</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4.</w:t>
              </w:r>
              <w:r>
                <w:rPr>
                  <w:rFonts w:ascii="Arial" w:cs="Arial" w:eastAsia="Arial" w:hAnsi="Arial"/>
                  <w:sz w:val="18"/>
                  <w:szCs w:val="18"/>
                  <w:u w:val="single" w:color="auto"/>
                  <w:color w:val="0000EE"/>
                </w:rPr>
                <w:t>14</w:t>
              </w:r>
            </w:hyperlink>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Form of Pre-Funded Warrant (2022)</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8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3"/>
              </w:rPr>
              <w:t>May 20,</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4.</w:t>
              </w:r>
              <w:r>
                <w:rPr>
                  <w:rFonts w:ascii="Arial" w:cs="Arial" w:eastAsia="Arial" w:hAnsi="Arial"/>
                  <w:sz w:val="18"/>
                  <w:szCs w:val="18"/>
                  <w:u w:val="single" w:color="auto"/>
                  <w:color w:val="0000EE"/>
                </w:rPr>
                <w:t>15</w:t>
              </w:r>
            </w:hyperlink>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Form of Series E Common Stock Warrant (2022)</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08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3"/>
              </w:rPr>
              <w:t>May 20,</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4.</w:t>
              </w:r>
              <w:r>
                <w:rPr>
                  <w:rFonts w:ascii="Arial" w:cs="Arial" w:eastAsia="Arial" w:hAnsi="Arial"/>
                  <w:sz w:val="18"/>
                  <w:szCs w:val="18"/>
                  <w:u w:val="single" w:color="auto"/>
                  <w:color w:val="0000EE"/>
                </w:rPr>
                <w:t>16</w:t>
              </w:r>
            </w:hyperlink>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w w:val="99"/>
              </w:rPr>
            </w:pPr>
            <w:hyperlink r:id="rId87">
              <w:r>
                <w:rPr>
                  <w:rFonts w:ascii="Arial" w:cs="Arial" w:eastAsia="Arial" w:hAnsi="Arial"/>
                  <w:sz w:val="18"/>
                  <w:szCs w:val="18"/>
                  <w:color w:val="0000EE"/>
                  <w:w w:val="99"/>
                </w:rPr>
                <w:t>Warrant Amendment Agreement, dated as of May 17, 2022, by and between the</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08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3"/>
              </w:rPr>
              <w:t>May 20,</w:t>
            </w:r>
          </w:p>
        </w:tc>
      </w:tr>
      <w:tr>
        <w:trPr>
          <w:trHeight w:val="216"/>
        </w:trPr>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Company and the Investor</w:t>
              </w:r>
            </w:hyperlink>
          </w:p>
        </w:tc>
        <w:tc>
          <w:tcPr>
            <w:tcW w:w="60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2022</w:t>
            </w: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4.17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60" w:type="dxa"/>
            <w:vAlign w:val="bottom"/>
            <w:gridSpan w:val="23"/>
            <w:shd w:val="clear" w:color="auto" w:fill="CCEEFF"/>
          </w:tcPr>
          <w:p>
            <w:pPr>
              <w:spacing w:after="0" w:line="201" w:lineRule="exact"/>
              <w:rPr>
                <w:sz w:val="20"/>
                <w:szCs w:val="20"/>
                <w:color w:val="auto"/>
              </w:rPr>
            </w:pPr>
            <w:r>
              <w:rPr>
                <w:rFonts w:ascii="Arial" w:cs="Arial" w:eastAsia="Arial" w:hAnsi="Arial"/>
                <w:sz w:val="18"/>
                <w:szCs w:val="18"/>
                <w:color w:val="auto"/>
              </w:rPr>
              <w:t>Description of Common Stock.</w:t>
            </w:r>
          </w:p>
        </w:tc>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7"/>
              </w:rPr>
              <w:t>Filed</w:t>
            </w:r>
          </w:p>
        </w:tc>
      </w:tr>
      <w:tr>
        <w:trPr>
          <w:trHeight w:val="230"/>
        </w:trPr>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herewith</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600" w:type="dxa"/>
            <w:vAlign w:val="bottom"/>
            <w:gridSpan w:val="8"/>
            <w:shd w:val="clear" w:color="auto" w:fill="CCEEFF"/>
          </w:tcPr>
          <w:p>
            <w:pPr>
              <w:spacing w:after="0" w:line="17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1.1+</w:t>
              </w:r>
            </w:hyperlink>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1999 Amended Stock Plan, as amended and restated June 17, 2008.</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002-31909</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10.15</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13,</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2008</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600" w:type="dxa"/>
            <w:vAlign w:val="bottom"/>
            <w:gridSpan w:val="8"/>
            <w:shd w:val="clear" w:color="auto" w:fill="CCEEFF"/>
          </w:tcPr>
          <w:p>
            <w:pPr>
              <w:spacing w:after="0" w:line="17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1.2+</w:t>
              </w:r>
            </w:hyperlink>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89">
              <w:r>
                <w:rPr>
                  <w:rFonts w:ascii="Arial" w:cs="Arial" w:eastAsia="Arial" w:hAnsi="Arial"/>
                  <w:sz w:val="18"/>
                  <w:szCs w:val="18"/>
                  <w:color w:val="0000EE"/>
                </w:rPr>
                <w:t>Amendment No. 1 to Oxygen Biotherapeutics, Inc. 1999 Amended Stock Plan.</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10.19</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3"/>
              </w:rPr>
              <w:t>July 29,</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2014</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000" w:type="dxa"/>
            <w:vAlign w:val="bottom"/>
            <w:gridSpan w:val="9"/>
            <w:shd w:val="clear" w:color="auto" w:fill="CCEEFF"/>
          </w:tcPr>
          <w:p>
            <w:pPr>
              <w:ind w:left="60"/>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Amendment No. 2 to Oxygen Biotherapeutics, Inc. 1999 Amended Stock Plan.</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10.20</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3"/>
              </w:rPr>
              <w:t>July 29,</w:t>
            </w:r>
          </w:p>
        </w:tc>
      </w:tr>
      <w:tr>
        <w:trPr>
          <w:trHeight w:val="237"/>
        </w:trPr>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2014</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600" w:type="dxa"/>
            <w:vAlign w:val="bottom"/>
            <w:gridSpan w:val="8"/>
            <w:shd w:val="clear" w:color="auto" w:fill="CCEEFF"/>
          </w:tcPr>
          <w:p>
            <w:pPr>
              <w:spacing w:after="0" w:line="17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1.4+</w:t>
              </w:r>
            </w:hyperlink>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Form of Option issued to Executive Officers and Directors.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002-31909</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13,</w:t>
            </w: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2004</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600" w:type="dxa"/>
            <w:vAlign w:val="bottom"/>
            <w:gridSpan w:val="8"/>
            <w:shd w:val="clear" w:color="auto" w:fill="CCEEFF"/>
          </w:tcPr>
          <w:p>
            <w:pPr>
              <w:spacing w:after="0" w:line="176" w:lineRule="exact"/>
              <w:rPr>
                <w:rFonts w:ascii="Arial" w:cs="Arial" w:eastAsia="Arial" w:hAnsi="Arial"/>
                <w:sz w:val="18"/>
                <w:szCs w:val="18"/>
                <w:color w:val="0000EE"/>
                <w:w w:val="95"/>
              </w:rPr>
            </w:pPr>
            <w:hyperlink r:id="rId9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1.5+</w:t>
              </w:r>
            </w:hyperlink>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Form of Option issued to Employees.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002-31909</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13,</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2004</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600" w:type="dxa"/>
            <w:vAlign w:val="bottom"/>
            <w:gridSpan w:val="8"/>
            <w:shd w:val="clear" w:color="auto" w:fill="CCEEFF"/>
          </w:tcPr>
          <w:p>
            <w:pPr>
              <w:spacing w:after="0" w:line="176"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1.6+</w:t>
              </w:r>
            </w:hyperlink>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3">
              <w:r>
                <w:rPr>
                  <w:rFonts w:ascii="Arial" w:cs="Arial" w:eastAsia="Arial" w:hAnsi="Arial"/>
                  <w:sz w:val="18"/>
                  <w:szCs w:val="18"/>
                  <w:color w:val="0000EE"/>
                </w:rPr>
                <w:t>Form of Option Agreement with Form of Notice of Grant.</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10.9</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2"/>
              </w:rPr>
              <w:t>March 16,</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2017</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540" w:type="dxa"/>
            <w:vAlign w:val="bottom"/>
            <w:gridSpan w:val="6"/>
            <w:shd w:val="clear" w:color="auto" w:fill="CCEEFF"/>
          </w:tcPr>
          <w:p>
            <w:pPr>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Lease Agreement for North Carolina Corporate Office.</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2"/>
              </w:rPr>
              <w:t>March 21,</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540" w:type="dxa"/>
            <w:vAlign w:val="bottom"/>
            <w:gridSpan w:val="6"/>
            <w:shd w:val="clear" w:color="auto" w:fill="CCEEFF"/>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First Amendment to Lease Agreement for North Carolina Corporate Office.</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10.74</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2"/>
              </w:rPr>
              <w:t>March 14,</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2016</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460" w:type="dxa"/>
            <w:vAlign w:val="bottom"/>
            <w:gridSpan w:val="5"/>
            <w:shd w:val="clear" w:color="auto" w:fill="CCEEFF"/>
          </w:tcPr>
          <w:p>
            <w:pPr>
              <w:spacing w:after="0" w:line="176" w:lineRule="exact"/>
              <w:rPr>
                <w:rFonts w:ascii="Arial" w:cs="Arial" w:eastAsia="Arial" w:hAnsi="Arial"/>
                <w:sz w:val="18"/>
                <w:szCs w:val="18"/>
                <w:color w:val="0000EE"/>
                <w:w w:val="96"/>
              </w:rPr>
            </w:pPr>
            <w:hyperlink r:id="rId96">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3+</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Form of Indemnification Agreement.</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10.36</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3"/>
              </w:rPr>
              <w:t>July 15,</w:t>
            </w: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2011</w:t>
            </w: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560" w:type="dxa"/>
            <w:vAlign w:val="bottom"/>
            <w:gridSpan w:val="7"/>
            <w:shd w:val="clear" w:color="auto" w:fill="CCEEFF"/>
          </w:tcPr>
          <w:p>
            <w:pPr>
              <w:spacing w:after="0" w:line="17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4.1*</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60" w:type="dxa"/>
            <w:vAlign w:val="bottom"/>
            <w:gridSpan w:val="23"/>
            <w:shd w:val="clear" w:color="auto" w:fill="CCEEFF"/>
          </w:tcPr>
          <w:p>
            <w:pPr>
              <w:spacing w:after="0" w:line="17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License Agreement dated September 20, 2013 by and between Phyxius Pharma, Inc.</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001-34600</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2"/>
              </w:rPr>
              <w:t>March 17,</w:t>
            </w:r>
          </w:p>
        </w:tc>
      </w:tr>
      <w:tr>
        <w:trPr>
          <w:trHeight w:val="196"/>
        </w:trPr>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10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and Orion Corporation.</w:t>
              </w:r>
            </w:hyperlink>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2014</w:t>
            </w: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4"/>
            <w:shd w:val="clear" w:color="auto" w:fill="CCEEFF"/>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4.2*</w:t>
              </w:r>
            </w:hyperlink>
          </w:p>
        </w:tc>
        <w:tc>
          <w:tcPr>
            <w:tcW w:w="440" w:type="dxa"/>
            <w:vAlign w:val="bottom"/>
            <w:shd w:val="clear" w:color="auto" w:fill="CCEEFF"/>
          </w:tcPr>
          <w:p>
            <w:pPr>
              <w:spacing w:after="0"/>
              <w:rPr>
                <w:sz w:val="17"/>
                <w:szCs w:val="17"/>
                <w:color w:val="auto"/>
              </w:rPr>
            </w:pPr>
          </w:p>
        </w:tc>
        <w:tc>
          <w:tcPr>
            <w:tcW w:w="6400" w:type="dxa"/>
            <w:vAlign w:val="bottom"/>
            <w:gridSpan w:val="14"/>
            <w:shd w:val="clear" w:color="auto" w:fill="CCEEFF"/>
          </w:tcPr>
          <w:p>
            <w:pPr>
              <w:spacing w:after="0"/>
              <w:rPr>
                <w:rFonts w:ascii="Arial" w:cs="Arial" w:eastAsia="Arial" w:hAnsi="Arial"/>
                <w:sz w:val="18"/>
                <w:szCs w:val="18"/>
                <w:color w:val="0000EE"/>
                <w:w w:val="98"/>
              </w:rPr>
            </w:pPr>
            <w:hyperlink r:id="rId99">
              <w:r>
                <w:rPr>
                  <w:rFonts w:ascii="Arial" w:cs="Arial" w:eastAsia="Arial" w:hAnsi="Arial"/>
                  <w:sz w:val="18"/>
                  <w:szCs w:val="18"/>
                  <w:color w:val="0000EE"/>
                  <w:w w:val="98"/>
                </w:rPr>
                <w:t>Amendment to License Agreement, dated as of October 9, 2020, by and between</w:t>
              </w:r>
            </w:hyperlink>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October 15,</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Tenax Therapeutics, Inc. and Orion Corporation.</w:t>
              </w:r>
            </w:hyperlink>
          </w:p>
        </w:tc>
        <w:tc>
          <w:tcPr>
            <w:tcW w:w="580" w:type="dxa"/>
            <w:vAlign w:val="bottom"/>
            <w:tcBorders>
              <w:top w:val="single" w:sz="8" w:color="CCEEFF"/>
            </w:tcBorders>
            <w:gridSpan w:val="6"/>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2020</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6"/>
        </w:trPr>
        <w:tc>
          <w:tcPr>
            <w:tcW w:w="560" w:type="dxa"/>
            <w:vAlign w:val="bottom"/>
            <w:gridSpan w:val="4"/>
            <w:shd w:val="clear" w:color="auto" w:fill="CCEEFF"/>
          </w:tcPr>
          <w:p>
            <w:pPr>
              <w:spacing w:after="0" w:line="17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4.3*</w:t>
              </w:r>
            </w:hyperlink>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Amendment to the License Agreement of September 20, 2013 by and between Tenax</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7"/>
              </w:rPr>
              <w:t>January 28,</w:t>
            </w: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Therapeutics, Inc. and Orion Corporation, dated as of January 25, 2022.</w:t>
              </w:r>
            </w:hyperlink>
          </w:p>
        </w:tc>
        <w:tc>
          <w:tcPr>
            <w:tcW w:w="260" w:type="dxa"/>
            <w:vAlign w:val="bottom"/>
            <w:tcBorders>
              <w:top w:val="single" w:sz="8" w:color="CCEEFF"/>
            </w:tcBorders>
            <w:gridSpan w:val="3"/>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2022</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540" w:type="dxa"/>
            <w:vAlign w:val="bottom"/>
            <w:gridSpan w:val="3"/>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Description of Non-Employee Director Compensation, effective June 15, 2015.</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8"/>
              </w:rPr>
              <w:t>September</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9, 2015</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1000" w:type="dxa"/>
            <w:vAlign w:val="bottom"/>
            <w:gridSpan w:val="5"/>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6.1+</w:t>
              </w:r>
            </w:hyperlink>
          </w:p>
        </w:tc>
        <w:tc>
          <w:tcPr>
            <w:tcW w:w="6400" w:type="dxa"/>
            <w:vAlign w:val="bottom"/>
            <w:gridSpan w:val="14"/>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1"/>
              </w:rPr>
              <w:t>August 9,</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2016</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000" w:type="dxa"/>
            <w:vAlign w:val="bottom"/>
            <w:gridSpan w:val="5"/>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6.2+</w:t>
              </w:r>
            </w:hyperlink>
          </w:p>
        </w:tc>
        <w:tc>
          <w:tcPr>
            <w:tcW w:w="6400" w:type="dxa"/>
            <w:vAlign w:val="bottom"/>
            <w:gridSpan w:val="14"/>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Amendment No. 1 to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14,</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1000" w:type="dxa"/>
            <w:vAlign w:val="bottom"/>
            <w:gridSpan w:val="5"/>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6.3+</w:t>
              </w:r>
            </w:hyperlink>
          </w:p>
        </w:tc>
        <w:tc>
          <w:tcPr>
            <w:tcW w:w="6400" w:type="dxa"/>
            <w:vAlign w:val="bottom"/>
            <w:gridSpan w:val="14"/>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Amendment No. 2 to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16,</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2021</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000" w:type="dxa"/>
            <w:vAlign w:val="bottom"/>
            <w:gridSpan w:val="5"/>
            <w:shd w:val="clear" w:color="auto" w:fill="CCEEFF"/>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6.4+</w:t>
              </w:r>
            </w:hyperlink>
          </w:p>
        </w:tc>
        <w:tc>
          <w:tcPr>
            <w:tcW w:w="6400" w:type="dxa"/>
            <w:vAlign w:val="bottom"/>
            <w:gridSpan w:val="14"/>
            <w:shd w:val="clear" w:color="auto" w:fill="CCEEFF"/>
          </w:tcPr>
          <w:p>
            <w:pPr>
              <w:spacing w:after="0" w:line="17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Form of Option issued to Non-Employee Directors under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10.2</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14,</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2018</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5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6.5+</w:t>
              </w:r>
            </w:hyperlink>
          </w:p>
        </w:tc>
        <w:tc>
          <w:tcPr>
            <w:tcW w:w="440" w:type="dxa"/>
            <w:vAlign w:val="bottom"/>
            <w:tcBorders>
              <w:bottom w:val="single" w:sz="8" w:color="CCEEFF"/>
            </w:tcBorders>
            <w:shd w:val="clear" w:color="auto" w:fill="CCEEFF"/>
          </w:tcPr>
          <w:p>
            <w:pPr>
              <w:spacing w:after="0"/>
              <w:rPr>
                <w:sz w:val="15"/>
                <w:szCs w:val="15"/>
                <w:color w:val="auto"/>
              </w:rPr>
            </w:pPr>
          </w:p>
        </w:tc>
        <w:tc>
          <w:tcPr>
            <w:tcW w:w="5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Form of Option issued to Employees and Contractors under 2016 Stock Incentive</w:t>
              </w:r>
            </w:hyperlink>
          </w:p>
        </w:tc>
        <w:tc>
          <w:tcPr>
            <w:tcW w:w="520" w:type="dxa"/>
            <w:vAlign w:val="bottom"/>
            <w:tcBorders>
              <w:bottom w:val="single" w:sz="8" w:color="CCEEFF"/>
            </w:tcBorders>
            <w:gridSpan w:val="5"/>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10.3</w:t>
            </w:r>
          </w:p>
        </w:tc>
        <w:tc>
          <w:tcPr>
            <w:tcW w:w="108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14,</w:t>
            </w:r>
          </w:p>
        </w:tc>
      </w:tr>
      <w:tr>
        <w:trPr>
          <w:trHeight w:val="217"/>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0" w:type="dxa"/>
            <w:vAlign w:val="bottom"/>
            <w:gridSpan w:val="14"/>
            <w:shd w:val="clear" w:color="auto" w:fill="CCEEFF"/>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Plan.</w:t>
              </w:r>
            </w:hyperlink>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2018</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000" w:type="dxa"/>
            <w:vAlign w:val="bottom"/>
            <w:gridSpan w:val="5"/>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10.</w:t>
              </w:r>
              <w:r>
                <w:rPr>
                  <w:rFonts w:ascii="Arial" w:cs="Arial" w:eastAsia="Arial" w:hAnsi="Arial"/>
                  <w:sz w:val="18"/>
                  <w:szCs w:val="18"/>
                  <w:u w:val="single" w:color="auto"/>
                  <w:color w:val="0000EE"/>
                </w:rPr>
                <w:t>6.6+</w:t>
              </w:r>
            </w:hyperlink>
          </w:p>
        </w:tc>
        <w:tc>
          <w:tcPr>
            <w:tcW w:w="6400" w:type="dxa"/>
            <w:vAlign w:val="bottom"/>
            <w:gridSpan w:val="14"/>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Form of Incentive Stock Option Agreement under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10-Q</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10.4</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August 14,</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2018</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Form of Securities Purchase Agreement, dated as of March 11, 2020, by and between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2"/>
              </w:rPr>
              <w:t>March 13,</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Tenax Therapeutics, Inc. and the investor identified on the signature page thereto.</w:t>
              </w:r>
            </w:hyperlink>
          </w:p>
        </w:tc>
        <w:tc>
          <w:tcPr>
            <w:tcW w:w="2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9"/>
              </w:rPr>
              <w:t>2020</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Form of Securities Purchase Agreement for Class C Units and Class D Units, dated as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w:t>
            </w:r>
          </w:p>
        </w:tc>
        <w:tc>
          <w:tcPr>
            <w:tcW w:w="108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0"/>
              </w:rPr>
              <w:t>July 8, 2020</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2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of July 6, 2020, by and between Tenax Therapeutics, Inc. and the Investor.</w:t>
              </w:r>
            </w:hyperlink>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Form of Securities Purchase Agreement for Class E Units and Class F Units, dated as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10.2</w:t>
            </w:r>
          </w:p>
        </w:tc>
        <w:tc>
          <w:tcPr>
            <w:tcW w:w="108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0"/>
              </w:rPr>
              <w:t>July 8, 2020</w:t>
            </w:r>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of July 6, 2020, by and between Tenax Therapeutics, Inc. and the Investor.</w:t>
              </w:r>
            </w:hyperlink>
          </w:p>
        </w:tc>
        <w:tc>
          <w:tcPr>
            <w:tcW w:w="24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r:id="rId11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Form of Registration Rights Agreement, dated as of July 6, 2020, by and between</w:t>
              </w:r>
            </w:hyperlink>
          </w:p>
        </w:tc>
        <w:tc>
          <w:tcPr>
            <w:tcW w:w="500" w:type="dxa"/>
            <w:vAlign w:val="bottom"/>
            <w:tcBorders>
              <w:bottom w:val="single" w:sz="8" w:color="CCEEFF"/>
            </w:tcBorders>
            <w:gridSpan w:val="4"/>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001-34600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July 8, 2020</w:t>
            </w: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9"/>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Tenax Therapeutics, Inc. and the Investor.</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520" w:type="dxa"/>
            <w:vAlign w:val="bottom"/>
            <w:gridSpan w:val="3"/>
            <w:shd w:val="clear" w:color="auto" w:fill="CCEEFF"/>
          </w:tcPr>
          <w:p>
            <w:pPr>
              <w:spacing w:after="0" w:line="17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hyperlink>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0" w:type="dxa"/>
            <w:vAlign w:val="bottom"/>
            <w:gridSpan w:val="19"/>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Executive Employment Agreement with Dr. Stuart Rich dated January 15, 2021.</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6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7"/>
              </w:rPr>
              <w:t>January 19,</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06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5"/>
        </w:trPr>
        <w:tc>
          <w:tcPr>
            <w:tcW w:w="420" w:type="dxa"/>
            <w:vAlign w:val="bottom"/>
            <w:shd w:val="clear" w:color="auto" w:fill="CCEEFF"/>
          </w:tcPr>
          <w:p>
            <w:pPr>
              <w:spacing w:after="0" w:line="17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0" w:type="dxa"/>
            <w:vAlign w:val="bottom"/>
            <w:gridSpan w:val="19"/>
            <w:shd w:val="clear" w:color="auto" w:fill="CCEEFF"/>
          </w:tcPr>
          <w:p>
            <w:pPr>
              <w:spacing w:after="0" w:line="17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Securities Purchase Agreement for Unregistered Pre-Funded Warrant, dated as of July</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6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July 8, 2021</w:t>
            </w:r>
          </w:p>
        </w:tc>
      </w:tr>
      <w:tr>
        <w:trPr>
          <w:trHeight w:val="217"/>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6, 2021 by and between Tenax Therapeutics, Inc. and the Investor.</w:t>
              </w:r>
            </w:hyperlink>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4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3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Registration Rights Agreement, dated July 6, 2021, by and between Tenax</w:t>
              </w:r>
            </w:hyperlink>
          </w:p>
        </w:tc>
        <w:tc>
          <w:tcPr>
            <w:tcW w:w="1040" w:type="dxa"/>
            <w:vAlign w:val="bottom"/>
            <w:tcBorders>
              <w:bottom w:val="single" w:sz="8" w:color="CCEEFF"/>
            </w:tcBorders>
            <w:gridSpan w:val="9"/>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July 8, 2021</w:t>
            </w: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9"/>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Therapeutics, Inc. and the Investor.</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5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14+</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Executive Employment Agreement dated July 6, 2021, by and between Tenax</w:t>
              </w:r>
            </w:hyperlink>
          </w:p>
        </w:tc>
        <w:tc>
          <w:tcPr>
            <w:tcW w:w="780" w:type="dxa"/>
            <w:vAlign w:val="bottom"/>
            <w:tcBorders>
              <w:bottom w:val="single" w:sz="8" w:color="CCEEFF"/>
            </w:tcBorders>
            <w:gridSpan w:val="8"/>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0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July 8, 2021</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9"/>
            <w:shd w:val="clear" w:color="auto" w:fill="CCEEFF"/>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Therapeutics, Inc. and Christopher T. Giordano.</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5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15+</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8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Plan for Employee Inducement Stock Options adopted July 6, 2021 with Form of</w:t>
              </w:r>
            </w:hyperlink>
          </w:p>
        </w:tc>
        <w:tc>
          <w:tcPr>
            <w:tcW w:w="540" w:type="dxa"/>
            <w:vAlign w:val="bottom"/>
            <w:tcBorders>
              <w:bottom w:val="single" w:sz="8" w:color="CCEEFF"/>
            </w:tcBorders>
            <w:gridSpan w:val="5"/>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0"/>
              </w:rPr>
              <w:t>July 8, 2021</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9"/>
            <w:shd w:val="clear" w:color="auto" w:fill="CCEEFF"/>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Stock Option Agreement.</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16</w:t>
              </w:r>
              <w:r>
                <w:rPr>
                  <w:rFonts w:ascii="Arial" w:cs="Arial" w:eastAsia="Arial" w:hAnsi="Arial"/>
                  <w:sz w:val="18"/>
                  <w:szCs w:val="18"/>
                  <w:color w:val="0000EE"/>
                </w:rPr>
                <w:t xml:space="preserve"> +*</w:t>
              </w:r>
            </w:hyperlink>
          </w:p>
        </w:tc>
        <w:tc>
          <w:tcPr>
            <w:tcW w:w="300" w:type="dxa"/>
            <w:vAlign w:val="bottom"/>
            <w:tcBorders>
              <w:bottom w:val="single" w:sz="8" w:color="CCEEFF"/>
            </w:tcBorders>
            <w:shd w:val="clear" w:color="auto" w:fill="CCEEFF"/>
          </w:tcPr>
          <w:p>
            <w:pPr>
              <w:spacing w:after="0"/>
              <w:rPr>
                <w:sz w:val="15"/>
                <w:szCs w:val="15"/>
                <w:color w:val="auto"/>
              </w:rPr>
            </w:pPr>
          </w:p>
        </w:tc>
        <w:tc>
          <w:tcPr>
            <w:tcW w:w="6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Consulting Agreement dated October 14, 2021, by and between Tenax Therapeutics,</w:t>
              </w:r>
            </w:hyperlink>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10.20</w:t>
            </w:r>
          </w:p>
        </w:tc>
        <w:tc>
          <w:tcPr>
            <w:tcW w:w="106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2"/>
              </w:rPr>
              <w:t>March 29,</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9"/>
            <w:shd w:val="clear" w:color="auto" w:fill="CCEEFF"/>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Inc. and Danforth Advisors, LLC.</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89"/>
              </w:rPr>
              <w:t>2022</w:t>
            </w: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420" w:type="dxa"/>
            <w:vAlign w:val="bottom"/>
            <w:shd w:val="clear" w:color="auto" w:fill="CCEEFF"/>
          </w:tcPr>
          <w:p>
            <w:pPr>
              <w:spacing w:after="0" w:line="17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0" w:type="dxa"/>
            <w:vAlign w:val="bottom"/>
            <w:gridSpan w:val="19"/>
            <w:shd w:val="clear" w:color="auto" w:fill="CCEEFF"/>
          </w:tcPr>
          <w:p>
            <w:pPr>
              <w:spacing w:after="0" w:line="17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Securities Purchase Agreement for Units, dated as of May 17, 2022, by and between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6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3"/>
              </w:rPr>
              <w:t>May 20,</w:t>
            </w:r>
          </w:p>
        </w:tc>
      </w:tr>
      <w:tr>
        <w:trPr>
          <w:trHeight w:val="217"/>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the Company and the Investor</w:t>
              </w:r>
            </w:hyperlink>
          </w:p>
        </w:tc>
        <w:tc>
          <w:tcPr>
            <w:tcW w:w="320" w:type="dxa"/>
            <w:vAlign w:val="bottom"/>
            <w:tcBorders>
              <w:top w:val="single" w:sz="8" w:color="CCEEFF"/>
            </w:tcBorders>
            <w:gridSpan w:val="3"/>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89"/>
              </w:rPr>
              <w:t>2022</w:t>
            </w: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line="17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0" w:type="dxa"/>
            <w:vAlign w:val="bottom"/>
            <w:gridSpan w:val="19"/>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Registration Rights Agreement, dated as of May 17, 2022, by and between the</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6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93"/>
              </w:rPr>
              <w:t>May 20,</w:t>
            </w:r>
          </w:p>
        </w:tc>
      </w:tr>
      <w:tr>
        <w:trPr>
          <w:trHeight w:val="216"/>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Company and the Investor</w:t>
              </w:r>
            </w:hyperlink>
          </w:p>
        </w:tc>
        <w:tc>
          <w:tcPr>
            <w:tcW w:w="760" w:type="dxa"/>
            <w:vAlign w:val="bottom"/>
            <w:tcBorders>
              <w:top w:val="single" w:sz="8" w:color="CCEEFF"/>
            </w:tcBorders>
            <w:gridSpan w:val="7"/>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89"/>
              </w:rPr>
              <w:t>2022</w:t>
            </w: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700" w:type="dxa"/>
            <w:vAlign w:val="bottom"/>
            <w:gridSpan w:val="4"/>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300" w:type="dxa"/>
            <w:vAlign w:val="bottom"/>
            <w:shd w:val="clear" w:color="auto" w:fill="CCEEFF"/>
          </w:tcPr>
          <w:p>
            <w:pPr>
              <w:spacing w:after="0"/>
              <w:rPr>
                <w:sz w:val="15"/>
                <w:szCs w:val="15"/>
                <w:color w:val="auto"/>
              </w:rPr>
            </w:pPr>
          </w:p>
        </w:tc>
        <w:tc>
          <w:tcPr>
            <w:tcW w:w="6400" w:type="dxa"/>
            <w:vAlign w:val="bottom"/>
            <w:gridSpan w:val="19"/>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Tenax Therapeutics, Inc. 2022 Stock Incentive Plan</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6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6"/>
              </w:rPr>
              <w:t>June 10,</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2022</w:t>
            </w: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38" w:orient="portrait"/>
          <w:cols w:equalWidth="0" w:num="1">
            <w:col w:w="11240"/>
          </w:cols>
          <w:pgMar w:left="320" w:top="125" w:right="339" w:bottom="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20+</w:t>
              </w:r>
            </w:hyperlink>
          </w:p>
        </w:tc>
        <w:tc>
          <w:tcPr>
            <w:tcW w:w="480" w:type="dxa"/>
            <w:vAlign w:val="bottom"/>
          </w:tcPr>
          <w:p>
            <w:pPr>
              <w:spacing w:after="0"/>
              <w:rPr>
                <w:sz w:val="17"/>
                <w:szCs w:val="17"/>
                <w:color w:val="auto"/>
              </w:rPr>
            </w:pPr>
          </w:p>
        </w:tc>
        <w:tc>
          <w:tcPr>
            <w:tcW w:w="6160" w:type="dxa"/>
            <w:vAlign w:val="bottom"/>
            <w:gridSpan w:val="1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Tenax Therapeutics, Inc. Notice of Stock Option Grant and Award</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Agreement</w:t>
              </w:r>
            </w:hyperlink>
          </w:p>
        </w:tc>
        <w:tc>
          <w:tcPr>
            <w:tcW w:w="7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spacing w:after="0"/>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4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12"/>
            <w:vMerge w:val="restart"/>
          </w:tcPr>
          <w:p>
            <w:pPr>
              <w:spacing w:after="0"/>
              <w:rPr>
                <w:rFonts w:ascii="Arial" w:cs="Arial" w:eastAsia="Arial" w:hAnsi="Arial"/>
                <w:sz w:val="18"/>
                <w:szCs w:val="18"/>
                <w:color w:val="0000EE"/>
              </w:rPr>
            </w:pPr>
            <w:hyperlink r:id="rId124">
              <w:r>
                <w:rPr>
                  <w:rFonts w:ascii="Arial" w:cs="Arial" w:eastAsia="Arial" w:hAnsi="Arial"/>
                  <w:sz w:val="18"/>
                  <w:szCs w:val="18"/>
                  <w:color w:val="0000EE"/>
                </w:rPr>
                <w:t>Waiver dated June 13, 2022</w:t>
              </w:r>
            </w:hyperlink>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1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List of Subsidiaries of Registrant.</w:t>
            </w:r>
          </w:p>
        </w:tc>
        <w:tc>
          <w:tcPr>
            <w:tcW w:w="3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20" w:type="dxa"/>
            <w:vAlign w:val="bottom"/>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12"/>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Certification of President and Chief Executive Officer Pursuant to Section 302 of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gridSpan w:val="12"/>
          </w:tcPr>
          <w:p>
            <w:pPr>
              <w:spacing w:after="0" w:line="196" w:lineRule="exact"/>
              <w:rPr>
                <w:sz w:val="20"/>
                <w:szCs w:val="20"/>
                <w:color w:val="auto"/>
              </w:rPr>
            </w:pPr>
            <w:r>
              <w:rPr>
                <w:rFonts w:ascii="Arial" w:cs="Arial" w:eastAsia="Arial" w:hAnsi="Arial"/>
                <w:sz w:val="18"/>
                <w:szCs w:val="18"/>
                <w:color w:val="0000EE"/>
              </w:rPr>
              <w:t>Sarbanes-Oxley Act of 2002.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12"/>
          </w:tcPr>
          <w:p>
            <w:pPr>
              <w:spacing w:after="0"/>
              <w:rPr>
                <w:sz w:val="20"/>
                <w:szCs w:val="20"/>
                <w:color w:val="auto"/>
              </w:rPr>
            </w:pPr>
            <w:r>
              <w:rPr>
                <w:rFonts w:ascii="Arial" w:cs="Arial" w:eastAsia="Arial" w:hAnsi="Arial"/>
                <w:sz w:val="18"/>
                <w:szCs w:val="18"/>
                <w:color w:val="0000EE"/>
              </w:rPr>
              <w:t>Certification of Interim Chief Financial Officer Pursuant to Section 302 of the</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Certification of the President and Chief Executive Officer pursuant to 18 U.S.C.</w:t>
            </w:r>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Section 1350, as adopted pursuant to Section 906 of the Sarbanes-Oxley Act of 2002.</w:t>
            </w:r>
          </w:p>
        </w:tc>
        <w:tc>
          <w:tcPr>
            <w:tcW w:w="0" w:type="dxa"/>
            <w:vAlign w:val="bottom"/>
          </w:tcPr>
          <w:p>
            <w:pPr>
              <w:spacing w:after="0"/>
              <w:rPr>
                <w:sz w:val="1"/>
                <w:szCs w:val="1"/>
                <w:color w:val="auto"/>
              </w:rPr>
            </w:pPr>
          </w:p>
        </w:tc>
      </w:tr>
      <w:tr>
        <w:trPr>
          <w:trHeight w:val="628"/>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 of the Interim Chief Financial Officer pursuant to 18 U.S.C. Section</w:t>
            </w:r>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1350, as adopted pursuant to Section 906 of the Sarbanes-Oxley Act of 2002.</w:t>
            </w:r>
          </w:p>
        </w:tc>
        <w:tc>
          <w:tcPr>
            <w:tcW w:w="5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61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61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61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61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61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61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-5760085</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8" w:lineRule="exact"/>
        <w:rPr>
          <w:sz w:val="20"/>
          <w:szCs w:val="20"/>
          <w:color w:val="auto"/>
        </w:rPr>
      </w:pPr>
    </w:p>
    <w:p>
      <w:pPr>
        <w:ind w:left="1000" w:hanging="992"/>
        <w:spacing w:after="0" w:line="25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9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7"/>
              </w:rPr>
              <w:t>001-34600</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June 10,</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418"/>
        </w:trPr>
        <w:tc>
          <w:tcPr>
            <w:tcW w:w="660" w:type="dxa"/>
            <w:vAlign w:val="bottom"/>
          </w:tcPr>
          <w:p>
            <w:pPr>
              <w:jc w:val="right"/>
              <w:ind w:right="290"/>
              <w:spacing w:after="0"/>
              <w:rPr>
                <w:sz w:val="20"/>
                <w:szCs w:val="20"/>
                <w:color w:val="auto"/>
              </w:rPr>
            </w:pPr>
            <w:r>
              <w:rPr>
                <w:rFonts w:ascii="Arial" w:cs="Arial" w:eastAsia="Arial" w:hAnsi="Arial"/>
                <w:sz w:val="18"/>
                <w:szCs w:val="18"/>
                <w:color w:val="auto"/>
                <w:w w:val="92"/>
              </w:rPr>
              <w:t>8-K</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7"/>
              </w:rPr>
              <w:t>001-34600</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June 16,</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Furnished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634"/>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Furnished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634"/>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r>
        <w:trPr>
          <w:trHeight w:val="418"/>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Filed</w:t>
            </w:r>
          </w:p>
        </w:tc>
      </w:tr>
      <w:tr>
        <w:trPr>
          <w:trHeight w:val="230"/>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herewith</w:t>
            </w:r>
          </w:p>
        </w:tc>
      </w:tr>
    </w:tbl>
    <w:p>
      <w:pPr>
        <w:spacing w:after="0" w:line="824" w:lineRule="exact"/>
        <w:rPr>
          <w:sz w:val="20"/>
          <w:szCs w:val="20"/>
          <w:color w:val="auto"/>
        </w:rPr>
      </w:pPr>
    </w:p>
    <w:p>
      <w:pPr>
        <w:sectPr>
          <w:pgSz w:w="11900" w:h="16838" w:orient="portrait"/>
          <w:cols w:equalWidth="0" w:num="2">
            <w:col w:w="7160" w:space="500"/>
            <w:col w:w="3580"/>
          </w:cols>
          <w:pgMar w:left="320" w:top="125" w:right="339" w:bottom="0" w:gutter="0" w:footer="0" w:header="0"/>
          <w:type w:val="continuous"/>
        </w:sectPr>
      </w:pPr>
    </w:p>
    <w:p>
      <w:pPr>
        <w:spacing w:after="0" w:line="25" w:lineRule="exact"/>
        <w:rPr>
          <w:sz w:val="20"/>
          <w:szCs w:val="20"/>
          <w:color w:val="auto"/>
        </w:rPr>
      </w:pPr>
    </w:p>
    <w:p>
      <w:pPr>
        <w:jc w:val="both"/>
        <w:ind w:firstLine="8"/>
        <w:spacing w:after="0" w:line="263" w:lineRule="auto"/>
        <w:tabs>
          <w:tab w:leader="none" w:pos="1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confidential portions and/or the schedules and attachments to this exhibit have been omitted from this filing pursuant to a confidential treatment request filed with the SEC, or Item 601(a)(5) or 601(b)(10)of Regulation S-K, as applicable. The Company agrees to furnish supplementally an unredacted copy of the exhibit to the SEC upon request.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30, 2023</w:t>
      </w:r>
      <w:r>
        <w:rPr>
          <w:sz w:val="20"/>
          <w:szCs w:val="20"/>
          <w:color w:val="auto"/>
        </w:rPr>
        <w:tab/>
      </w:r>
      <w:r>
        <w:rPr>
          <w:rFonts w:ascii="Arial" w:cs="Arial" w:eastAsia="Arial" w:hAnsi="Arial"/>
          <w:sz w:val="18"/>
          <w:szCs w:val="18"/>
          <w:b w:val="1"/>
          <w:bCs w:val="1"/>
          <w:color w:val="auto"/>
        </w:rPr>
        <w:t>TENAX THERAPEUTICS,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Eliot M. Lurier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Eliot M. Lurier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Accounting Officer)</w:t>
      </w:r>
    </w:p>
    <w:p>
      <w:pPr>
        <w:sectPr>
          <w:pgSz w:w="11900" w:h="16838" w:orient="portrait"/>
          <w:cols w:equalWidth="0" w:num="1">
            <w:col w:w="11240"/>
          </w:cols>
          <w:pgMar w:left="320" w:top="125" w:right="339" w:bottom="0" w:gutter="0" w:footer="0" w:header="0"/>
          <w:type w:val="continuous"/>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1000"/>
              <w:spacing w:after="0"/>
              <w:rPr>
                <w:sz w:val="20"/>
                <w:szCs w:val="20"/>
                <w:color w:val="auto"/>
              </w:rPr>
            </w:pPr>
            <w:r>
              <w:rPr>
                <w:rFonts w:ascii="Arial" w:cs="Arial" w:eastAsia="Arial" w:hAnsi="Arial"/>
                <w:sz w:val="18"/>
                <w:szCs w:val="18"/>
                <w:b w:val="1"/>
                <w:bCs w:val="1"/>
                <w:color w:val="auto"/>
                <w:w w:val="89"/>
              </w:rPr>
              <w:t>Name</w:t>
            </w:r>
          </w:p>
        </w:tc>
        <w:tc>
          <w:tcPr>
            <w:tcW w:w="2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b w:val="1"/>
                <w:bCs w:val="1"/>
                <w:color w:val="auto"/>
                <w:w w:val="91"/>
              </w:rPr>
              <w:t>Title</w:t>
            </w:r>
          </w:p>
        </w:tc>
        <w:tc>
          <w:tcPr>
            <w:tcW w:w="3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12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1"/>
              </w:rPr>
              <w:t>/s/ Christopher T. Giordano</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President and Chief Executive Officer and 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Christopher T. Giordano</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40" w:type="dxa"/>
            <w:vAlign w:val="bottom"/>
            <w:gridSpan w:val="4"/>
          </w:tcPr>
          <w:p>
            <w:pPr>
              <w:jc w:val="center"/>
              <w:ind w:right="760"/>
              <w:spacing w:after="0"/>
              <w:rPr>
                <w:sz w:val="20"/>
                <w:szCs w:val="20"/>
                <w:color w:val="auto"/>
              </w:rPr>
            </w:pPr>
            <w:r>
              <w:rPr>
                <w:rFonts w:ascii="Arial" w:cs="Arial" w:eastAsia="Arial" w:hAnsi="Arial"/>
                <w:sz w:val="18"/>
                <w:szCs w:val="18"/>
                <w:color w:val="auto"/>
                <w:w w:val="94"/>
              </w:rPr>
              <w:t>(Principal Executive Officer)</w:t>
            </w: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7"/>
              </w:rPr>
              <w:t>/s/ Eliot M. Lurier</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gridSpan w:val="4"/>
          </w:tcPr>
          <w:p>
            <w:pPr>
              <w:jc w:val="center"/>
              <w:ind w:right="760"/>
              <w:spacing w:after="0"/>
              <w:rPr>
                <w:sz w:val="20"/>
                <w:szCs w:val="20"/>
                <w:color w:val="auto"/>
              </w:rPr>
            </w:pPr>
            <w:r>
              <w:rPr>
                <w:rFonts w:ascii="Arial" w:cs="Arial" w:eastAsia="Arial" w:hAnsi="Arial"/>
                <w:sz w:val="18"/>
                <w:szCs w:val="18"/>
                <w:color w:val="auto"/>
                <w:w w:val="95"/>
              </w:rPr>
              <w:t>Interim Chief Financial Officer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Eliot M. Lurier</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gridSpan w:val="6"/>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0"/>
              </w:rPr>
              <w:t>/s/ Gerald Proehl</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gridSpan w:val="4"/>
          </w:tcPr>
          <w:p>
            <w:pPr>
              <w:jc w:val="center"/>
              <w:ind w:right="780"/>
              <w:spacing w:after="0"/>
              <w:rPr>
                <w:sz w:val="20"/>
                <w:szCs w:val="20"/>
                <w:color w:val="auto"/>
              </w:rPr>
            </w:pPr>
            <w:r>
              <w:rPr>
                <w:rFonts w:ascii="Arial" w:cs="Arial" w:eastAsia="Arial" w:hAnsi="Arial"/>
                <w:sz w:val="18"/>
                <w:szCs w:val="18"/>
                <w:color w:val="auto"/>
                <w:w w:val="91"/>
              </w:rPr>
              <w:t>Chairman of the Board and 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Gerald Proehl</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/s/ June Almenoff,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90"/>
              <w:spacing w:after="0"/>
              <w:rPr>
                <w:sz w:val="20"/>
                <w:szCs w:val="20"/>
                <w:color w:val="auto"/>
              </w:rPr>
            </w:pPr>
            <w:r>
              <w:rPr>
                <w:rFonts w:ascii="Arial" w:cs="Arial" w:eastAsia="Arial" w:hAnsi="Arial"/>
                <w:sz w:val="18"/>
                <w:szCs w:val="18"/>
                <w:color w:val="auto"/>
                <w:w w:val="94"/>
              </w:rPr>
              <w:t>June Almenoff,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4"/>
              </w:rPr>
              <w:t>/s/ Michael Davidson,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Michael Davidson,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2"/>
              </w:rPr>
              <w:t>/s/ Declan Doogan,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Declan Doogan,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2"/>
              </w:rPr>
              <w:t>/s/ Robyn M. Hunter</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90"/>
              <w:spacing w:after="0"/>
              <w:rPr>
                <w:sz w:val="20"/>
                <w:szCs w:val="20"/>
                <w:color w:val="auto"/>
              </w:rPr>
            </w:pPr>
            <w:r>
              <w:rPr>
                <w:rFonts w:ascii="Arial" w:cs="Arial" w:eastAsia="Arial" w:hAnsi="Arial"/>
                <w:sz w:val="18"/>
                <w:szCs w:val="18"/>
                <w:color w:val="auto"/>
                <w:w w:val="94"/>
              </w:rPr>
              <w:t>Robyn M. Hunter</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1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2"/>
              </w:rPr>
              <w:t>/s/ Stuart Rich,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March 30, 2023</w:t>
            </w:r>
          </w:p>
        </w:tc>
      </w:tr>
      <w:tr>
        <w:trPr>
          <w:trHeight w:val="224"/>
        </w:trPr>
        <w:tc>
          <w:tcPr>
            <w:tcW w:w="3120" w:type="dxa"/>
            <w:vAlign w:val="bottom"/>
            <w:gridSpan w:val="3"/>
          </w:tcPr>
          <w:p>
            <w:pPr>
              <w:jc w:val="center"/>
              <w:ind w:left="190"/>
              <w:spacing w:after="0"/>
              <w:rPr>
                <w:sz w:val="20"/>
                <w:szCs w:val="20"/>
                <w:color w:val="auto"/>
              </w:rPr>
            </w:pPr>
            <w:r>
              <w:rPr>
                <w:rFonts w:ascii="Arial" w:cs="Arial" w:eastAsia="Arial" w:hAnsi="Arial"/>
                <w:sz w:val="18"/>
                <w:szCs w:val="18"/>
                <w:color w:val="auto"/>
                <w:w w:val="94"/>
              </w:rPr>
              <w:t>Stuart Rich,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634"/>
        </w:trPr>
        <w:tc>
          <w:tcPr>
            <w:tcW w:w="1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1590"/>
              <w:spacing w:after="0"/>
              <w:rPr>
                <w:sz w:val="20"/>
                <w:szCs w:val="20"/>
                <w:color w:val="auto"/>
              </w:rPr>
            </w:pPr>
            <w:r>
              <w:rPr>
                <w:rFonts w:ascii="Arial" w:cs="Arial" w:eastAsia="Arial" w:hAnsi="Arial"/>
                <w:sz w:val="18"/>
                <w:szCs w:val="18"/>
                <w:color w:val="auto"/>
                <w:w w:val="89"/>
              </w:rPr>
              <w:t>57</w:t>
            </w: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71"/>
        </w:trPr>
        <w:tc>
          <w:tcPr>
            <w:tcW w:w="312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rPr>
              <w:t>TENAX THERAPEUTICS, INC.</w:t>
            </w: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82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REPORT OF INDEPENDENT REGISTERED PUBLIC ACCOUNTING FIRM (PCAOB ID: 00677)</w:t>
            </w:r>
          </w:p>
        </w:tc>
        <w:tc>
          <w:tcPr>
            <w:tcW w:w="340" w:type="dxa"/>
            <w:vAlign w:val="bottom"/>
            <w:shd w:val="clear" w:color="auto" w:fill="CCEEFF"/>
          </w:tcPr>
          <w:p>
            <w:pPr>
              <w:spacing w:after="0"/>
              <w:rPr>
                <w:sz w:val="17"/>
                <w:szCs w:val="17"/>
                <w:color w:val="auto"/>
              </w:rPr>
            </w:pPr>
          </w:p>
        </w:tc>
        <w:tc>
          <w:tcPr>
            <w:tcW w:w="2680" w:type="dxa"/>
            <w:vAlign w:val="bottom"/>
            <w:shd w:val="clear" w:color="auto" w:fill="CCEEFF"/>
          </w:tcPr>
          <w:p>
            <w:pPr>
              <w:ind w:left="2000"/>
              <w:spacing w:after="0" w:line="176" w:lineRule="exact"/>
              <w:rPr>
                <w:sz w:val="20"/>
                <w:szCs w:val="20"/>
                <w:color w:val="auto"/>
              </w:rPr>
            </w:pPr>
            <w:r>
              <w:rPr>
                <w:rFonts w:ascii="Arial" w:cs="Arial" w:eastAsia="Arial" w:hAnsi="Arial"/>
                <w:sz w:val="18"/>
                <w:szCs w:val="18"/>
                <w:color w:val="auto"/>
              </w:rPr>
              <w:t>F-2</w:t>
            </w:r>
          </w:p>
        </w:tc>
      </w:tr>
      <w:tr>
        <w:trPr>
          <w:trHeight w:val="175"/>
        </w:trPr>
        <w:tc>
          <w:tcPr>
            <w:tcW w:w="312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2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680" w:type="dxa"/>
            <w:vAlign w:val="bottom"/>
            <w:tcBorders>
              <w:top w:val="single" w:sz="8" w:color="CCEEFF"/>
            </w:tcBorders>
          </w:tcPr>
          <w:p>
            <w:pPr>
              <w:ind w:left="2000"/>
              <w:spacing w:after="0" w:line="176" w:lineRule="exact"/>
              <w:rPr>
                <w:sz w:val="20"/>
                <w:szCs w:val="20"/>
                <w:color w:val="auto"/>
              </w:rPr>
            </w:pPr>
            <w:r>
              <w:rPr>
                <w:rFonts w:ascii="Arial" w:cs="Arial" w:eastAsia="Arial" w:hAnsi="Arial"/>
                <w:sz w:val="18"/>
                <w:szCs w:val="18"/>
                <w:color w:val="auto"/>
              </w:rPr>
              <w:t>F-4</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4"/>
              </w:rPr>
              <w:t>CONSOLIDATED STATEMENTS OF OPERATIONS AND COMPREHENSIVE LOSS</w:t>
            </w:r>
          </w:p>
        </w:tc>
        <w:tc>
          <w:tcPr>
            <w:tcW w:w="176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ind w:left="2000"/>
              <w:spacing w:after="0" w:line="176" w:lineRule="exact"/>
              <w:rPr>
                <w:sz w:val="20"/>
                <w:szCs w:val="20"/>
                <w:color w:val="auto"/>
              </w:rPr>
            </w:pPr>
            <w:r>
              <w:rPr>
                <w:rFonts w:ascii="Arial" w:cs="Arial" w:eastAsia="Arial" w:hAnsi="Arial"/>
                <w:sz w:val="18"/>
                <w:szCs w:val="18"/>
                <w:color w:val="auto"/>
              </w:rPr>
              <w:t>F-5</w:t>
            </w:r>
          </w:p>
        </w:tc>
      </w:tr>
      <w:tr>
        <w:trPr>
          <w:trHeight w:val="175"/>
        </w:trPr>
        <w:tc>
          <w:tcPr>
            <w:tcW w:w="8220" w:type="dxa"/>
            <w:vAlign w:val="bottom"/>
            <w:gridSpan w:val="11"/>
          </w:tcPr>
          <w:p>
            <w:pPr>
              <w:spacing w:after="0" w:line="176" w:lineRule="exact"/>
              <w:rPr>
                <w:sz w:val="20"/>
                <w:szCs w:val="20"/>
                <w:color w:val="auto"/>
              </w:rPr>
            </w:pPr>
            <w:r>
              <w:rPr>
                <w:rFonts w:ascii="Arial" w:cs="Arial" w:eastAsia="Arial" w:hAnsi="Arial"/>
                <w:sz w:val="18"/>
                <w:szCs w:val="18"/>
                <w:color w:val="0000EE"/>
              </w:rPr>
              <w:t>CONSOLIDATED STATEMENTS OF STOCKHOLDERS’ EQUITY</w:t>
            </w:r>
          </w:p>
        </w:tc>
        <w:tc>
          <w:tcPr>
            <w:tcW w:w="340" w:type="dxa"/>
            <w:vAlign w:val="bottom"/>
          </w:tcPr>
          <w:p>
            <w:pPr>
              <w:spacing w:after="0"/>
              <w:rPr>
                <w:sz w:val="15"/>
                <w:szCs w:val="15"/>
                <w:color w:val="auto"/>
              </w:rPr>
            </w:pPr>
          </w:p>
        </w:tc>
        <w:tc>
          <w:tcPr>
            <w:tcW w:w="2680" w:type="dxa"/>
            <w:vAlign w:val="bottom"/>
          </w:tcPr>
          <w:p>
            <w:pPr>
              <w:ind w:left="2000"/>
              <w:spacing w:after="0" w:line="176" w:lineRule="exact"/>
              <w:rPr>
                <w:sz w:val="20"/>
                <w:szCs w:val="20"/>
                <w:color w:val="auto"/>
              </w:rPr>
            </w:pPr>
            <w:r>
              <w:rPr>
                <w:rFonts w:ascii="Arial" w:cs="Arial" w:eastAsia="Arial" w:hAnsi="Arial"/>
                <w:sz w:val="18"/>
                <w:szCs w:val="18"/>
                <w:color w:val="auto"/>
              </w:rPr>
              <w:t>F-6</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4"/>
              </w:rPr>
              <w:t>CONSOLIDATED STATEMENTS OF CASH FLOWS</w:t>
            </w:r>
          </w:p>
        </w:tc>
        <w:tc>
          <w:tcPr>
            <w:tcW w:w="420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ind w:left="2000"/>
              <w:spacing w:after="0" w:line="176" w:lineRule="exact"/>
              <w:rPr>
                <w:sz w:val="20"/>
                <w:szCs w:val="20"/>
                <w:color w:val="auto"/>
              </w:rPr>
            </w:pPr>
            <w:r>
              <w:rPr>
                <w:rFonts w:ascii="Arial" w:cs="Arial" w:eastAsia="Arial" w:hAnsi="Arial"/>
                <w:sz w:val="18"/>
                <w:szCs w:val="18"/>
                <w:color w:val="auto"/>
              </w:rPr>
              <w:t>F-7</w:t>
            </w:r>
          </w:p>
        </w:tc>
      </w:tr>
      <w:tr>
        <w:trPr>
          <w:trHeight w:val="175"/>
        </w:trPr>
        <w:tc>
          <w:tcPr>
            <w:tcW w:w="8220" w:type="dxa"/>
            <w:vAlign w:val="bottom"/>
            <w:gridSpan w:val="11"/>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340" w:type="dxa"/>
            <w:vAlign w:val="bottom"/>
          </w:tcPr>
          <w:p>
            <w:pPr>
              <w:spacing w:after="0"/>
              <w:rPr>
                <w:sz w:val="15"/>
                <w:szCs w:val="15"/>
                <w:color w:val="auto"/>
              </w:rPr>
            </w:pPr>
          </w:p>
        </w:tc>
        <w:tc>
          <w:tcPr>
            <w:tcW w:w="2680" w:type="dxa"/>
            <w:vAlign w:val="bottom"/>
          </w:tcPr>
          <w:p>
            <w:pPr>
              <w:ind w:left="2000"/>
              <w:spacing w:after="0" w:line="176" w:lineRule="exact"/>
              <w:rPr>
                <w:sz w:val="20"/>
                <w:szCs w:val="20"/>
                <w:color w:val="auto"/>
              </w:rPr>
            </w:pPr>
            <w:r>
              <w:rPr>
                <w:rFonts w:ascii="Arial" w:cs="Arial" w:eastAsia="Arial" w:hAnsi="Arial"/>
                <w:sz w:val="18"/>
                <w:szCs w:val="18"/>
                <w:color w:val="auto"/>
              </w:rPr>
              <w:t>F-8</w:t>
            </w:r>
          </w:p>
        </w:tc>
      </w:tr>
      <w:tr>
        <w:trPr>
          <w:trHeight w:val="668"/>
        </w:trPr>
        <w:tc>
          <w:tcPr>
            <w:tcW w:w="1280" w:type="dxa"/>
            <w:vAlign w:val="bottom"/>
            <w:tcBorders>
              <w:top w:val="single" w:sz="8" w:color="0000EE"/>
              <w:bottom w:val="single" w:sz="8" w:color="auto"/>
            </w:tcBorders>
          </w:tcPr>
          <w:p>
            <w:pPr>
              <w:spacing w:after="0"/>
              <w:rPr>
                <w:sz w:val="24"/>
                <w:szCs w:val="24"/>
                <w:color w:val="auto"/>
              </w:rPr>
            </w:pPr>
          </w:p>
        </w:tc>
        <w:tc>
          <w:tcPr>
            <w:tcW w:w="17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2040"/>
              <w:spacing w:after="0"/>
              <w:rPr>
                <w:sz w:val="20"/>
                <w:szCs w:val="20"/>
                <w:color w:val="auto"/>
              </w:rPr>
            </w:pPr>
            <w:r>
              <w:rPr>
                <w:rFonts w:ascii="Arial" w:cs="Arial" w:eastAsia="Arial" w:hAnsi="Arial"/>
                <w:sz w:val="18"/>
                <w:szCs w:val="18"/>
                <w:color w:val="auto"/>
                <w:w w:val="88"/>
              </w:rPr>
              <w:t>F-1</w:t>
            </w: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8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Tenax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Chapel Hill, North Carolina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Tenax Therapeutics, Inc and Subsidiaries (the “Company”) as of December 31, 2022 and 2021, and the related consolidated statements of operations and comprehensive loss, stockholders’ equity, and cash flows for each of the years in the two-year period ended December 31, 2022,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A and Note B to the consolidated financial statements, the Company has suffered recurring losses from operations and negative cash flows from operations. These conditions raise substantial doubt about the Company’s ability to continue as a going concern. Management’s plans concerning these matters are described in Note A and Note B to the consolidated financial statements.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ectPr>
          <w:pgSz w:w="11900" w:h="16838" w:orient="portrait"/>
          <w:cols w:equalWidth="0" w:num="1">
            <w:col w:w="11240"/>
          </w:cols>
          <w:pgMar w:left="320" w:top="341" w:right="339" w:bottom="0" w:gutter="0" w:footer="0" w:header="0"/>
        </w:sectPr>
      </w:pPr>
    </w:p>
    <w:bookmarkStart w:id="38" w:name="page39"/>
    <w:bookmarkEnd w:id="38"/>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Capital Raise Transaction Involving Equity Instruments</w:t>
      </w:r>
    </w:p>
    <w:p>
      <w:pPr>
        <w:spacing w:after="0" w:line="23" w:lineRule="exact"/>
        <w:rPr>
          <w:sz w:val="20"/>
          <w:szCs w:val="20"/>
          <w:color w:val="auto"/>
        </w:rPr>
      </w:pPr>
    </w:p>
    <w:p>
      <w:pPr>
        <w:ind w:left="1900" w:right="20" w:hanging="1889"/>
        <w:spacing w:after="0" w:line="252" w:lineRule="auto"/>
        <w:tabs>
          <w:tab w:leader="none" w:pos="1880" w:val="left"/>
        </w:tabs>
        <w:rPr>
          <w:sz w:val="20"/>
          <w:szCs w:val="20"/>
          <w:color w:val="auto"/>
        </w:rPr>
      </w:pPr>
      <w:r>
        <w:rPr>
          <w:rFonts w:ascii="Arial" w:cs="Arial" w:eastAsia="Arial" w:hAnsi="Arial"/>
          <w:sz w:val="18"/>
          <w:szCs w:val="18"/>
          <w:i w:val="1"/>
          <w:iCs w:val="1"/>
          <w:color w:val="auto"/>
        </w:rPr>
        <w:t>Description of Matter</w:t>
      </w:r>
      <w:r>
        <w:rPr>
          <w:sz w:val="20"/>
          <w:szCs w:val="20"/>
          <w:color w:val="auto"/>
        </w:rPr>
        <w:tab/>
      </w:r>
      <w:r>
        <w:rPr>
          <w:rFonts w:ascii="Arial" w:cs="Arial" w:eastAsia="Arial" w:hAnsi="Arial"/>
          <w:sz w:val="18"/>
          <w:szCs w:val="18"/>
          <w:color w:val="auto"/>
        </w:rPr>
        <w:t>As disclosed in Note F to the consolidated financial statements, the Company participated in a significant capital raise transaction during the year which involved the issuance of shares of the Company’s common stock, unregistered pre-funded warrants, and unregistered common stock warrants to purchase shares of the Company’s common stock. The accounting for the transaction was complex and a valuation of the freestanding warrants was required, which involved estimation of the fair value, and evaluation of the appropriate classification of both the pre-funded warrants and common stock warrants in the consolidated financial statements.</w:t>
      </w:r>
    </w:p>
    <w:p>
      <w:pPr>
        <w:sectPr>
          <w:pgSz w:w="11900" w:h="16900" w:orient="portrait"/>
          <w:cols w:equalWidth="0" w:num="1">
            <w:col w:w="11240"/>
          </w:cols>
          <w:pgMar w:left="320" w:top="125" w:right="339" w:bottom="0" w:gutter="0" w:footer="0" w:header="0"/>
        </w:sectPr>
      </w:pPr>
    </w:p>
    <w:p>
      <w:pPr>
        <w:spacing w:after="0" w:line="194" w:lineRule="exact"/>
        <w:rPr>
          <w:sz w:val="20"/>
          <w:szCs w:val="20"/>
          <w:color w:val="auto"/>
        </w:rPr>
      </w:pPr>
    </w:p>
    <w:p>
      <w:pPr>
        <w:ind w:right="20" w:firstLine="45"/>
        <w:spacing w:after="0" w:line="258" w:lineRule="auto"/>
        <w:rPr>
          <w:sz w:val="20"/>
          <w:szCs w:val="20"/>
          <w:color w:val="auto"/>
        </w:rPr>
      </w:pPr>
      <w:r>
        <w:rPr>
          <w:rFonts w:ascii="Arial" w:cs="Arial" w:eastAsia="Arial" w:hAnsi="Arial"/>
          <w:sz w:val="18"/>
          <w:szCs w:val="18"/>
          <w:i w:val="1"/>
          <w:iCs w:val="1"/>
          <w:color w:val="auto"/>
        </w:rPr>
        <w:t>How We Addressed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2"/>
        <w:spacing w:after="0"/>
        <w:rPr>
          <w:sz w:val="20"/>
          <w:szCs w:val="20"/>
          <w:color w:val="auto"/>
        </w:rPr>
      </w:pPr>
      <w:r>
        <w:rPr>
          <w:rFonts w:ascii="Arial" w:cs="Arial" w:eastAsia="Arial" w:hAnsi="Arial"/>
          <w:sz w:val="18"/>
          <w:szCs w:val="18"/>
          <w:color w:val="auto"/>
        </w:rPr>
        <w:t>Our audit procedures included the following:</w:t>
      </w:r>
    </w:p>
    <w:p>
      <w:pPr>
        <w:spacing w:after="0" w:line="333" w:lineRule="exact"/>
        <w:rPr>
          <w:sz w:val="20"/>
          <w:szCs w:val="20"/>
          <w:color w:val="auto"/>
        </w:rPr>
      </w:pPr>
    </w:p>
    <w:p>
      <w:pPr>
        <w:ind w:left="442" w:right="360" w:hanging="442"/>
        <w:spacing w:after="0" w:line="182" w:lineRule="auto"/>
        <w:tabs>
          <w:tab w:leader="none" w:pos="442" w:val="left"/>
        </w:tabs>
        <w:numPr>
          <w:ilvl w:val="0"/>
          <w:numId w:val="39"/>
        </w:numPr>
        <w:rPr>
          <w:rFonts w:ascii="Arial" w:cs="Arial" w:eastAsia="Arial" w:hAnsi="Arial"/>
          <w:sz w:val="34"/>
          <w:szCs w:val="34"/>
          <w:color w:val="auto"/>
          <w:vertAlign w:val="subscript"/>
        </w:rPr>
      </w:pPr>
      <w:r>
        <w:rPr>
          <w:rFonts w:ascii="Arial" w:cs="Arial" w:eastAsia="Arial" w:hAnsi="Arial"/>
          <w:sz w:val="17"/>
          <w:szCs w:val="17"/>
          <w:color w:val="auto"/>
        </w:rPr>
        <w:t>We obtained an understanding of the internal controls and processes in place over management’s process for recording transactions involving equity instruments.</w:t>
      </w:r>
    </w:p>
    <w:p>
      <w:pPr>
        <w:spacing w:after="0" w:line="200" w:lineRule="exact"/>
        <w:rPr>
          <w:sz w:val="20"/>
          <w:szCs w:val="20"/>
          <w:color w:val="auto"/>
        </w:rPr>
      </w:pPr>
    </w:p>
    <w:p>
      <w:pPr>
        <w:sectPr>
          <w:pgSz w:w="11900" w:h="16900" w:orient="portrait"/>
          <w:cols w:equalWidth="0" w:num="2">
            <w:col w:w="1460" w:space="438"/>
            <w:col w:w="9342"/>
          </w:cols>
          <w:pgMar w:left="320" w:top="125" w:right="339" w:bottom="0" w:gutter="0" w:footer="0" w:header="0"/>
          <w:type w:val="continuous"/>
        </w:sectPr>
      </w:pP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obtained and read the underlying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confirmed shares outstanding with the stock transfer agent as of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verified proper approval of equity transactions by the Board of Directors.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evaluated the Company’s selection of the valuation methodology and significant assumptions used by the Company and evaluated the completeness and accuracy of the underlying data supporting the significant assumptions.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Specifically, when assessing the key assumptions, we evaluated the appropriateness of the Company’s estimates of its credit risk, volatility, dividend yield, and the market risk free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tested management’s application of the relevant accounting guidance.</w:t>
      </w:r>
    </w:p>
    <w:p>
      <w:pPr>
        <w:spacing w:after="0" w:line="631" w:lineRule="exact"/>
        <w:rPr>
          <w:sz w:val="20"/>
          <w:szCs w:val="20"/>
          <w:color w:val="auto"/>
        </w:rPr>
      </w:pPr>
    </w:p>
    <w:p>
      <w:pPr>
        <w:sectPr>
          <w:pgSz w:w="11900" w:h="16900" w:orient="portrait"/>
          <w:cols w:equalWidth="0" w:num="2">
            <w:col w:w="1940" w:space="400"/>
            <w:col w:w="8900"/>
          </w:cols>
          <w:pgMar w:left="320" w:top="125"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5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6880" w:type="dxa"/>
            <w:vAlign w:val="bottom"/>
            <w:gridSpan w:val="3"/>
          </w:tcPr>
          <w:p>
            <w:pPr>
              <w:jc w:val="right"/>
              <w:ind w:right="3120"/>
              <w:spacing w:after="0"/>
              <w:rPr>
                <w:sz w:val="20"/>
                <w:szCs w:val="20"/>
                <w:color w:val="auto"/>
              </w:rPr>
            </w:pPr>
            <w:r>
              <w:rPr>
                <w:rFonts w:ascii="Arial" w:cs="Arial" w:eastAsia="Arial" w:hAnsi="Arial"/>
                <w:sz w:val="18"/>
                <w:szCs w:val="18"/>
                <w:b w:val="1"/>
                <w:bCs w:val="1"/>
                <w:color w:val="auto"/>
              </w:rPr>
              <w:t>TENAX THERAPEUTICS, INC.</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80" w:type="dxa"/>
            <w:vAlign w:val="bottom"/>
            <w:gridSpan w:val="3"/>
          </w:tcPr>
          <w:p>
            <w:pPr>
              <w:jc w:val="right"/>
              <w:ind w:right="2840"/>
              <w:spacing w:after="0"/>
              <w:rPr>
                <w:sz w:val="20"/>
                <w:szCs w:val="20"/>
                <w:color w:val="auto"/>
              </w:rPr>
            </w:pPr>
            <w:r>
              <w:rPr>
                <w:rFonts w:ascii="Arial" w:cs="Arial" w:eastAsia="Arial" w:hAnsi="Arial"/>
                <w:sz w:val="18"/>
                <w:szCs w:val="18"/>
                <w:b w:val="1"/>
                <w:bCs w:val="1"/>
                <w:color w:val="auto"/>
              </w:rPr>
              <w:t>CONSOLIDATED BALANCE SHEETS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6880" w:type="dxa"/>
            <w:vAlign w:val="bottom"/>
            <w:gridSpan w:val="3"/>
          </w:tcPr>
          <w:p>
            <w:pPr>
              <w:jc w:val="right"/>
              <w:ind w:right="538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5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2,123,682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5,583,922</w:t>
            </w:r>
          </w:p>
        </w:tc>
        <w:tc>
          <w:tcPr>
            <w:tcW w:w="0" w:type="dxa"/>
            <w:vAlign w:val="bottom"/>
          </w:tcPr>
          <w:p>
            <w:pPr>
              <w:spacing w:after="0"/>
              <w:rPr>
                <w:sz w:val="1"/>
                <w:szCs w:val="1"/>
                <w:color w:val="auto"/>
              </w:rPr>
            </w:pPr>
          </w:p>
        </w:tc>
      </w:tr>
      <w:tr>
        <w:trPr>
          <w:trHeight w:val="216"/>
        </w:trPr>
        <w:tc>
          <w:tcPr>
            <w:tcW w:w="314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6880" w:type="dxa"/>
            <w:vAlign w:val="bottom"/>
            <w:gridSpan w:val="3"/>
          </w:tcPr>
          <w:p>
            <w:pPr>
              <w:jc w:val="right"/>
              <w:ind w:right="220"/>
              <w:spacing w:after="0"/>
              <w:rPr>
                <w:sz w:val="20"/>
                <w:szCs w:val="20"/>
                <w:color w:val="auto"/>
              </w:rPr>
            </w:pPr>
            <w:r>
              <w:rPr>
                <w:rFonts w:ascii="Arial" w:cs="Arial" w:eastAsia="Arial" w:hAnsi="Arial"/>
                <w:sz w:val="18"/>
                <w:szCs w:val="18"/>
                <w:color w:val="auto"/>
              </w:rPr>
              <w:t>738,927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105,078</w:t>
            </w: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55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type w:val="continuous"/>
        </w:sectPr>
      </w:pPr>
    </w:p>
    <w:bookmarkStart w:id="39" w:name="page40"/>
    <w:bookmarkEnd w:id="39"/>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345,856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3,208,465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287,692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3,404,709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5,992,235</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859,638</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775,045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704,340</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Note Payable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624,302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1,847,772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1,563,978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64,196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183,589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 term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183,589</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1,911,968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1,747,567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Commitments and contingencies; see Note 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Preferred stock, undesignated, authorized 4,818,654 shares; See Note 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2"/>
              </w:rPr>
              <w:t>Series A Preferred stock, par value $.0001, issued 5,181,346 shares; outstanding 210, as of December 31, 2022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December 31, 2021, respectively</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w w:val="95"/>
              </w:rPr>
              <w:t>Common stock, par value $.0001 per share; authorized 400,000,000 shares; issued and outstanding 2,291,809 as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of December 31, 2022 and 1,260,346 as of December 31, 2021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291,030,237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282,736,332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(289,542,080)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(278,494,185)</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1,492,741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4,244,668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3,404,709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5,992,235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ind w:left="3060"/>
              <w:spacing w:after="0"/>
              <w:rPr>
                <w:sz w:val="20"/>
                <w:szCs w:val="20"/>
                <w:color w:val="auto"/>
              </w:rPr>
            </w:pPr>
            <w:r>
              <w:rPr>
                <w:rFonts w:ascii="Arial" w:cs="Arial" w:eastAsia="Arial" w:hAnsi="Arial"/>
                <w:sz w:val="18"/>
                <w:szCs w:val="18"/>
                <w:b w:val="1"/>
                <w:bCs w:val="1"/>
                <w:color w:val="auto"/>
              </w:rPr>
              <w:t>TENAX THERAPEUTICS, INC.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7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The year ended December 31,</w:t>
            </w: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425"/>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5,675,231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7,580,847</w:t>
            </w:r>
          </w:p>
        </w:tc>
      </w:tr>
      <w:tr>
        <w:trPr>
          <w:trHeight w:val="216"/>
        </w:trPr>
        <w:tc>
          <w:tcPr>
            <w:tcW w:w="87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5,377,412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25,147,394</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11,052,643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32,728,241</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operating loss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11,052,643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32,728,241</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(9,191)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(254,832)</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11,047,895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32,474,358</w:t>
            </w:r>
          </w:p>
        </w:tc>
      </w:tr>
      <w:tr>
        <w:trPr>
          <w:trHeight w:val="196"/>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11,047,895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32,474,288</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(31.56)</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1,471,303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1,028,862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rPr>
              <w:t>TENAX THERAPEUTICS, INC.</w:t>
            </w:r>
          </w:p>
        </w:tc>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60" w:type="dxa"/>
            <w:vAlign w:val="bottom"/>
            <w:gridSpan w:val="6"/>
          </w:tcPr>
          <w:p>
            <w:pPr>
              <w:jc w:val="center"/>
              <w:ind w:right="890"/>
              <w:spacing w:after="0"/>
              <w:rPr>
                <w:sz w:val="20"/>
                <w:szCs w:val="20"/>
                <w:color w:val="auto"/>
              </w:rPr>
            </w:pPr>
            <w:r>
              <w:rPr>
                <w:rFonts w:ascii="Arial" w:cs="Arial" w:eastAsia="Arial" w:hAnsi="Arial"/>
                <w:sz w:val="18"/>
                <w:szCs w:val="18"/>
                <w:b w:val="1"/>
                <w:bCs w:val="1"/>
                <w:color w:val="auto"/>
                <w:w w:val="99"/>
              </w:rPr>
              <w:t>CONSOLIDATED STATEMENTS OF STOCKHOLDERS’ EQUITY</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Preferred Stock</w:t>
            </w:r>
          </w:p>
        </w:tc>
        <w:tc>
          <w:tcPr>
            <w:tcW w:w="200" w:type="dxa"/>
            <w:vAlign w:val="bottom"/>
          </w:tcPr>
          <w:p>
            <w:pPr>
              <w:spacing w:after="0"/>
              <w:rPr>
                <w:sz w:val="24"/>
                <w:szCs w:val="24"/>
                <w:color w:val="auto"/>
              </w:rPr>
            </w:pPr>
          </w:p>
        </w:tc>
        <w:tc>
          <w:tcPr>
            <w:tcW w:w="18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Common Stock</w:t>
            </w:r>
          </w:p>
        </w:tc>
        <w:tc>
          <w:tcPr>
            <w:tcW w:w="1300" w:type="dxa"/>
            <w:vAlign w:val="bottom"/>
          </w:tcPr>
          <w:p>
            <w:pPr>
              <w:spacing w:after="0"/>
              <w:rPr>
                <w:sz w:val="24"/>
                <w:szCs w:val="24"/>
                <w:color w:val="auto"/>
              </w:rPr>
            </w:pPr>
          </w:p>
        </w:tc>
        <w:tc>
          <w:tcPr>
            <w:tcW w:w="268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7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Borders>
              <w:bottom w:val="single" w:sz="8" w:color="auto"/>
            </w:tcBorders>
            <w:gridSpan w:val="2"/>
            <w:vMerge w:val="continue"/>
          </w:tcPr>
          <w:p>
            <w:pPr>
              <w:spacing w:after="0"/>
              <w:rPr>
                <w:sz w:val="19"/>
                <w:szCs w:val="19"/>
                <w:color w:val="auto"/>
              </w:rPr>
            </w:pPr>
          </w:p>
        </w:tc>
        <w:tc>
          <w:tcPr>
            <w:tcW w:w="13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Additional</w:t>
            </w:r>
          </w:p>
        </w:tc>
        <w:tc>
          <w:tcPr>
            <w:tcW w:w="2680" w:type="dxa"/>
            <w:vAlign w:val="bottom"/>
          </w:tcPr>
          <w:p>
            <w:pPr>
              <w:jc w:val="center"/>
              <w:ind w:right="1150"/>
              <w:spacing w:after="0"/>
              <w:rPr>
                <w:sz w:val="20"/>
                <w:szCs w:val="20"/>
                <w:color w:val="auto"/>
              </w:rPr>
            </w:pPr>
            <w:r>
              <w:rPr>
                <w:rFonts w:ascii="Arial" w:cs="Arial" w:eastAsia="Arial" w:hAnsi="Arial"/>
                <w:sz w:val="18"/>
                <w:szCs w:val="18"/>
                <w:b w:val="1"/>
                <w:bCs w:val="1"/>
                <w:color w:val="auto"/>
                <w:w w:val="88"/>
              </w:rPr>
              <w:t>other</w:t>
            </w: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NumberAmount</w:t>
            </w:r>
          </w:p>
        </w:tc>
        <w:tc>
          <w:tcPr>
            <w:tcW w:w="2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Number</w:t>
            </w:r>
          </w:p>
        </w:tc>
        <w:tc>
          <w:tcPr>
            <w:tcW w:w="8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Amount</w:t>
            </w:r>
          </w:p>
        </w:tc>
        <w:tc>
          <w:tcPr>
            <w:tcW w:w="130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paid-in</w:t>
            </w: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w w:val="96"/>
              </w:rPr>
              <w:t>comprehensive   Accumulated</w:t>
            </w: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bl>
    <w:p>
      <w:pPr>
        <w:sectPr>
          <w:pgSz w:w="11900" w:h="16896" w:orient="portrait"/>
          <w:cols w:equalWidth="0" w:num="1">
            <w:col w:w="11240"/>
          </w:cols>
          <w:pgMar w:left="320" w:top="140" w:right="339" w:bottom="0" w:gutter="0" w:footer="0" w:header="0"/>
        </w:sectPr>
      </w:pPr>
    </w:p>
    <w:bookmarkStart w:id="40" w:name="page41"/>
    <w:bookmarkEnd w:id="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of Shares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of 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gain (loss)</w:t>
            </w:r>
          </w:p>
        </w:tc>
        <w:tc>
          <w:tcPr>
            <w:tcW w:w="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630,968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$ 250,644,197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(246,019,827)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4,625,562</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w w:val="95"/>
              </w:rPr>
              <w:t>Common stock and preferred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stock issued for asset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acquisition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10,232</w:t>
            </w:r>
          </w:p>
        </w:tc>
        <w:tc>
          <w:tcPr>
            <w:tcW w:w="3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94,645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21,582,141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21,582,331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for</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(10,232)</w:t>
            </w:r>
          </w:p>
        </w:tc>
        <w:tc>
          <w:tcPr>
            <w:tcW w:w="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511,600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w w:val="94"/>
              </w:rPr>
              <w:t>Pre-funded warrants sold, net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of 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9,192,624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9,192,624</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773,787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773,787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22,852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544,605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544,651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(32,474,358)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(32,474,358)</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4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1,260,346</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282,736,332</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4"/>
              </w:rPr>
              <w:t>$ (278,494,185)</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4,244,668</w:t>
            </w:r>
          </w:p>
        </w:tc>
        <w:tc>
          <w:tcPr>
            <w:tcW w:w="0" w:type="dxa"/>
            <w:vAlign w:val="bottom"/>
          </w:tcPr>
          <w:p>
            <w:pPr>
              <w:spacing w:after="0"/>
              <w:rPr>
                <w:sz w:val="1"/>
                <w:szCs w:val="1"/>
                <w:color w:val="auto"/>
              </w:rPr>
            </w:pPr>
          </w:p>
        </w:tc>
      </w:tr>
      <w:tr>
        <w:trPr>
          <w:trHeight w:val="194"/>
        </w:trPr>
        <w:tc>
          <w:tcPr>
            <w:tcW w:w="2240" w:type="dxa"/>
            <w:vAlign w:val="bottom"/>
          </w:tcPr>
          <w:p>
            <w:pPr>
              <w:spacing w:after="0" w:line="194" w:lineRule="exact"/>
              <w:rPr>
                <w:sz w:val="20"/>
                <w:szCs w:val="20"/>
                <w:color w:val="auto"/>
              </w:rPr>
            </w:pPr>
            <w:r>
              <w:rPr>
                <w:rFonts w:ascii="Arial" w:cs="Arial" w:eastAsia="Arial" w:hAnsi="Arial"/>
                <w:sz w:val="18"/>
                <w:szCs w:val="18"/>
                <w:b w:val="1"/>
                <w:bCs w:val="1"/>
                <w:color w:val="auto"/>
              </w:rPr>
              <w:t>2021</w:t>
            </w:r>
          </w:p>
        </w:tc>
        <w:tc>
          <w:tcPr>
            <w:tcW w:w="98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Pre-funded warrants and</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7"/>
              </w:rPr>
              <w:t>warrants sold, net of offering</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7,928,591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7,928,591</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Exercise of pre-funded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warrants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1,031,463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2,063</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365,314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365,314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(11,047,895)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(11,047,895)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2,291,809</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4,584</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291,030,237</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(289,542,080)</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1,492,741</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2022</w:t>
            </w:r>
          </w:p>
        </w:tc>
        <w:tc>
          <w:tcPr>
            <w:tcW w:w="9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TENAX THERAPEUTICS, INC.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9"/>
              </w:rPr>
              <w:t>Year ended December 31,</w:t>
            </w: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425"/>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(11,047,895)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(32,474,358)</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Interest on debt instrument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 of use asset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104,866</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Gain on sale of equipment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(2,901)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debt settlement and extinguishment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(247,233)</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Issuance and vesting of compensatory stock options and warrants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365,314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773,787</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stock and preferred stock for asset acquisition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21,582,331</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Amortization of premium on marketable securities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9,427</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 prepaid expenses and other assets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(980,822)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(22,500)</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(344,951)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(544,589)</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Long term portion of lease liability</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(119,393)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(42,999)</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(12,012,873)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(10,856,203)</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Sale of marketable securities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803,401</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(345,540)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(2,323)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(5,252)</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452,609</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issuance of warrants and pre-funded warrants, net of issuance costs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7,928,591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9,192,624</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issuance of note payable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624,302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exercise of warrants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544,651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8,554,956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9,737,275</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(3,460,240)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(666,319)</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5,583,922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6,250,241</w:t>
            </w:r>
          </w:p>
        </w:tc>
      </w:tr>
      <w:tr>
        <w:trPr>
          <w:trHeight w:val="22"/>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121"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5,583,922</w:t>
            </w:r>
          </w:p>
        </w:tc>
      </w:tr>
      <w:tr>
        <w:trPr>
          <w:trHeight w:val="196"/>
        </w:trPr>
        <w:tc>
          <w:tcPr>
            <w:tcW w:w="1280" w:type="dxa"/>
            <w:vAlign w:val="bottom"/>
            <w:tcBorders>
              <w:top w:val="single" w:sz="8" w:color="CCEEFF"/>
            </w:tcBorders>
          </w:tcPr>
          <w:p>
            <w:pPr>
              <w:spacing w:after="0"/>
              <w:rPr>
                <w:sz w:val="17"/>
                <w:szCs w:val="17"/>
                <w:color w:val="auto"/>
              </w:rPr>
            </w:pPr>
          </w:p>
        </w:tc>
        <w:tc>
          <w:tcPr>
            <w:tcW w:w="418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60" w:type="dxa"/>
            <w:vAlign w:val="bottom"/>
            <w:gridSpan w:val="2"/>
          </w:tcPr>
          <w:p>
            <w:pPr>
              <w:ind w:left="220"/>
              <w:spacing w:after="0"/>
              <w:rPr>
                <w:sz w:val="20"/>
                <w:szCs w:val="20"/>
                <w:color w:val="auto"/>
              </w:rPr>
            </w:pPr>
            <w:r>
              <w:rPr>
                <w:rFonts w:ascii="Arial" w:cs="Arial" w:eastAsia="Arial" w:hAnsi="Arial"/>
                <w:sz w:val="18"/>
                <w:szCs w:val="18"/>
                <w:color w:val="auto"/>
                <w:w w:val="92"/>
              </w:rPr>
              <w:t>Addition to right of use asset obtained from new operating lease liability</w:t>
            </w:r>
          </w:p>
        </w:tc>
        <w:tc>
          <w:tcPr>
            <w:tcW w:w="3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333,779</w:t>
            </w:r>
          </w:p>
        </w:tc>
      </w:tr>
      <w:tr>
        <w:trPr>
          <w:trHeight w:val="634"/>
        </w:trPr>
        <w:tc>
          <w:tcPr>
            <w:tcW w:w="12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3200"/>
              <w:spacing w:after="0"/>
              <w:rPr>
                <w:sz w:val="20"/>
                <w:szCs w:val="20"/>
                <w:color w:val="auto"/>
              </w:rPr>
            </w:pPr>
            <w:r>
              <w:rPr>
                <w:rFonts w:ascii="Arial" w:cs="Arial" w:eastAsia="Arial" w:hAnsi="Arial"/>
                <w:sz w:val="18"/>
                <w:szCs w:val="18"/>
                <w:color w:val="auto"/>
                <w:w w:val="96"/>
              </w:rPr>
              <w:t>F-7</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13, 2013, the Company, through its wholly-owned subsidiary, Life Newco, Inc., a Delaware corporation,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sublicenseable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new oral product dose forms containing levosimendan, in capsule and solid dosage form, and a subcutaneously administered product containing levosimendan, subject to certain limitations (together, the “Product”).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one or two upcoming Phase 3 studies in pulmonary hypertension patients utilizing one of these oral formulations. See “Note –G - Commitments and Contingencies” below for a further discussion of the License.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2021, the Company, Life Newco II, Inc., a Delaware corporation and a wholly-owned,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PAH (“PAH”) in the United States and the rest of the world. Under the terms of the Merger Agreement, Life Newco II merged with and into PHPM, with PHPM surviving as a wholly-owned subsidiary of the Company (the “Merger”). See “Note –E - Merger” below for a further discussion of the Merger.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accompanying financial statements have been prepared in conformity with accounting principles generally accepted in the United States of America (“GAAP”), which contemplate continuation of the Company as a going concern. The Company has an accumulated deficit of $289,542,080 and $278,494,185 on December 31, 2022 and 2021, respectively, and used cash in operations of $12,012,873 and $10,856,203 during the years ended December 31, 2022 and 2021,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December 31, 2022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ectPr>
          <w:pgSz w:w="11900" w:h="16838" w:orient="portrait"/>
          <w:cols w:equalWidth="0" w:num="1">
            <w:col w:w="11240"/>
          </w:cols>
          <w:pgMar w:left="320" w:top="140" w:right="339" w:bottom="73"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and transactions of Tenax Therapeutics, Inc., Life Newco, Inc. and PHPrecisionMed Inc. All material intercompany transactions and balances have been eliminated in consolidation.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adjusted the financial statements to reflect that on January 4, 2023, we effected a 1-for-20 reverse stock split (the “Reverse Stock Split”). The Reverse Stock Split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Concentration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Deposit Insurance Corporation (the “FDIC”) insurance limits are $250,000 per depositor per insured bank. The Company had cash balances of $1,877,589 and $5,127,956 uninsured by the FDIC as of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financed its operations since September 1990 through the issuance of debt and equity securities and loans from stockholders. The Company had total current assets of approximately $3.2 million and $5.7 million and working capital of $1.4 million and $4.1 million as of December 31, 2022 and 2021,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resources were approximately $2.1 million as of December 31, 2022, compared to cash resources of approximately $5.6 million as of December 31,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expects to continue to incur expenses related to development of levosimendan for pulmonary hypertension and other potential indications and imatinib for PAH, as well as identifying and developing other potential product candidates. Based on its resources on December 31, 2022, the Company believes that it has sufficient capital to fund its planned operations through to the first quarter of calendar year 2024.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provide assurance that it will be able to secure such additional financing, or if available, that it will be sufficient to meet its needs.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COVID-19 pandemic or a similar societal disruption could in the future, directly or indirectly, adversely affect the Company’s clinical trial operations, including its ability to recruit and retain patients, principal investigators and site staff who, as healthcare providers, may have heightened exposure to infectious diseases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initiate and/or complete planned clinical and preclinical studies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w:t>
      </w:r>
    </w:p>
    <w:p>
      <w:pPr>
        <w:sectPr>
          <w:pgSz w:w="11900" w:h="16838" w:orient="portrait"/>
          <w:cols w:equalWidth="0" w:num="1">
            <w:col w:w="11240"/>
          </w:cols>
          <w:pgMar w:left="320" w:top="125" w:right="339" w:bottom="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7"/>
          <w:szCs w:val="17"/>
          <w:color w:val="auto"/>
        </w:rPr>
        <w:t>required under Financial Accounting Standards Board (“FASB”) Accounting Standards Codification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Freestanding warrants issued by the Company in connection with the issuance or sale of debt and equity instruments are considered to be derivative instruments and are evaluated and accounted for in accordance with the provisions of ASC 815.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Study and Clinical Accruals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estimates its preclinical study and clinical trial expenses based on the services received pursuant to contracts with several research institutions and contract research organizations (“CROs”) that do or may conduct and manage preclinical and clinical trials on its behalf. The financial terms of the agreements vary from contract to contract, may be estimated by Tenax Therapeutics and outside advisors prior to contracting with a CRO, and may result in uneven expenses and payment flows. Preclinical study and clinical trial expenses include the following:</w:t>
      </w:r>
    </w:p>
    <w:p>
      <w:pPr>
        <w:spacing w:after="0" w:line="17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paid to research institutions in conjunction with preclinical and clinical research studies, and</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subject to adjustments for impairment, less accumulated depreciation and amortization. Depreciation and amortization are computed using the straight-line method with estimated useful lives of three to seven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Maintenance and repairs are charged to expense as incurred, and improvements to leased facilities and equipment are capitalized.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18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1,576,240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Pre-funded warrants to purchase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501,664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consolidated balance sheet as of December 31, 2022.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accounting standards update (“ASU”), </w:t>
      </w:r>
      <w:r>
        <w:rPr>
          <w:rFonts w:ascii="Arial" w:cs="Arial" w:eastAsia="Arial" w:hAnsi="Arial"/>
          <w:sz w:val="17"/>
          <w:szCs w:val="17"/>
          <w:i w:val="1"/>
          <w:iCs w:val="1"/>
          <w:color w:val="auto"/>
        </w:rPr>
        <w:t>ASU-2019-12, 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intended to simplify accounting for income taxes. It removes certain exceptions to the general principles in Topic 740, Income Taxes and</w:t>
      </w:r>
      <w:r>
        <w:rPr>
          <w:rFonts w:ascii="Arial" w:cs="Arial" w:eastAsia="Arial" w:hAnsi="Arial"/>
          <w:sz w:val="17"/>
          <w:szCs w:val="17"/>
          <w:i w:val="1"/>
          <w:iCs w:val="1"/>
          <w:color w:val="auto"/>
        </w:rPr>
        <w:t xml:space="preserve"> </w:t>
      </w:r>
      <w:r>
        <w:rPr>
          <w:rFonts w:ascii="Arial" w:cs="Arial" w:eastAsia="Arial" w:hAnsi="Arial"/>
          <w:sz w:val="17"/>
          <w:szCs w:val="17"/>
          <w:color w:val="auto"/>
        </w:rPr>
        <w:t>amends existing guidance to improve consistent application. This guidance is effective for fiscal years, and interim periods within those fiscal years, beginning after December 15, 2020 and early adoption is permitted. The Company adopted this standard on January 1, 2021. The Company’s adoption of the new guidance did not have a material impact on its consolidated financial statements.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FASB issued an accounting standard, </w:t>
      </w:r>
      <w:r>
        <w:rPr>
          <w:rFonts w:ascii="Arial" w:cs="Arial" w:eastAsia="Arial" w:hAnsi="Arial"/>
          <w:sz w:val="16"/>
          <w:szCs w:val="16"/>
          <w:i w:val="1"/>
          <w:iCs w:val="1"/>
          <w:color w:val="auto"/>
        </w:rPr>
        <w:t>ASU-2016-13, 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that amends how credit losses are measured and reported for certain financial instruments that are not accounted for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ASC 820, Fair Value Measurements. The Company’s balance sheet includes the following financial instruments: cash and cash equivalents, investments in marketable securities and short-term notes payable. The Company considers the carrying amount of its cash and cash equivalents and short-term notes payable to approximate fair value due to the short-term nature of these instruments.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557" w:right="33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Quoted market prices in active markets for identical assets or liabilities;</w:t>
      </w:r>
    </w:p>
    <w:p>
      <w:pPr>
        <w:spacing w:after="0" w:line="46" w:lineRule="exact"/>
        <w:rPr>
          <w:sz w:val="20"/>
          <w:szCs w:val="20"/>
          <w:color w:val="auto"/>
        </w:rPr>
      </w:pPr>
    </w:p>
    <w:p>
      <w:pPr>
        <w:sectPr>
          <w:pgSz w:w="11900" w:h="16838" w:orient="portrait"/>
          <w:cols w:equalWidth="0" w:num="2">
            <w:col w:w="420" w:space="240"/>
            <w:col w:w="10580"/>
          </w:cols>
          <w:pgMar w:left="320" w:top="557" w:right="339" w:bottom="0" w:gutter="0" w:footer="0" w:header="0"/>
          <w:type w:val="continuous"/>
        </w:sectPr>
      </w:pPr>
    </w:p>
    <w:p>
      <w:pPr>
        <w:spacing w:after="0"/>
        <w:rPr>
          <w:sz w:val="20"/>
          <w:szCs w:val="20"/>
          <w:color w:val="auto"/>
        </w:rPr>
      </w:pPr>
      <w:r>
        <w:rPr>
          <w:rFonts w:ascii="Arial" w:cs="Arial" w:eastAsia="Arial" w:hAnsi="Arial"/>
          <w:sz w:val="15"/>
          <w:szCs w:val="15"/>
          <w:color w:val="auto"/>
        </w:rPr>
        <w:t>one</w:t>
      </w:r>
    </w:p>
    <w:p>
      <w:pPr>
        <w:sectPr>
          <w:pgSz w:w="11900" w:h="16838" w:orient="portrait"/>
          <w:cols w:equalWidth="0" w:num="1">
            <w:col w:w="11240"/>
          </w:cols>
          <w:pgMar w:left="320" w:top="557" w:right="33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Level</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Inputs other than level one inputs that are either directly or indirectly observable; and</w:t>
      </w:r>
    </w:p>
    <w:p>
      <w:pPr>
        <w:spacing w:after="0" w:line="32" w:lineRule="exact"/>
        <w:rPr>
          <w:sz w:val="20"/>
          <w:szCs w:val="20"/>
          <w:color w:val="auto"/>
        </w:rPr>
      </w:pPr>
    </w:p>
    <w:p>
      <w:pPr>
        <w:sectPr>
          <w:pgSz w:w="11900" w:h="16838" w:orient="portrait"/>
          <w:cols w:equalWidth="0" w:num="2">
            <w:col w:w="420" w:space="240"/>
            <w:col w:w="10580"/>
          </w:cols>
          <w:pgMar w:left="320" w:top="557" w:right="339" w:bottom="0" w:gutter="0" w:footer="0" w:header="0"/>
          <w:type w:val="continuous"/>
        </w:sectPr>
      </w:pPr>
    </w:p>
    <w:p>
      <w:pPr>
        <w:spacing w:after="0"/>
        <w:rPr>
          <w:sz w:val="20"/>
          <w:szCs w:val="20"/>
          <w:color w:val="auto"/>
        </w:rPr>
      </w:pPr>
      <w:r>
        <w:rPr>
          <w:rFonts w:ascii="Arial" w:cs="Arial" w:eastAsia="Arial" w:hAnsi="Arial"/>
          <w:sz w:val="17"/>
          <w:szCs w:val="17"/>
          <w:color w:val="auto"/>
        </w:rPr>
        <w:t>two</w:t>
      </w:r>
    </w:p>
    <w:p>
      <w:pPr>
        <w:sectPr>
          <w:pgSz w:w="11900" w:h="16838" w:orient="portrait"/>
          <w:cols w:equalWidth="0" w:num="1">
            <w:col w:w="11240"/>
          </w:cols>
          <w:pgMar w:left="320" w:top="557" w:right="339" w:bottom="0" w:gutter="0" w:footer="0" w:header="0"/>
          <w:type w:val="continuous"/>
        </w:sectPr>
      </w:pP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Level three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Unobservable inputs developed using estimates and assumptions; which are developed by the reporting entity and reflect those assumptions that a market participant would use.</w:t>
      </w:r>
    </w:p>
    <w:p>
      <w:pPr>
        <w:spacing w:after="0" w:line="184" w:lineRule="exact"/>
        <w:rPr>
          <w:sz w:val="20"/>
          <w:szCs w:val="20"/>
          <w:color w:val="auto"/>
        </w:rPr>
      </w:pPr>
    </w:p>
    <w:p>
      <w:pPr>
        <w:sectPr>
          <w:pgSz w:w="11900" w:h="16838" w:orient="portrait"/>
          <w:cols w:equalWidth="0" w:num="2">
            <w:col w:w="420" w:space="240"/>
            <w:col w:w="10580"/>
          </w:cols>
          <w:pgMar w:left="320" w:top="557" w:right="339" w:bottom="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primarily consist of office furniture and fixtures.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were $5,143 and $4,116 for the years ended December 31, 2022 and 2021,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21" w:lineRule="exact"/>
        <w:rPr>
          <w:sz w:val="20"/>
          <w:szCs w:val="20"/>
          <w:color w:val="auto"/>
        </w:rPr>
      </w:pPr>
    </w:p>
    <w:p>
      <w:pPr>
        <w:ind w:left="8300"/>
        <w:spacing w:after="0"/>
        <w:tabs>
          <w:tab w:leader="none" w:pos="9420" w:val="left"/>
        </w:tabs>
        <w:rPr>
          <w:sz w:val="20"/>
          <w:szCs w:val="20"/>
          <w:color w:val="auto"/>
        </w:rPr>
      </w:pP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8"/>
          <w:szCs w:val="18"/>
          <w:b w:val="1"/>
          <w:bCs w:val="1"/>
          <w:color w:val="auto"/>
        </w:rPr>
        <w:t>December</w:t>
      </w:r>
    </w:p>
    <w:p>
      <w:pPr>
        <w:sectPr>
          <w:pgSz w:w="11900" w:h="16838" w:orient="portrait"/>
          <w:cols w:equalWidth="0" w:num="1">
            <w:col w:w="11240"/>
          </w:cols>
          <w:pgMar w:left="320" w:top="557" w:right="339" w:bottom="0" w:gutter="0" w:footer="0" w:header="0"/>
          <w:type w:val="continuous"/>
        </w:sectPr>
      </w:pPr>
    </w:p>
    <w:bookmarkStart w:id="45" w:name="page46"/>
    <w:bookmarkEnd w:id="45"/>
    <w:p>
      <w:pPr>
        <w:spacing w:after="0" w:line="6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245,391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w w:val="89"/>
              </w:rPr>
              <w:t>119,393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107,192</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9"/>
              </w:rPr>
              <w:t>410,261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160"/>
              <w:spacing w:after="0"/>
              <w:rPr>
                <w:sz w:val="20"/>
                <w:szCs w:val="20"/>
                <w:color w:val="auto"/>
              </w:rPr>
            </w:pPr>
            <w:r>
              <w:rPr>
                <w:rFonts w:ascii="Arial" w:cs="Arial" w:eastAsia="Arial" w:hAnsi="Arial"/>
                <w:sz w:val="18"/>
                <w:szCs w:val="18"/>
                <w:color w:val="auto"/>
                <w:w w:val="89"/>
              </w:rPr>
              <w:t>775,045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704,340</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Finance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2022, the Company executed a premium finance agreement with Premium Funding Associates, Inc.</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financed the Company’s Directors and Officers Insurance Policy as well as the Errors and Omissions policy. The total amount financed was $693,669. The Company paid a down payment of $69,367 at execution leaving a balance of $624,302 payable in monthly installments of $58,873 through December 1, 2023. The agreement has an interest rate of 7.39%.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Protection Program Loan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30, 2020, the Company received a loan pursuant to the Paycheck Protection Program (the “PPP Loan”) under the Coronavirus Aid, Relief, and Economic Security Act, as administered by the U.S. Small Business Administration (“SBA”). The PPP Loan in the principal amount of $244,657 was disbursed by First Horizon Bank (the “Lender”) pursuant to a promissory note issued by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28, 2021, the Company received notice from the SBA that the SBA had remitted $244,657 in principal and $2,576 in interest to the Lender in full forgiveness of the Company’s PPP Loan pursuant to the Company’s application to the SBA for forgiveness of the PPP Loan. The total amount was recorded as other income in our consolidated statement of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E—MERGER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the Company, Life Newco II, PHPM, and Dr. Rich, as Representative, entered into the Merger Agreement, pursuant to which, the Company acquired all of the equity of PHPM. Under the terms of the Merger Agreement, Life Newco II merged with and into PHPM, with PHPM surviving as a wholly-owned subsidiary of the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consideration for the Merger, the stockholders of PHPM received (i) 1,892,905 shares of Company common stock, and (ii) 10,232 shares of the Company’s Series B convertible preferred stock (“Series B Stock”), which were convertible into up to an aggregate of 10,232,000 shares of common stock (collectively, the “Merger Consideration”). To satisfy the Company’s post-closing rights to closing adjustments and indemnification by PHPM and the former stockholders of PHPM pursuant to the Merger Agreement, 1,212,492 shares of common stock issuable upon conversion of the Series B Stock, which represented approximately 10% of the Merger Consideration, were subject to holdback restrictions for 24 months following closing of the transaction (the “Holdback Shares”).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Merger Agreement, the Company’s Board of Directors, at its annual meeting of stockholders held on June 10, 2021, recommended to the Company’s stockholders, and the stockholders approved, the conversion of the Series B Stock pursuant to the Certificate of Designation. As a result, each share of Series B Stock automatically converted into (i) 881.5 shares of common stock, and (ii) the right to receive up to 118.5 Holdback Shares, which were delivered 24 months after the date of issuance of the Series B Stock, subject to reduction for indemnification claims.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Merger Agreement, on February 25, 2021, the Board appointed three directors designated by the PHPM representative to serve on the Board, Dr. Rich, the co-founder and Chief Executive Officer and a stockholder of PHPM, and Drs. Michael Davidson and Declan Doogan. In connection with the closing of the Merger, Dr. Rich also was appointed Chief Medical Officer of the Company.</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was allocated to the in-process research and development project. As such, the Company concluded that substantially all of the fair value of the gross assets acquired was concentrated in the single in-process research and development asset and the set was not a business.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planning to use the acquired asset to further its clinical development in a potential future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was an expense on the acquisition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The consideration transferred, assets acquired and liabilities assumed were recognized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of Common Stock issued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Fair Value of Series B Convertible Preferred Stock issued at closing</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18,212,960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fair value of consideration transferred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73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Accounts payable assumed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
        </w:trPr>
        <w:tc>
          <w:tcPr>
            <w:tcW w:w="880" w:type="dxa"/>
            <w:vAlign w:val="bottom"/>
            <w:tcBorders>
              <w:right w:val="single" w:sz="8" w:color="CCEEFF"/>
            </w:tcBorders>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121" w:right="339" w:bottom="0" w:gutter="0" w:footer="0" w:header="0"/>
        </w:sectPr>
      </w:pPr>
    </w:p>
    <w:bookmarkStart w:id="46" w:name="page47"/>
    <w:bookmarkEnd w:id="46"/>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identifiable net assets</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IPR&amp;D expense recognized</w:t>
            </w:r>
          </w:p>
        </w:tc>
        <w:tc>
          <w:tcPr>
            <w:tcW w:w="29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21,732,331</w:t>
            </w:r>
          </w:p>
        </w:tc>
        <w:tc>
          <w:tcPr>
            <w:tcW w:w="100" w:type="dxa"/>
            <w:vAlign w:val="bottom"/>
          </w:tcPr>
          <w:p>
            <w:pPr>
              <w:spacing w:after="0"/>
              <w:rPr>
                <w:sz w:val="18"/>
                <w:szCs w:val="18"/>
                <w:color w:val="auto"/>
              </w:rPr>
            </w:pPr>
          </w:p>
        </w:tc>
      </w:tr>
      <w:tr>
        <w:trPr>
          <w:trHeight w:val="229"/>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fair value of consideration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$ 21,582,331</w:t>
            </w:r>
          </w:p>
        </w:tc>
        <w:tc>
          <w:tcPr>
            <w:tcW w:w="100" w:type="dxa"/>
            <w:vAlign w:val="bottom"/>
            <w:shd w:val="clear" w:color="auto" w:fill="CCEEFF"/>
          </w:tcPr>
          <w:p>
            <w:pPr>
              <w:spacing w:after="0"/>
              <w:rPr>
                <w:sz w:val="19"/>
                <w:szCs w:val="19"/>
                <w:color w:val="auto"/>
              </w:rPr>
            </w:pP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F—STOCKHOLDERS’ EQUITY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further discussed in “Note E—Merger”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rights, preferences and privileges of the Series B Stock are set forth in the Certificate of Designation. Following receipt of the approval of the stockholders of the Company on June 10, 2021 for the Conversion, each share of Series B Stock automatically converted into (i) 881.5 shares of common stock and (ii) the right to receive up to 118.5 Holdback Shares, where were delivered 24 months after the date of issuance of the Series B Stock and were subject to reduction for indemnification claims.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no shares of Series B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jc w:val="both"/>
        <w:ind w:firstLine="8"/>
        <w:spacing w:after="0" w:line="302" w:lineRule="auto"/>
        <w:tabs>
          <w:tab w:leader="none" w:pos="2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 two-year warrant to purchase one share of common stock at an exercise price of $1.93, and (iii) a five-year warrant to purchase one share of common stock at an exercise price of $1.93. In accordance with </w:t>
      </w:r>
      <w:r>
        <w:rPr>
          <w:rFonts w:ascii="Arial" w:cs="Arial" w:eastAsia="Arial" w:hAnsi="Arial"/>
          <w:sz w:val="16"/>
          <w:szCs w:val="16"/>
          <w:i w:val="1"/>
          <w:iCs w:val="1"/>
          <w:color w:val="auto"/>
        </w:rPr>
        <w:t>ASC 480, Distinguishing Liabilities from Equity</w:t>
      </w:r>
      <w:r>
        <w:rPr>
          <w:rFonts w:ascii="Arial" w:cs="Arial" w:eastAsia="Arial" w:hAnsi="Arial"/>
          <w:sz w:val="16"/>
          <w:szCs w:val="16"/>
          <w:color w:val="auto"/>
        </w:rPr>
        <w:t>, the estimated fair value of $1,800,016 for the beneficial conversion feature was recognized as a deemed dividend on the Series A Stock during the year ended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Conversion</w:t>
            </w: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Subject to the ownership limitations described below, the Series A Stock is convertible at any time at the option of the holder into</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shares of the Company’s common stock at a conversion ratio determined by dividing the stated value of the Series A Stock by a</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conversion price of $1.93 per share. The conversion price is subject to adjustment in the case of stock splits, stock dividends,</w:t>
            </w:r>
          </w:p>
        </w:tc>
      </w:tr>
      <w:tr>
        <w:trPr>
          <w:trHeight w:val="230"/>
        </w:trPr>
        <w:tc>
          <w:tcPr>
            <w:tcW w:w="1380" w:type="dxa"/>
            <w:vAlign w:val="bottom"/>
            <w:shd w:val="clear" w:color="auto" w:fill="CCEEFF"/>
          </w:tcPr>
          <w:p>
            <w:pPr>
              <w:spacing w:after="0"/>
              <w:rPr>
                <w:sz w:val="20"/>
                <w:szCs w:val="20"/>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combinations of shares and similar recapitalization transactions.</w:t>
            </w:r>
          </w:p>
        </w:tc>
      </w:tr>
      <w:tr>
        <w:trPr>
          <w:trHeight w:val="418"/>
        </w:trPr>
        <w:tc>
          <w:tcPr>
            <w:tcW w:w="1380" w:type="dxa"/>
            <w:vAlign w:val="bottom"/>
            <w:shd w:val="clear" w:color="auto" w:fill="CCEEFF"/>
          </w:tcPr>
          <w:p>
            <w:pPr>
              <w:spacing w:after="0"/>
              <w:rPr>
                <w:sz w:val="24"/>
                <w:szCs w:val="24"/>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The Company will not affect any conversion of the Series A Stock, nor shall a holder convert its shares of Series A Stock, to the</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extent that such conversion would cause the holder to have acquired, through conversion of the Series A Stock or otherwise,</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beneficial ownership of a number shares of common stock in excess of 4.99% (or, at the election of the holder prior to the issuance</w:t>
            </w:r>
          </w:p>
        </w:tc>
      </w:tr>
      <w:tr>
        <w:trPr>
          <w:trHeight w:val="230"/>
        </w:trPr>
        <w:tc>
          <w:tcPr>
            <w:tcW w:w="1380" w:type="dxa"/>
            <w:vAlign w:val="bottom"/>
            <w:shd w:val="clear" w:color="auto" w:fill="CCEEFF"/>
          </w:tcPr>
          <w:p>
            <w:pPr>
              <w:spacing w:after="0"/>
              <w:rPr>
                <w:sz w:val="20"/>
                <w:szCs w:val="20"/>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any shares of Series A Stock, 9.99%) of the common stock outstanding after giving effect to such exercise.</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Dividends</w:t>
            </w:r>
          </w:p>
        </w:tc>
        <w:tc>
          <w:tcPr>
            <w:tcW w:w="9860" w:type="dxa"/>
            <w:vAlign w:val="bottom"/>
          </w:tcPr>
          <w:p>
            <w:pPr>
              <w:ind w:left="420"/>
              <w:spacing w:after="0" w:line="201" w:lineRule="exact"/>
              <w:rPr>
                <w:sz w:val="20"/>
                <w:szCs w:val="20"/>
                <w:color w:val="auto"/>
              </w:rPr>
            </w:pPr>
            <w:r>
              <w:rPr>
                <w:rFonts w:ascii="Arial" w:cs="Arial" w:eastAsia="Arial" w:hAnsi="Arial"/>
                <w:sz w:val="18"/>
                <w:szCs w:val="18"/>
                <w:color w:val="auto"/>
                <w:w w:val="95"/>
              </w:rPr>
              <w:t>In the event the Company pays dividends on its shares of common stock, the holders of the Series A Stock will be entitled to</w:t>
            </w:r>
          </w:p>
        </w:tc>
      </w:tr>
      <w:tr>
        <w:trPr>
          <w:trHeight w:val="216"/>
        </w:trPr>
        <w:tc>
          <w:tcPr>
            <w:tcW w:w="138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receive dividends on shares of Series A Stock equal, on an as-if-converted basis, to and in the same form as paid on the common</w:t>
            </w:r>
          </w:p>
        </w:tc>
      </w:tr>
      <w:tr>
        <w:trPr>
          <w:trHeight w:val="230"/>
        </w:trPr>
        <w:tc>
          <w:tcPr>
            <w:tcW w:w="1380" w:type="dxa"/>
            <w:vAlign w:val="bottom"/>
          </w:tcPr>
          <w:p>
            <w:pPr>
              <w:spacing w:after="0"/>
              <w:rPr>
                <w:sz w:val="20"/>
                <w:szCs w:val="20"/>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stock. No other dividends will be paid on the shares of Series A Stock.</w:t>
            </w:r>
          </w:p>
        </w:tc>
      </w:tr>
      <w:tr>
        <w:trPr>
          <w:trHeight w:val="216"/>
        </w:trPr>
        <w:tc>
          <w:tcPr>
            <w:tcW w:w="1380" w:type="dxa"/>
            <w:vAlign w:val="bottom"/>
          </w:tcPr>
          <w:p>
            <w:pPr>
              <w:spacing w:after="0"/>
              <w:rPr>
                <w:sz w:val="18"/>
                <w:szCs w:val="18"/>
                <w:color w:val="auto"/>
              </w:rPr>
            </w:pPr>
          </w:p>
        </w:tc>
        <w:tc>
          <w:tcPr>
            <w:tcW w:w="9860" w:type="dxa"/>
            <w:vAlign w:val="bottom"/>
          </w:tcPr>
          <w:p>
            <w:pPr>
              <w:spacing w:after="0"/>
              <w:rPr>
                <w:sz w:val="18"/>
                <w:szCs w:val="18"/>
                <w:color w:val="auto"/>
              </w:rPr>
            </w:pP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Liquidation</w:t>
            </w:r>
          </w:p>
        </w:tc>
        <w:tc>
          <w:tcPr>
            <w:tcW w:w="98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7"/>
              </w:rPr>
              <w:t>Upon any liquidation, dissolution or winding up of the Company after payment or provision for payment of debts and other</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liabilities of the Company, the holders of Series A Stock shall be entitled to be paid out of the assets of the Company available for</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distribution to its stockholders an amount equal to the amount that a holder of common stock would receive if the Series A Stock</w:t>
            </w:r>
          </w:p>
        </w:tc>
      </w:tr>
      <w:tr>
        <w:trPr>
          <w:trHeight w:val="230"/>
        </w:trPr>
        <w:tc>
          <w:tcPr>
            <w:tcW w:w="1380" w:type="dxa"/>
            <w:vAlign w:val="bottom"/>
            <w:shd w:val="clear" w:color="auto" w:fill="CCEEFF"/>
          </w:tcPr>
          <w:p>
            <w:pPr>
              <w:spacing w:after="0"/>
              <w:rPr>
                <w:sz w:val="20"/>
                <w:szCs w:val="20"/>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were fully converted to common stock, which amounts will be paid pari passu with all holders of common stock.</w:t>
            </w:r>
          </w:p>
        </w:tc>
      </w:tr>
      <w:tr>
        <w:trPr>
          <w:trHeight w:val="216"/>
        </w:trPr>
        <w:tc>
          <w:tcPr>
            <w:tcW w:w="138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Voting rights</w:t>
            </w:r>
          </w:p>
        </w:tc>
        <w:tc>
          <w:tcPr>
            <w:tcW w:w="9860" w:type="dxa"/>
            <w:vAlign w:val="bottom"/>
          </w:tcPr>
          <w:p>
            <w:pPr>
              <w:ind w:left="420"/>
              <w:spacing w:after="0" w:line="201" w:lineRule="exact"/>
              <w:rPr>
                <w:sz w:val="20"/>
                <w:szCs w:val="20"/>
                <w:color w:val="auto"/>
              </w:rPr>
            </w:pPr>
            <w:r>
              <w:rPr>
                <w:rFonts w:ascii="Arial" w:cs="Arial" w:eastAsia="Arial" w:hAnsi="Arial"/>
                <w:sz w:val="18"/>
                <w:szCs w:val="18"/>
                <w:color w:val="auto"/>
                <w:w w:val="90"/>
              </w:rPr>
              <w:t>Shares of Series A Stock will generally have no voting rights, except as required by law and except that the consent of holders of a</w:t>
            </w:r>
          </w:p>
        </w:tc>
      </w:tr>
      <w:tr>
        <w:trPr>
          <w:trHeight w:val="216"/>
        </w:trPr>
        <w:tc>
          <w:tcPr>
            <w:tcW w:w="138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3"/>
              </w:rPr>
              <w:t>majority of the then outstanding Series A Stock will be required to amend the terms of the Series A Stock or to take other action</w:t>
            </w:r>
          </w:p>
        </w:tc>
      </w:tr>
      <w:tr>
        <w:trPr>
          <w:trHeight w:val="230"/>
        </w:trPr>
        <w:tc>
          <w:tcPr>
            <w:tcW w:w="1380" w:type="dxa"/>
            <w:vAlign w:val="bottom"/>
          </w:tcPr>
          <w:p>
            <w:pPr>
              <w:spacing w:after="0"/>
              <w:rPr>
                <w:sz w:val="20"/>
                <w:szCs w:val="20"/>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that adversely affects the rights of the holders of Series A Stock.</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210 shares of Series A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Certificate of Incorporation authorizes it to issue 400,000,000 shares of $0.0001 par value common stock. As of December 31, 2022, and December 31, 2021, there were 2,291,809 and 1,260,346 shares of common stock issued and outstanding, respectively. As of December 31, 2022 and 2021, there were 0 and 501,664 respectively of pre-funded warrants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38" w:orient="portrait"/>
          <w:cols w:equalWidth="0" w:num="1">
            <w:col w:w="11240"/>
          </w:cols>
          <w:pgMar w:left="320" w:top="140" w:right="339" w:bottom="0" w:gutter="0" w:footer="0" w:header="0"/>
          <w:type w:val="continuous"/>
        </w:sectPr>
      </w:pPr>
    </w:p>
    <w:bookmarkStart w:id="47" w:name="page48"/>
    <w:bookmarkEnd w:id="47"/>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Private Placement (the “May 2022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2022, the Company entered into a securities purchase agreement with an institutional investor, pursuant to which the Company agreed to sell and issue to the investor 529,802 units in a private placement at a purchase price of $0.155 per unit. Each unit consisted of (i) one unregistered pre-funded warrant to purchase one share of common stock and (ii) one unregistered warrant to purchase one share of common stock (together with the pre-funded warrants, the “2022 Warrants”). In the aggregate, 1,059,603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8 —Stockholders Equity—Warrants”.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Private Placement (the “July 2021 Offering”)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6, 2021, the Company entered into a securities purchase agreement with an institutional investor pursuant to which the Company agreed to sell and issue to the investor 238,664 units in a private placement at a purchase price of $41.90 per unit. Each unit consisted of (i) one unregistered pre-funded warrant to purchase one share of common stock and (ii) one unregistered warrant to purchase one share of common stock (together with the pre-funded warrants, the “2021 Warrants”). In the aggregate, 477,327 shares of the Company’s common stock are underlying the 2021 Warrants. The net proceeds from the private placement, after deducting placement agent fees and other direct offering expenses, were approximately $9.2 million. The fair value allocated to the pre-funded warrants and warrants was $5.5 million and $4.5 million, respectively.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Also, on July 6, 2021 and in connection with the July 2021 Offering, the Company entered into a registration rights agreement (the “July 2021 Registration Rights Agreement”) with the investor, pursuant to which the Company agreed to register for resale the shares of common stock issuable upon exercise of the 2021 Warrants within 120 days following the effective date of the July 2021 Registration Rights Agreement. Pursuant to the July 2021 Registration Rights Agreement, on August 20, 2021, the Company filed a resale registration statement on Form S-3, which went effective on September 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the Company received approximately $526 and issued 263,000 shares of common stock upon the exercise of previously outstanding pre-funded warrants issued in connection with the Company’s July 2020 offering.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the Company received approximately $477 and issued 238,664 shares of common stock upon the exercise of previously outstanding pre-funded warrants issued in connection with the Company’s July 2021 Offering.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the Company received approximately $1,060 and issued 529,802 shares of common stock upon the exercise of previously outstanding pre-funded warrants issued in connection with the Company’s May 2022 Offering.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received approximately $545,000 and issued 14,110 shares of common stock upon the exercise of previously outstanding warrants issued in connection with the Company’s December 2018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issued 25,969 shares of common stock upon the cashless exercise of previously outstanding placement agent warrants issued in connection with the Company’s July 2020 and March 2020 offerings.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has 1,576,240 warrants outstanding. The following table summarizes the Company’s warrant activity for the year ended December 31, 2021 and 2022:</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736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1,046,438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29.04</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Issued</w:t>
            </w:r>
          </w:p>
        </w:tc>
        <w:tc>
          <w:tcPr>
            <w:tcW w:w="960" w:type="dxa"/>
            <w:vAlign w:val="bottom"/>
          </w:tcPr>
          <w:p>
            <w:pPr>
              <w:jc w:val="right"/>
              <w:spacing w:after="0"/>
              <w:rPr>
                <w:sz w:val="20"/>
                <w:szCs w:val="20"/>
                <w:color w:val="auto"/>
              </w:rPr>
            </w:pPr>
            <w:r>
              <w:rPr>
                <w:rFonts w:ascii="Arial" w:cs="Arial" w:eastAsia="Arial" w:hAnsi="Arial"/>
                <w:sz w:val="18"/>
                <w:szCs w:val="18"/>
                <w:color w:val="auto"/>
              </w:rPr>
              <w:t>529,801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Amended and restated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1,576,240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Warrants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described above, as a part of the May 2022 Offering, the Company issued unregistered warrants to purchase 529,802 shares of its common stock at an exercise price of $12.60 per share and contractual term of five and one-half years. The unregistered warrants were offered in a private placement under</w:t>
      </w:r>
    </w:p>
    <w:p>
      <w:pPr>
        <w:sectPr>
          <w:pgSz w:w="11900" w:h="16861" w:orient="portrait"/>
          <w:cols w:equalWidth="0" w:num="1">
            <w:col w:w="11240"/>
          </w:cols>
          <w:pgMar w:left="320" w:top="557" w:right="339" w:bottom="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 xml:space="preserve">Section 4(a)(2) of the Securities Act of 1933, as amended (the “Securities Act”) and Regulation D promulgated thereunder. In accordance with </w:t>
      </w:r>
      <w:r>
        <w:rPr>
          <w:rFonts w:ascii="Arial" w:cs="Arial" w:eastAsia="Arial" w:hAnsi="Arial"/>
          <w:sz w:val="18"/>
          <w:szCs w:val="18"/>
          <w:i w:val="1"/>
          <w:iCs w:val="1"/>
          <w:color w:val="auto"/>
        </w:rPr>
        <w:t>ASC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these warrants are classified as equity and their relative fair value of approximately $3.8 million was recognized as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above, as a part of the July 2021 Offering, the Company issued unregistered warrants to purchase 238,664 shares of its common stock at an exercise price of $39.40 per share and contractual term of five and one-half years. The unregistered warrants were offered in a private placement under Section 4(a)(2) of the Securities Act of 1933, as amended (the “Securities Act”) and Regulation D promulgated thereunder. In accordance with ASC 480, these warrants are classified as equity and their relative fair value of approximately $4.5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above, as a part of the July 2020 offering, the Company issued unregistered warrants to purchase 389,181 shares of its common stock at an exercise price of $18.06 per share and contractual term of five and one-half years. The unregistered warrants were offered in a private placement under Section 4(a)(2) of the Securities Act, and Regulation D promulgated thereunder. In accordance with </w:t>
      </w:r>
      <w:r>
        <w:rPr>
          <w:rFonts w:ascii="Arial" w:cs="Arial" w:eastAsia="Arial" w:hAnsi="Arial"/>
          <w:sz w:val="18"/>
          <w:szCs w:val="18"/>
          <w:i w:val="1"/>
          <w:iCs w:val="1"/>
          <w:color w:val="auto"/>
        </w:rPr>
        <w:t>ASC 815, Derivatives and Hedging</w:t>
      </w:r>
      <w:r>
        <w:rPr>
          <w:rFonts w:ascii="Arial" w:cs="Arial" w:eastAsia="Arial" w:hAnsi="Arial"/>
          <w:sz w:val="18"/>
          <w:szCs w:val="18"/>
          <w:color w:val="auto"/>
        </w:rPr>
        <w:t>,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above, as part of the March 2020 Offering, the Company issued unregistered warrants to purchase 118,016 shares of its common stock at an exercise price of $20.80 per share and contractual term of five and one-half years. The unregistered warrants were offered in a private placement under Section 4(a)(2) of the Securities Act, and Regulation D promulgated thereunder. In accordance with ASC 815, Derivatives and Hedging,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July 2021 Offering described above, the Company issued designees of the placement agent warrants to purchase 17,890 shares of common stock at an exercise price of $49.20 and a contractual term of five years. In accordance with ASC 815, Derivatives and Hedging, these warrants are classified as equity and its estimated fair value of $558,472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 options outstanding as of December 31, 2022:</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Options Outstanding at</w:t>
            </w:r>
          </w:p>
        </w:tc>
        <w:tc>
          <w:tcPr>
            <w:tcW w:w="300" w:type="dxa"/>
            <w:vAlign w:val="bottom"/>
          </w:tcPr>
          <w:p>
            <w:pPr>
              <w:spacing w:after="0"/>
              <w:rPr>
                <w:sz w:val="18"/>
                <w:szCs w:val="18"/>
                <w:color w:val="auto"/>
              </w:rPr>
            </w:pPr>
          </w:p>
        </w:tc>
        <w:tc>
          <w:tcPr>
            <w:tcW w:w="2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Options Exercisable and Vested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2022</w:t>
            </w:r>
          </w:p>
        </w:tc>
        <w:tc>
          <w:tcPr>
            <w:tcW w:w="300" w:type="dxa"/>
            <w:vAlign w:val="bottom"/>
          </w:tcPr>
          <w:p>
            <w:pPr>
              <w:spacing w:after="0"/>
              <w:rPr>
                <w:sz w:val="20"/>
                <w:szCs w:val="20"/>
                <w:color w:val="auto"/>
              </w:rPr>
            </w:pPr>
          </w:p>
        </w:tc>
        <w:tc>
          <w:tcPr>
            <w:tcW w:w="2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December 31, 2022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30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0"/>
              </w:rPr>
              <w:t>Exercise Price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3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20"/>
                <w:szCs w:val="20"/>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39.40</w:t>
            </w:r>
          </w:p>
        </w:tc>
        <w:tc>
          <w:tcPr>
            <w:tcW w:w="640" w:type="dxa"/>
            <w:vAlign w:val="bottom"/>
          </w:tcPr>
          <w:p>
            <w:pPr>
              <w:ind w:left="380"/>
              <w:spacing w:after="0"/>
              <w:rPr>
                <w:sz w:val="20"/>
                <w:szCs w:val="20"/>
                <w:color w:val="auto"/>
              </w:rPr>
            </w:pPr>
            <w:r>
              <w:rPr>
                <w:rFonts w:ascii="Arial" w:cs="Arial" w:eastAsia="Arial" w:hAnsi="Arial"/>
                <w:sz w:val="18"/>
                <w:szCs w:val="18"/>
                <w:color w:val="auto"/>
              </w:rPr>
              <w:t>to</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224.00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828.00</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1,368.00</w:t>
            </w:r>
          </w:p>
        </w:tc>
        <w:tc>
          <w:tcPr>
            <w:tcW w:w="6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2,260.00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options outstanding that have vested and are expected to vest based on options outstanding as of December 31, 2022:</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WA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49" w:name="page50"/>
    <w:bookmarkEnd w:id="49"/>
    <w:p>
      <w:pPr>
        <w:spacing w:after="0" w:line="12" w:lineRule="exact"/>
        <w:rPr>
          <w:sz w:val="20"/>
          <w:szCs w:val="20"/>
          <w:color w:val="auto"/>
        </w:rPr>
      </w:pPr>
    </w:p>
    <w:p>
      <w:pPr>
        <w:ind w:left="860"/>
        <w:spacing w:after="0"/>
        <w:tabs>
          <w:tab w:leader="none" w:pos="6380" w:val="left"/>
          <w:tab w:leader="none" w:pos="7060" w:val="left"/>
          <w:tab w:leader="none" w:pos="7600" w:val="left"/>
          <w:tab w:leader="none" w:pos="8200" w:val="left"/>
          <w:tab w:leader="none" w:pos="9080" w:val="left"/>
          <w:tab w:leader="none" w:pos="10060" w:val="left"/>
        </w:tabs>
        <w:rPr>
          <w:sz w:val="20"/>
          <w:szCs w:val="20"/>
          <w:color w:val="auto"/>
        </w:rPr>
      </w:pPr>
      <w:r>
        <w:rPr>
          <w:rFonts w:ascii="Arial" w:cs="Arial" w:eastAsia="Arial" w:hAnsi="Arial"/>
          <w:sz w:val="18"/>
          <w:szCs w:val="18"/>
          <w:b w:val="1"/>
          <w:bCs w:val="1"/>
          <w:color w:val="auto"/>
        </w:rPr>
        <w:t>Vested &amp; expected to vest</w:t>
      </w:r>
      <w:r>
        <w:rPr>
          <w:sz w:val="20"/>
          <w:szCs w:val="20"/>
          <w:color w:val="auto"/>
        </w:rPr>
        <w:tab/>
      </w:r>
      <w:r>
        <w:rPr>
          <w:rFonts w:ascii="Arial" w:cs="Arial" w:eastAsia="Arial" w:hAnsi="Arial"/>
          <w:sz w:val="18"/>
          <w:szCs w:val="18"/>
          <w:color w:val="auto"/>
        </w:rPr>
        <w:t>48,486</w:t>
        <w:tab/>
        <w:t>$</w:t>
      </w:r>
      <w:r>
        <w:rPr>
          <w:sz w:val="20"/>
          <w:szCs w:val="20"/>
          <w:color w:val="auto"/>
        </w:rPr>
        <w:tab/>
      </w:r>
      <w:r>
        <w:rPr>
          <w:rFonts w:ascii="Arial" w:cs="Arial" w:eastAsia="Arial" w:hAnsi="Arial"/>
          <w:sz w:val="18"/>
          <w:szCs w:val="18"/>
          <w:color w:val="auto"/>
        </w:rPr>
        <w:t>46.78</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 Incentive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2022, the Company adopted the 2022 Stock Incentive Plan (the “2022 Plan”). Under the 2022 Plan, with the approval of the Board’s Compensation Committee, the Company may grant stock options, stock appreciation rights, restricted stock, restricted stock units, performance shares, performance units, cash-based awards or other stock-based awards. On June 9, 2022, the Company’s stockholders approved the 2022 Plan, which authorizes for issuance under the 2022 Plan a total of 55,000 shares of common stock. Upon approval by the stockholders,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 Grant</w:t>
            </w: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Shares reserved under 2022 Plan</w:t>
            </w:r>
          </w:p>
        </w:tc>
        <w:tc>
          <w:tcPr>
            <w:tcW w:w="94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Shares rolled over from 2016 Plan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(28,563)</w:t>
            </w: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cancelled/forfeited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Balances, at December 31, 2022</w:t>
            </w:r>
          </w:p>
        </w:tc>
        <w:tc>
          <w:tcPr>
            <w:tcW w:w="940" w:type="dxa"/>
            <w:vAlign w:val="bottom"/>
          </w:tcPr>
          <w:p>
            <w:pPr>
              <w:jc w:val="right"/>
              <w:spacing w:after="0"/>
              <w:rPr>
                <w:sz w:val="20"/>
                <w:szCs w:val="20"/>
                <w:color w:val="auto"/>
              </w:rPr>
            </w:pPr>
            <w:r>
              <w:rPr>
                <w:rFonts w:ascii="Arial" w:cs="Arial" w:eastAsia="Arial" w:hAnsi="Arial"/>
                <w:sz w:val="18"/>
                <w:szCs w:val="18"/>
                <w:color w:val="auto"/>
              </w:rPr>
              <w:t>77,616</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Plan Stock Options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2022 Plan for the year ended December 31, 2022.</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Outstanding Options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Options 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28,563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cancelled/forfeited</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1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Balances at December 31, 2022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28,163</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60" w:type="dxa"/>
            <w:vAlign w:val="bottom"/>
            <w:tcBorders>
              <w:top w:val="single" w:sz="8" w:color="CCEEFF"/>
            </w:tcBorders>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(1)</w:t>
            </w:r>
          </w:p>
        </w:tc>
      </w:tr>
    </w:tbl>
    <w:p>
      <w:pPr>
        <w:spacing w:after="0" w:line="183" w:lineRule="exact"/>
        <w:rPr>
          <w:sz w:val="20"/>
          <w:szCs w:val="20"/>
          <w:color w:val="auto"/>
        </w:rPr>
      </w:pPr>
    </w:p>
    <w:p>
      <w:pPr>
        <w:ind w:lef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represents the difference between the exercise price and $2.22, the closing price of Tenax Therapeutics’ stock on December 31, 2022, as reported on the Nasdaq Capital Market, for all in-the-money options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Incentive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7,500 shares of common stock. On June 13, 2019, the Company’s stockholders approved an amendment to the 2016 Plan which increased the number of shares of common stock authorized for issuance under the 2016 Plan to a total of 37,500 shares, up from 7,500 previously authorized. On June 10, 2021, the Company’s stockholders approved an amendment to the 2016 Plan which increased the number of shares of common stock authorized for issuance under the 2016 Plan to a total of 75,000 shares, up from 37,500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 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year ended December 31, 2022.</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20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Outstanding Options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6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6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1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w w:val="97"/>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160" w:type="dxa"/>
            <w:vAlign w:val="bottom"/>
          </w:tcPr>
          <w:p>
            <w:pPr>
              <w:spacing w:after="0"/>
              <w:rPr>
                <w:sz w:val="20"/>
                <w:szCs w:val="20"/>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ectPr>
          <w:pgSz w:w="11900" w:h="16851" w:orient="portrait"/>
          <w:cols w:equalWidth="0" w:num="1">
            <w:col w:w="11240"/>
          </w:cols>
          <w:pgMar w:left="320" w:top="121" w:right="339" w:bottom="0" w:gutter="0" w:footer="0" w:header="0"/>
        </w:sectPr>
      </w:pPr>
    </w:p>
    <w:bookmarkStart w:id="50" w:name="page51"/>
    <w:bookmarkEnd w:id="50"/>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18,939</w:t>
            </w:r>
          </w:p>
        </w:tc>
        <w:tc>
          <w:tcPr>
            <w:tcW w:w="120" w:type="dxa"/>
            <w:vAlign w:val="bottom"/>
          </w:tcPr>
          <w:p>
            <w:pPr>
              <w:spacing w:after="0"/>
              <w:rPr>
                <w:sz w:val="20"/>
                <w:szCs w:val="20"/>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37.60</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(4,600)</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31.80</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(9,791)</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32.42</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r>
    </w:tbl>
    <w:p>
      <w:pPr>
        <w:spacing w:after="0" w:line="202" w:lineRule="exact"/>
        <w:rPr>
          <w:sz w:val="20"/>
          <w:szCs w:val="20"/>
          <w:color w:val="auto"/>
        </w:rPr>
      </w:pPr>
    </w:p>
    <w:p>
      <w:pPr>
        <w:ind w:left="460" w:right="34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 represents the difference between the exercise price and $2.22, the closing price of Tenax Therapeutics’ stock on December 31, 2022, as reported on the Nasdaq Capital Market, for all in-the-money options outstanding.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used the following assumptions to estimate the fair value of options granted under the 2016 Plan for the years ended December 31, 2022 and 2021:</w:t>
      </w:r>
    </w:p>
    <w:p>
      <w:pPr>
        <w:spacing w:after="0" w:line="166"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For the year ended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5715</wp:posOffset>
            </wp:positionV>
            <wp:extent cx="13627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8380"/>
        <w:spacing w:after="0"/>
        <w:tabs>
          <w:tab w:leader="none" w:pos="95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72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Risk-free interest rate (weighted average)</w:t>
            </w:r>
          </w:p>
        </w:tc>
        <w:tc>
          <w:tcPr>
            <w:tcW w:w="12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3.08%</w:t>
            </w:r>
          </w:p>
        </w:tc>
        <w:tc>
          <w:tcPr>
            <w:tcW w:w="11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0.72%</w:t>
            </w:r>
          </w:p>
        </w:tc>
        <w:tc>
          <w:tcPr>
            <w:tcW w:w="84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Arial" w:cs="Arial" w:eastAsia="Arial" w:hAnsi="Arial"/>
                <w:sz w:val="18"/>
                <w:szCs w:val="18"/>
                <w:color w:val="auto"/>
              </w:rPr>
              <w:t>Expected volatility (weighted average)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102.01%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101.60%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7240" w:type="dxa"/>
            <w:vAlign w:val="bottom"/>
            <w:gridSpan w:val="3"/>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40" w:type="dxa"/>
            <w:vAlign w:val="bottom"/>
          </w:tcPr>
          <w:p>
            <w:pPr>
              <w:spacing w:after="0"/>
              <w:rPr>
                <w:sz w:val="20"/>
                <w:szCs w:val="20"/>
                <w:color w:val="auto"/>
              </w:rPr>
            </w:pPr>
          </w:p>
        </w:tc>
      </w:tr>
      <w:tr>
        <w:trPr>
          <w:trHeight w:val="634"/>
        </w:trPr>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F-19</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72"/>
        </w:trPr>
        <w:tc>
          <w:tcPr>
            <w:tcW w:w="212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5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8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8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2"/>
        </w:trPr>
        <w:tc>
          <w:tcPr>
            <w:tcW w:w="2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Risk-Free Interest Rate</w:t>
            </w:r>
          </w:p>
        </w:tc>
        <w:tc>
          <w:tcPr>
            <w:tcW w:w="9120" w:type="dxa"/>
            <w:vAlign w:val="bottom"/>
            <w:gridSpan w:val="6"/>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The risk-free interest rate assumption was based on U.S. Treasury instruments with a term that is consistent with the</w:t>
            </w:r>
          </w:p>
        </w:tc>
      </w:tr>
      <w:tr>
        <w:trPr>
          <w:trHeight w:val="230"/>
        </w:trPr>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term of the Company’s stock options.</w:t>
            </w: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6"/>
        </w:trPr>
        <w:tc>
          <w:tcPr>
            <w:tcW w:w="128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120" w:type="dxa"/>
            <w:vAlign w:val="bottom"/>
            <w:gridSpan w:val="6"/>
            <w:shd w:val="clear" w:color="auto" w:fill="CCEEFF"/>
          </w:tcPr>
          <w:p>
            <w:pPr>
              <w:spacing w:after="0"/>
              <w:rPr>
                <w:sz w:val="18"/>
                <w:szCs w:val="18"/>
                <w:color w:val="auto"/>
              </w:rPr>
            </w:pPr>
          </w:p>
        </w:tc>
      </w:tr>
      <w:tr>
        <w:trPr>
          <w:trHeight w:val="202"/>
        </w:trPr>
        <w:tc>
          <w:tcPr>
            <w:tcW w:w="212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Expected Volatility</w:t>
            </w:r>
          </w:p>
        </w:tc>
        <w:tc>
          <w:tcPr>
            <w:tcW w:w="9120" w:type="dxa"/>
            <w:vAlign w:val="bottom"/>
            <w:gridSpan w:val="6"/>
          </w:tcPr>
          <w:p>
            <w:pPr>
              <w:ind w:left="340"/>
              <w:spacing w:after="0" w:line="201" w:lineRule="exact"/>
              <w:rPr>
                <w:sz w:val="20"/>
                <w:szCs w:val="20"/>
                <w:color w:val="auto"/>
              </w:rPr>
            </w:pPr>
            <w:r>
              <w:rPr>
                <w:rFonts w:ascii="Arial" w:cs="Arial" w:eastAsia="Arial" w:hAnsi="Arial"/>
                <w:sz w:val="18"/>
                <w:szCs w:val="18"/>
                <w:color w:val="auto"/>
                <w:w w:val="98"/>
              </w:rPr>
              <w:t>The expected stock price volatility for the Company’s common stock was determined by examining the historical</w:t>
            </w: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20" w:type="dxa"/>
            <w:vAlign w:val="bottom"/>
            <w:gridSpan w:val="6"/>
          </w:tcPr>
          <w:p>
            <w:pPr>
              <w:ind w:left="340"/>
              <w:spacing w:after="0"/>
              <w:rPr>
                <w:sz w:val="20"/>
                <w:szCs w:val="20"/>
                <w:color w:val="auto"/>
              </w:rPr>
            </w:pPr>
            <w:r>
              <w:rPr>
                <w:rFonts w:ascii="Arial" w:cs="Arial" w:eastAsia="Arial" w:hAnsi="Arial"/>
                <w:sz w:val="18"/>
                <w:szCs w:val="18"/>
                <w:color w:val="auto"/>
              </w:rPr>
              <w:t>volatility and trading history for its common stock over a term consistent with the expected term of its options.</w:t>
            </w:r>
          </w:p>
        </w:tc>
      </w:tr>
      <w:tr>
        <w:trPr>
          <w:trHeight w:val="216"/>
        </w:trPr>
        <w:tc>
          <w:tcPr>
            <w:tcW w:w="1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gridSpan w:val="6"/>
          </w:tcPr>
          <w:p>
            <w:pPr>
              <w:spacing w:after="0"/>
              <w:rPr>
                <w:sz w:val="18"/>
                <w:szCs w:val="18"/>
                <w:color w:val="auto"/>
              </w:rPr>
            </w:pPr>
          </w:p>
        </w:tc>
      </w:tr>
      <w:tr>
        <w:trPr>
          <w:trHeight w:val="202"/>
        </w:trPr>
        <w:tc>
          <w:tcPr>
            <w:tcW w:w="2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Expected Term</w:t>
            </w:r>
          </w:p>
        </w:tc>
        <w:tc>
          <w:tcPr>
            <w:tcW w:w="9120" w:type="dxa"/>
            <w:vAlign w:val="bottom"/>
            <w:gridSpan w:val="6"/>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The expected term of stock options represents the weighted average period the stock options are expected to remain</w:t>
            </w:r>
          </w:p>
        </w:tc>
      </w:tr>
      <w:tr>
        <w:trPr>
          <w:trHeight w:val="230"/>
        </w:trPr>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12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outstanding. It was calculated based on the Company’s historical experience with its stock option grants.</w:t>
            </w:r>
          </w:p>
        </w:tc>
      </w:tr>
      <w:tr>
        <w:trPr>
          <w:trHeight w:val="216"/>
        </w:trPr>
        <w:tc>
          <w:tcPr>
            <w:tcW w:w="128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120" w:type="dxa"/>
            <w:vAlign w:val="bottom"/>
            <w:gridSpan w:val="6"/>
            <w:shd w:val="clear" w:color="auto" w:fill="CCEEFF"/>
          </w:tcPr>
          <w:p>
            <w:pPr>
              <w:spacing w:after="0"/>
              <w:rPr>
                <w:sz w:val="18"/>
                <w:szCs w:val="18"/>
                <w:color w:val="auto"/>
              </w:rPr>
            </w:pPr>
          </w:p>
        </w:tc>
      </w:tr>
      <w:tr>
        <w:trPr>
          <w:trHeight w:val="202"/>
        </w:trPr>
        <w:tc>
          <w:tcPr>
            <w:tcW w:w="212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Expected Dividend Yield</w:t>
            </w:r>
          </w:p>
        </w:tc>
        <w:tc>
          <w:tcPr>
            <w:tcW w:w="9120" w:type="dxa"/>
            <w:vAlign w:val="bottom"/>
            <w:gridSpan w:val="6"/>
          </w:tcPr>
          <w:p>
            <w:pPr>
              <w:ind w:left="340"/>
              <w:spacing w:after="0" w:line="201" w:lineRule="exact"/>
              <w:rPr>
                <w:sz w:val="20"/>
                <w:szCs w:val="20"/>
                <w:color w:val="auto"/>
              </w:rPr>
            </w:pPr>
            <w:r>
              <w:rPr>
                <w:rFonts w:ascii="Arial" w:cs="Arial" w:eastAsia="Arial" w:hAnsi="Arial"/>
                <w:sz w:val="18"/>
                <w:szCs w:val="18"/>
                <w:color w:val="auto"/>
                <w:w w:val="98"/>
              </w:rPr>
              <w:t>The expected dividend yield of 0% is based on the Company’s history and expectation of dividend payouts. The</w:t>
            </w: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gridSpan w:val="3"/>
          </w:tcPr>
          <w:p>
            <w:pPr>
              <w:ind w:left="340"/>
              <w:spacing w:after="0"/>
              <w:rPr>
                <w:sz w:val="20"/>
                <w:szCs w:val="20"/>
                <w:color w:val="auto"/>
              </w:rPr>
            </w:pPr>
            <w:r>
              <w:rPr>
                <w:rFonts w:ascii="Arial" w:cs="Arial" w:eastAsia="Arial" w:hAnsi="Arial"/>
                <w:sz w:val="18"/>
                <w:szCs w:val="18"/>
                <w:color w:val="auto"/>
                <w:w w:val="98"/>
              </w:rPr>
              <w:t>Company has not paid and does not anticipate paying any dividends in the near future.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2120" w:type="dxa"/>
            <w:vAlign w:val="bottom"/>
            <w:gridSpan w:val="3"/>
          </w:tcPr>
          <w:p>
            <w:pPr>
              <w:spacing w:after="0"/>
              <w:rPr>
                <w:sz w:val="20"/>
                <w:szCs w:val="20"/>
                <w:color w:val="auto"/>
              </w:rPr>
            </w:pPr>
            <w:r>
              <w:rPr>
                <w:rFonts w:ascii="Arial" w:cs="Arial" w:eastAsia="Arial" w:hAnsi="Arial"/>
                <w:sz w:val="18"/>
                <w:szCs w:val="18"/>
                <w:i w:val="1"/>
                <w:iCs w:val="1"/>
                <w:color w:val="auto"/>
              </w:rPr>
              <w:t>Forfeitures</w:t>
            </w:r>
          </w:p>
        </w:tc>
        <w:tc>
          <w:tcPr>
            <w:tcW w:w="9120" w:type="dxa"/>
            <w:vAlign w:val="bottom"/>
            <w:gridSpan w:val="6"/>
          </w:tcPr>
          <w:p>
            <w:pPr>
              <w:ind w:left="340"/>
              <w:spacing w:after="0"/>
              <w:rPr>
                <w:sz w:val="20"/>
                <w:szCs w:val="20"/>
                <w:color w:val="auto"/>
              </w:rPr>
            </w:pPr>
            <w:r>
              <w:rPr>
                <w:rFonts w:ascii="Arial" w:cs="Arial" w:eastAsia="Arial" w:hAnsi="Arial"/>
                <w:sz w:val="18"/>
                <w:szCs w:val="18"/>
                <w:color w:val="auto"/>
                <w:w w:val="90"/>
              </w:rPr>
              <w:t>As stock-based compensation expense recognized in the statement of operations for the years ended December 31, 2022</w:t>
            </w: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20" w:type="dxa"/>
            <w:vAlign w:val="bottom"/>
            <w:gridSpan w:val="6"/>
          </w:tcPr>
          <w:p>
            <w:pPr>
              <w:ind w:left="340"/>
              <w:spacing w:after="0"/>
              <w:rPr>
                <w:sz w:val="20"/>
                <w:szCs w:val="20"/>
                <w:color w:val="auto"/>
              </w:rPr>
            </w:pPr>
            <w:r>
              <w:rPr>
                <w:rFonts w:ascii="Arial" w:cs="Arial" w:eastAsia="Arial" w:hAnsi="Arial"/>
                <w:sz w:val="18"/>
                <w:szCs w:val="18"/>
                <w:color w:val="auto"/>
                <w:w w:val="90"/>
              </w:rPr>
              <w:t>and 2021 is based on awards ultimately expected to vest, it has been reduced for estimated forfeitures. ASC 718 requires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2460" w:right="20"/>
        <w:spacing w:after="0" w:line="290" w:lineRule="auto"/>
        <w:rPr>
          <w:sz w:val="20"/>
          <w:szCs w:val="20"/>
          <w:color w:val="auto"/>
        </w:rPr>
      </w:pPr>
      <w:r>
        <w:rPr>
          <w:rFonts w:ascii="Arial" w:cs="Arial" w:eastAsia="Arial" w:hAnsi="Arial"/>
          <w:sz w:val="17"/>
          <w:szCs w:val="17"/>
          <w:color w:val="auto"/>
        </w:rPr>
        <w:t>forfeitures to be estimated at the time of grant and revised, if necessary, in subsequent periods if actual forfeitures differ from those estimates. Forfeitures were estimated based on the Company’s historical experience.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2022 and 2021 was $12.40 and $30.60, respectively.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compensation expense for these stock options grants of $223,277 and $391,801 for the years ended December 31, 2022 and 2021,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there were unrecognized compensation costs of approximately $214,175 related to non-vested stock option awards under the 2022 Plan that will be recognized on a straight-line basis over the weighted average remaining vesting period of 0.82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10,000 shares, up from 750 previously authorized. On September 15, 2015, the Company’s stockholders approved an additional amendment to the 1999 Plan which increased the number of shares of common stock authorized for issuance under the 1999 Plan to a total of 12,500 shares, up from 10,000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125" w:right="3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years ended December 31, 2022 and 2021:</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20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Outstanding Options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6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6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616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Options cancelled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1,065.60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Options cancelled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558.34</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10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(1)</w:t>
            </w:r>
          </w:p>
        </w:tc>
      </w:tr>
    </w:tbl>
    <w:p>
      <w:pPr>
        <w:spacing w:after="0" w:line="202" w:lineRule="exact"/>
        <w:rPr>
          <w:sz w:val="20"/>
          <w:szCs w:val="20"/>
          <w:color w:val="auto"/>
        </w:rPr>
      </w:pPr>
    </w:p>
    <w:p>
      <w:pPr>
        <w:ind w:left="460" w:right="34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represents the difference between the exercise price and $2.22, the closing price of Tenax Therapeutics’ stock on December 31, 2022, as reported on the Nasdaq Capital Market, for all in-the-money options outstanding.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compensation expense for these stock options grants of $0 and $1,290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no unrecognized compensation costs related to non-vested stock option awards under the 1999 Plan.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retirement of the Company’s former Chief Executive Officer (“CEO”), effective July 13, 2021 (the “Modification Date”), the Company modified the terms of the former CEO’s outstanding stock awards to: (1) accelerate the 152,500 unvested shares underlying his outstanding stock awards immediately as of the Modification Date and (2) extend the period during which his outstanding stock awards for an aggregate of 218,706 shares may be exercised through the earlier of the stock award’s original termination date or the five-year anniversary of the Modification Date.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determined that the extension of the period during which the vested shares may be exercised was a Type 1 modification pursuant to ASC 718, Compensation-Stock Compensation. However, acceleration of vesting and extension of the exercise period for the remaining Stock Awards was a Type 3 modification pursuant to ASC 718 because absent the modification terms, those Stock Awards would have been forfeited as of the former CEO’s retirement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Modification Date, the Company recognized approximately $187,000 of compensation expense, which is included in General and administrative expense for the year ended December 31, 2022, with respect to these modifications.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two employment inducement stock option awards, one for 5,000 shares of common stock and the other for 12,500 shares of common stock, to its new CEO on July 6,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employment inducement stock option for 5,000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$39.40 per share, the July 6, 2021 closing price of our common stock. As of December 31, 2022, none of the vesting milestones had been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employment inducement stock option award for 12,500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$39.40 per share, the July 6, 2021 closing price of our common stock. As of December 31, 2022, none of the vesting milestones have been achieved.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granted an employment inducement stock option award for 12,500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$35.60 per share, the January 15, 2021 closing price of our common stock. As of December 31, 2022, none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sectPr>
          <w:pgSz w:w="11900" w:h="16838" w:orient="portrait"/>
          <w:cols w:equalWidth="0" w:num="1">
            <w:col w:w="11240"/>
          </w:cols>
          <w:pgMar w:left="320" w:top="341" w:right="339" w:bottom="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Inducement stock option compensation expense totaled $142,037 for the year ended December 31, 2022. As of December 31, 2022, there was $440,682 of remaining unrecognized compensation expense related to these inducement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above in “NOTE B”, the Company adopted ASC 842 as of January 1, 2019. Prior period amounts have not been adjusted and continue to be reported in accordance with the Company’s historic accounting under ASC 840.</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2011, the Company entered into a lease with Concourse Associates, LLC for its headquarters in Morrisville, North Carolina (the “Prior Lease”). On April 2, 2021, the Company negotiated a 3-year extension to the existing lease term, commencing July 1, 2021 (the “Commencement Date”). Beginning on the Commencement Date, the annual base rent was increased to $125,034 and increased 2.5% annually for lease years 2 and 3.</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Leases, and determined that, except for the Prior Lease described above, none of the Company’s contracts contain a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The balance sheet classification of our lease liabilities was as follows: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w:t>
            </w:r>
          </w:p>
        </w:tc>
        <w:tc>
          <w:tcPr>
            <w:tcW w:w="18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Long term lease liability</w:t>
            </w: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183,589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183,589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290,781</w:t>
            </w:r>
          </w:p>
        </w:tc>
        <w:tc>
          <w:tcPr>
            <w:tcW w:w="100" w:type="dxa"/>
            <w:vAlign w:val="bottom"/>
            <w:shd w:val="clear" w:color="auto" w:fill="CCEEFF"/>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860" w:type="dxa"/>
            <w:vAlign w:val="bottom"/>
            <w:tcBorders>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080" w:type="dxa"/>
            <w:vAlign w:val="bottom"/>
            <w:tcBorders>
              <w:top w:val="single" w:sz="8" w:color="CCEEFF"/>
              <w:bottom w:val="single" w:sz="8" w:color="auto"/>
            </w:tcBorders>
          </w:tcPr>
          <w:p>
            <w:pPr>
              <w:ind w:left="4180"/>
              <w:spacing w:after="0"/>
              <w:rPr>
                <w:sz w:val="20"/>
                <w:szCs w:val="20"/>
                <w:color w:val="auto"/>
              </w:rPr>
            </w:pPr>
            <w:r>
              <w:rPr>
                <w:rFonts w:ascii="Arial" w:cs="Arial" w:eastAsia="Arial" w:hAnsi="Arial"/>
                <w:sz w:val="18"/>
                <w:szCs w:val="18"/>
                <w:color w:val="auto"/>
              </w:rPr>
              <w:t>F-22</w:t>
            </w:r>
          </w:p>
        </w:tc>
        <w:tc>
          <w:tcPr>
            <w:tcW w:w="8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6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7360" w:type="dxa"/>
            <w:vAlign w:val="bottom"/>
            <w:gridSpan w:val="3"/>
          </w:tcPr>
          <w:p>
            <w:pPr>
              <w:spacing w:after="0"/>
              <w:rPr>
                <w:sz w:val="20"/>
                <w:szCs w:val="20"/>
                <w:color w:val="auto"/>
              </w:rPr>
            </w:pPr>
            <w:r>
              <w:rPr>
                <w:rFonts w:ascii="Arial" w:cs="Arial" w:eastAsia="Arial" w:hAnsi="Arial"/>
                <w:sz w:val="18"/>
                <w:szCs w:val="18"/>
                <w:color w:val="auto"/>
              </w:rPr>
              <w:t>As of December 31, 2022, the maturities of our operating lease liabilities were as follows: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3"/>
          </w:tcPr>
          <w:p>
            <w:pPr>
              <w:ind w:left="860"/>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195,499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Operating lease liability</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183,589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13, 2013, the Company acquired, through its wholly-owned subsidiary, Life Newco, that certain License Agreement, dated September 20, 2013, as amended on October 9, 2020 and January 25, 2022, by and between Phyxius and Orion (as amended, the “License”), and that certain Side Letter, dated October 15, 2013 by and between Phyxius and Orion. The License grants the Company an exclusive, sublicenseable right to develop and commercialize pharmaceutical products containing levosimendan in the Territory and, pursuant to the October 9, 2020 amendment,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Orion’s ongoing role under the License includes sublicense approval, serving as the sole source of manufacture, holding a first right to enforce intellectual property rights in the Territory,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non-exclusive license to any patents or clinical trial data related to the Product developed by the Company under the License.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License, on November 13, 2013, the Company paid to Orion a non-refundable up-front payment in the amount of $1.0 million. The License also includes the following development milestones for which the Company must make non-refundable payments to Orion no later than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to up to $13.0 million, contingent upon achievement of certain cumulative net sales amounts in the Territory. The Company also must pay Orion tiered royalties based on net sales of the Product in the Territory made by the Company and its sublicensees. After the end of the License term, the Company must pay Orion a royalty based on net sales of the Product in the Territory for as long as the Company sells the Product in the Territory.</w:t>
      </w:r>
    </w:p>
    <w:p>
      <w:pPr>
        <w:sectPr>
          <w:pgSz w:w="11900" w:h="16838" w:orient="portrait"/>
          <w:cols w:equalWidth="0" w:num="1">
            <w:col w:w="11240"/>
          </w:cols>
          <w:pgMar w:left="320" w:top="341" w:right="339" w:bottom="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As of December 31, 2022, the Company has not met any of the developmental milestones under the License and, accordingly, has not recorded any liability for the contingent payments due to Orion.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litigation in the normal course of business, none of which management believes will have a material adverse effect on the Company’s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G—401(k) BENEFIT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401(k) Retirement Savings Plan (the “401(k) Plan”) for all eligible employees. Full-time employees over the age of eighteen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A third-party trustee manages the 401(k) Plan.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2022 and 2021, the Company recorded $90,873 and $73,855 for matching contributions expense,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recorded any income tax expense (benefit) for the period ended December 31, 2022 due to its history of net operating losses.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 of income tax expenses (benefit) at the statutory federal income tax rate of 21% for the periods ended December 31, 2022 and December 31, 2021 is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benefit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(2,320,057)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(6,819,615)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(218,196)</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(641,368)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 nondeductible, including IPR&amp;D expense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5,032,981</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tax rate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1,768,013</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Federal and state net operating loss adjustments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423,066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745,439</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effect of tax rate brackets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Change in realizability of IPR&amp;D</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229,750</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1,910,855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(486,396)</w:t>
            </w:r>
          </w:p>
        </w:tc>
      </w:tr>
      <w:tr>
        <w:trPr>
          <w:trHeight w:val="20"/>
        </w:trPr>
        <w:tc>
          <w:tcPr>
            <w:tcW w:w="7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3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36,106,727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35,291,097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308,296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loss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(37,521,252)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(35,610,396)</w:t>
            </w: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2022 was approximately $1.9 million.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 Company had Federal and State net operating loss carryforwards of approximately $163.2 million and $125.1 million available to offset future federal and state taxable income, respectively. Federal net operating losses of $122.9 million begin to expire in 2023, while the remaining $40.3 million carryforward indefinitely. State net operating losses begin to expire in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sectPr>
          <w:pgSz w:w="11900" w:h="16838" w:orient="portrait"/>
          <w:cols w:equalWidth="0" w:num="1">
            <w:col w:w="11240"/>
          </w:cols>
          <w:pgMar w:left="320" w:top="125" w:right="339" w:bottom="159"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16"/>
          <w:szCs w:val="16"/>
          <w:color w:val="auto"/>
        </w:rPr>
        <w:t>We have U.S. federal net operating loss carryforwards, or NOLs, which expire in various years if not utilized. Under Sections 382 and 383 of Internal Revenue Code of 1986, as amended, or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has evaluated all other tax positions that could have a significant effect on the financial statements and determined the Company had no uncertain income tax positions at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files U.S. and state income tax returns with varying statutes of limitations. The tax years 2002 and forward remain open to examination due to the carryover of unused net operating losses or tax credits.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I—SUBSEQUENT EVENTS</w:t>
      </w:r>
    </w:p>
    <w:p>
      <w:pPr>
        <w:spacing w:after="0" w:line="229" w:lineRule="exact"/>
        <w:rPr>
          <w:sz w:val="20"/>
          <w:szCs w:val="20"/>
          <w:color w:val="auto"/>
        </w:rPr>
      </w:pPr>
    </w:p>
    <w:p>
      <w:pPr>
        <w:jc w:val="both"/>
        <w:ind w:left="920" w:hanging="467"/>
        <w:spacing w:after="0" w:line="254"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filed a Certificate of Amendment to the Company’s Certificate of Incorporation, as amended (the “Certificate of Amendment”) with the Secretary of State of Delaware for the purpose of effecting the Reverse Stock Split. The Reverse Stock Split was approved by our stockholders at the annual meeting of stockholders held on June 9, 2022 and the Company’s Board of Directors approved the Certificate of Amendment with a 1-for-20 ratio on December 15, 2022. The Reverse Stock Split was effective at 5:00 p.m. on January 4, 2023. The Reverse Stock Split was effected primarily to enable the Company to regain compliance with Nasdaq Listing Rule 5550(a)(2) regarding the minimum $1.00 per share closing bid price requirement (the “Bid Price Rule”). The Company regained compliance with the Bid Price Rule on January 20, 2023.</w:t>
      </w:r>
    </w:p>
    <w:p>
      <w:pPr>
        <w:spacing w:after="0" w:line="194" w:lineRule="exact"/>
        <w:rPr>
          <w:rFonts w:ascii="Arial" w:cs="Arial" w:eastAsia="Arial" w:hAnsi="Arial"/>
          <w:sz w:val="18"/>
          <w:szCs w:val="18"/>
          <w:color w:val="auto"/>
        </w:rPr>
      </w:pPr>
    </w:p>
    <w:p>
      <w:pPr>
        <w:jc w:val="both"/>
        <w:ind w:left="920" w:hanging="467"/>
        <w:spacing w:after="0" w:line="255"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March 29, 2023, Nasdaq notified the Company that it was no longer in compliance with the Bid Price Rule given that for the prior 30 consecutive business days, the bid price for the Company’s common stock had closed below the minimum $1.00 per share requirement. In accordance with Nasdaq Listing Rule 5810(c)(3)(A), the Company has a compliance period of 180 calendar days, or until September 25, 2023, to regain compliance with the Bid Price Rule. If at any time before September 25, 2023, the bid price of the Company’s common stock closes at $1.00 per share or more for a minimum of ten consecutive business days, Nasdaq will provide the Company with a written confirmation of compliance with the Bid Price Rule.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left="920" w:hanging="467"/>
        <w:spacing w:after="0" w:line="270"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February 3, 2023, the Company entered into a placement agency agreement (the “Placement Agency Agreement”) with Roth Capital Partners, LLC (the “Placement Agent”) and a securities purchase agreement (the “Purchase Agreement”) with certain purchasers for the purchase and sale, in a registered public offering by the Company (the “February 2023 Public Offering”), of (i) an aggregate of 6,959,444 shares of its common stock, par value $0.0001 per share and pre-funded warrants to purchase an aggregate of 1,707,222 shares of Common Stock and (ii) accompanying warrants to purchase up to an aggregate of 17,333,332 shares of its Common Stock at a combined offering price of $1.80 per share of common stock and associated common warrant, or $1.799 per pre-funded warrant and associated common warrant, resulting in gross proceeds of approximately $15.6 million. Estimated net proceeds of the February 2023 Public Offering were approximately $14.1 million, after deducting the Placement Agent fees and estimated offering expenses payable by the Company. The February 2023 Public Offering closed on February 7, 2023.</w:t>
      </w:r>
    </w:p>
    <w:p>
      <w:pPr>
        <w:spacing w:after="0" w:line="180" w:lineRule="exact"/>
        <w:rPr>
          <w:rFonts w:ascii="Arial" w:cs="Arial" w:eastAsia="Arial" w:hAnsi="Arial"/>
          <w:sz w:val="17"/>
          <w:szCs w:val="17"/>
          <w:color w:val="auto"/>
        </w:rPr>
      </w:pPr>
    </w:p>
    <w:p>
      <w:pPr>
        <w:jc w:val="both"/>
        <w:ind w:left="920"/>
        <w:spacing w:after="0" w:line="257" w:lineRule="auto"/>
        <w:rPr>
          <w:rFonts w:ascii="Arial" w:cs="Arial" w:eastAsia="Arial" w:hAnsi="Arial"/>
          <w:sz w:val="17"/>
          <w:szCs w:val="17"/>
          <w:color w:val="auto"/>
        </w:rPr>
      </w:pPr>
      <w:r>
        <w:rPr>
          <w:rFonts w:ascii="Arial" w:cs="Arial" w:eastAsia="Arial" w:hAnsi="Arial"/>
          <w:sz w:val="18"/>
          <w:szCs w:val="18"/>
          <w:color w:val="auto"/>
        </w:rPr>
        <w:t>The Company’s stockholders’ equity at December 31, 2022 was $1.5 million which is lower than the minimum requirement for continued listing on the Nasdaq Capital Market of $2.5 million. The Company believes that, after taking into account the February 2023 Public Offering for net proceeds of $14.1 million, and based on interim financial data available to the Company, the Company’s stockholders’ equity at March 28, 2023 exceeds $2.5 million, which is the minimum stockholders’ equity requirement under the Nasdaq Listing Rules. In addition, the Company’s cash balance at March 28, 2023 is approximately $14.6 million.</w:t>
      </w:r>
    </w:p>
    <w:p>
      <w:pPr>
        <w:spacing w:after="0" w:line="187" w:lineRule="exact"/>
        <w:rPr>
          <w:rFonts w:ascii="Arial" w:cs="Arial" w:eastAsia="Arial" w:hAnsi="Arial"/>
          <w:sz w:val="17"/>
          <w:szCs w:val="17"/>
          <w:color w:val="auto"/>
        </w:rPr>
      </w:pPr>
    </w:p>
    <w:p>
      <w:pPr>
        <w:jc w:val="both"/>
        <w:ind w:left="920" w:hanging="467"/>
        <w:spacing w:after="0" w:line="25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February 7, 2023, the Company entered into a Lease Termination Agreement with CCP Concourse, LLC, a Virginia limited liability company (the “Landlord”) with respect to the prior lease of its headquarters formerly located at ONE Copley Parkway, Suite 490, Morrisville, North Carolina (the “Premises”). The prior lease, as amended, was originally entered into on January 27, 2011 and would have terminated on June 30, 2024.</w:t>
      </w:r>
    </w:p>
    <w:p>
      <w:pPr>
        <w:spacing w:after="0" w:line="186" w:lineRule="exact"/>
        <w:rPr>
          <w:rFonts w:ascii="Arial" w:cs="Arial" w:eastAsia="Arial" w:hAnsi="Arial"/>
          <w:sz w:val="18"/>
          <w:szCs w:val="18"/>
          <w:color w:val="auto"/>
        </w:rPr>
      </w:pPr>
    </w:p>
    <w:p>
      <w:pPr>
        <w:jc w:val="both"/>
        <w:ind w:left="920"/>
        <w:spacing w:after="0" w:line="311" w:lineRule="auto"/>
        <w:rPr>
          <w:rFonts w:ascii="Arial" w:cs="Arial" w:eastAsia="Arial" w:hAnsi="Arial"/>
          <w:sz w:val="18"/>
          <w:szCs w:val="18"/>
          <w:color w:val="auto"/>
        </w:rPr>
      </w:pPr>
      <w:r>
        <w:rPr>
          <w:rFonts w:ascii="Arial" w:cs="Arial" w:eastAsia="Arial" w:hAnsi="Arial"/>
          <w:sz w:val="16"/>
          <w:szCs w:val="16"/>
          <w:color w:val="auto"/>
        </w:rPr>
        <w:t>As consideration for the Landlord’s entry into the Lease Termination Agreement, including a release of any claims the Landlord may have had against the Company under the prior lease, the Company has paid the Landlord $169,867.41. Pursuant to the Lease Termination Agreement, effective February 8, 2023, the Company has no remaining rent or further obligations to the Landlord pursuant to the prior lease.</w:t>
      </w:r>
    </w:p>
    <w:p>
      <w:pPr>
        <w:spacing w:after="0" w:line="148" w:lineRule="exact"/>
        <w:rPr>
          <w:rFonts w:ascii="Arial" w:cs="Arial" w:eastAsia="Arial" w:hAnsi="Arial"/>
          <w:sz w:val="18"/>
          <w:szCs w:val="18"/>
          <w:color w:val="auto"/>
        </w:rPr>
      </w:pPr>
    </w:p>
    <w:p>
      <w:pPr>
        <w:ind w:left="920" w:right="20" w:hanging="467"/>
        <w:spacing w:after="0" w:line="277"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March 21, 2023, the U.S. Patent and Trademark Office (USPTO) issued to Tenax Therapeutics a patent covering the use of IV levosimendan in patients with PH-HFpEF.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037" w:gutter="0" w:footer="0" w:header="0"/>
        </w:sectPr>
      </w:pPr>
    </w:p>
    <w:bookmarkStart w:id="55" w:name="page56"/>
    <w:bookmarkEnd w:id="55"/>
    <w:p>
      <w:pPr>
        <w:spacing w:after="0" w:line="20"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EXHIBIT 4.17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authorized capital stock of Tenax Therapeutics, Inc. consists of 400,000,000 shares of common stock, $0.0001 par value per share (“Common Stock”), and 10,000,000 shares of preferred stock, par value $0.0001 per share (“Preferred Stock”). The following description summarizes the material terms of our capital stock. Because it is only a summary, it does not contain all the information that may be important to you. For a complete description of our capital stock, you should refer to our certificate of incorporation, as amended, or our “Charter”, and our third amended and restated bylaws, or our “Restated Bylaws”, which are included as exhibits to this Annual Report on Form 10-K, and to the provisions of applicable Delaware law.</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contained herein and in the Annual Report on Form 10-K for the period ended December 31, 2022, including the financial statements included therein, has been retrospectively adjusted to reflect that on January 4, 2023, we effected a 1-for-20 reverse stock split (the “Reverse Stock Split”). The Reverse Stock Split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exhibit, the terms “Tenax Therapeutics, Inc.”, “Tenax”, the “Company,” “we”, “us”, and “our” mean Tenax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Charter authorizes the issuance of 400,000,000 shares of Common Stock.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authorized but unissued shares of Common Stock are available for issuance without further action by our stockholders unless such action is required by applicable law or the rules of any securities exchange or automated quotation system on which our securities may be listed or traded. Holders of our Common Stock have the following rights and limitations:</w:t>
      </w:r>
    </w:p>
    <w:p>
      <w:pPr>
        <w:spacing w:after="0" w:line="184" w:lineRule="exact"/>
        <w:rPr>
          <w:sz w:val="20"/>
          <w:szCs w:val="20"/>
          <w:color w:val="auto"/>
        </w:rPr>
      </w:pPr>
    </w:p>
    <w:p>
      <w:pPr>
        <w:ind w:left="900" w:right="20" w:hanging="447"/>
        <w:spacing w:after="0" w:line="342" w:lineRule="auto"/>
        <w:tabs>
          <w:tab w:leader="none" w:pos="90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our Common Stock are entitled to one vote for each share of Common Stock held on all matters submitted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vote of the stockholders, including the election of directors. Our Charter and our Restated Bylaws do not provide for cumulative voting rights.</w:t>
      </w:r>
    </w:p>
    <w:p>
      <w:pPr>
        <w:spacing w:after="0" w:line="110" w:lineRule="exact"/>
        <w:rPr>
          <w:rFonts w:ascii="Arial" w:cs="Arial" w:eastAsia="Arial" w:hAnsi="Arial"/>
          <w:sz w:val="16"/>
          <w:szCs w:val="16"/>
          <w:i w:val="1"/>
          <w:iCs w:val="1"/>
          <w:color w:val="auto"/>
        </w:rPr>
      </w:pPr>
    </w:p>
    <w:p>
      <w:pPr>
        <w:jc w:val="both"/>
        <w:ind w:left="900" w:hanging="447"/>
        <w:spacing w:after="0" w:line="263" w:lineRule="auto"/>
        <w:tabs>
          <w:tab w:leader="none" w:pos="9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The holders of outstanding shares of our Common Stock are entitled to receive ratably any dividends declared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out of assets legally available for the payment of dividends, at the times and in the amounts as our board may from time to time determine.</w:t>
      </w:r>
    </w:p>
    <w:p>
      <w:pPr>
        <w:spacing w:after="0" w:line="170" w:lineRule="exact"/>
        <w:rPr>
          <w:rFonts w:ascii="Arial" w:cs="Arial" w:eastAsia="Arial" w:hAnsi="Arial"/>
          <w:sz w:val="18"/>
          <w:szCs w:val="18"/>
          <w:i w:val="1"/>
          <w:iCs w:val="1"/>
          <w:color w:val="auto"/>
        </w:rPr>
      </w:pPr>
    </w:p>
    <w:p>
      <w:pPr>
        <w:ind w:left="900" w:hanging="447"/>
        <w:spacing w:after="0" w:line="277" w:lineRule="auto"/>
        <w:tabs>
          <w:tab w:leader="none" w:pos="9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The holders of our Common Stock have no preemptive, conversion, or subscription rights, and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or sinking fund provisions applicable to our Common Stock.</w:t>
      </w:r>
    </w:p>
    <w:p>
      <w:pPr>
        <w:spacing w:after="0" w:line="156" w:lineRule="exact"/>
        <w:rPr>
          <w:rFonts w:ascii="Arial" w:cs="Arial" w:eastAsia="Arial" w:hAnsi="Arial"/>
          <w:sz w:val="18"/>
          <w:szCs w:val="18"/>
          <w:i w:val="1"/>
          <w:iCs w:val="1"/>
          <w:color w:val="auto"/>
        </w:rPr>
      </w:pPr>
    </w:p>
    <w:p>
      <w:pPr>
        <w:jc w:val="both"/>
        <w:ind w:left="900" w:hanging="447"/>
        <w:spacing w:after="0" w:line="286" w:lineRule="auto"/>
        <w:tabs>
          <w:tab w:leader="none" w:pos="90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Right to Receive Liquidation Distributions. </w:t>
      </w:r>
      <w:r>
        <w:rPr>
          <w:rFonts w:ascii="Arial" w:cs="Arial" w:eastAsia="Arial" w:hAnsi="Arial"/>
          <w:sz w:val="17"/>
          <w:szCs w:val="17"/>
          <w:color w:val="auto"/>
        </w:rPr>
        <w:t>In the event of our liquidation, dissolution or winding up, holders of Common Stock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pro rata, our assets which are legally available for distribution, after payments of all debts and other liabilities and subject to the preferential rights, if any, on any outstanding shares of Preferred Stock and payment of other claims of creditors.</w:t>
      </w:r>
    </w:p>
    <w:p>
      <w:pPr>
        <w:spacing w:after="0" w:line="151" w:lineRule="exact"/>
        <w:rPr>
          <w:rFonts w:ascii="Arial" w:cs="Arial" w:eastAsia="Arial" w:hAnsi="Arial"/>
          <w:sz w:val="17"/>
          <w:szCs w:val="17"/>
          <w:i w:val="1"/>
          <w:iCs w:val="1"/>
          <w:color w:val="auto"/>
        </w:rPr>
      </w:pPr>
    </w:p>
    <w:p>
      <w:pPr>
        <w:ind w:left="900" w:hanging="447"/>
        <w:spacing w:after="0"/>
        <w:tabs>
          <w:tab w:leader="none" w:pos="9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Fully Paid and Non-Assessable. </w:t>
      </w:r>
      <w:r>
        <w:rPr>
          <w:rFonts w:ascii="Arial" w:cs="Arial" w:eastAsia="Arial" w:hAnsi="Arial"/>
          <w:sz w:val="18"/>
          <w:szCs w:val="18"/>
          <w:color w:val="auto"/>
        </w:rPr>
        <w:t>All of the outstanding shares of our Common Stock are fully paid and non-assessable.</w:t>
      </w:r>
    </w:p>
    <w:p>
      <w:pPr>
        <w:spacing w:after="0" w:line="211" w:lineRule="exact"/>
        <w:rPr>
          <w:rFonts w:ascii="Arial" w:cs="Arial" w:eastAsia="Arial" w:hAnsi="Arial"/>
          <w:sz w:val="18"/>
          <w:szCs w:val="18"/>
          <w:i w:val="1"/>
          <w:iCs w:val="1"/>
          <w:color w:val="auto"/>
        </w:rPr>
      </w:pPr>
    </w:p>
    <w:p>
      <w:pPr>
        <w:jc w:val="both"/>
        <w:ind w:left="900" w:hanging="447"/>
        <w:spacing w:after="0" w:line="263" w:lineRule="auto"/>
        <w:tabs>
          <w:tab w:leader="none" w:pos="9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Potential Adverse Effect of Future Preferred Stock. </w:t>
      </w:r>
      <w:r>
        <w:rPr>
          <w:rFonts w:ascii="Arial" w:cs="Arial" w:eastAsia="Arial" w:hAnsi="Arial"/>
          <w:sz w:val="18"/>
          <w:szCs w:val="18"/>
          <w:color w:val="auto"/>
        </w:rPr>
        <w:t>The rights, preferences and privileges of the holders of Common Stock are subject to, and</w:t>
      </w:r>
      <w:r>
        <w:rPr>
          <w:rFonts w:ascii="Arial" w:cs="Arial" w:eastAsia="Arial" w:hAnsi="Arial"/>
          <w:sz w:val="18"/>
          <w:szCs w:val="18"/>
          <w:i w:val="1"/>
          <w:iCs w:val="1"/>
          <w:color w:val="auto"/>
        </w:rPr>
        <w:t xml:space="preserve"> </w:t>
      </w:r>
      <w:r>
        <w:rPr>
          <w:rFonts w:ascii="Arial" w:cs="Arial" w:eastAsia="Arial" w:hAnsi="Arial"/>
          <w:sz w:val="18"/>
          <w:szCs w:val="18"/>
          <w:color w:val="auto"/>
        </w:rPr>
        <w:t>might be adversely affected by, the rights of the holders of shares of any series of our Preferred Stock that we may designate and issue in the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following warrants were outstanding:</w:t>
      </w:r>
    </w:p>
    <w:p>
      <w:pPr>
        <w:spacing w:after="0" w:line="225" w:lineRule="exact"/>
        <w:rPr>
          <w:sz w:val="20"/>
          <w:szCs w:val="20"/>
          <w:color w:val="auto"/>
        </w:rPr>
      </w:pPr>
    </w:p>
    <w:p>
      <w:pPr>
        <w:ind w:left="920" w:right="80" w:hanging="467"/>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Warrants to purchase 136,334 shares of Common Stock, issued in December 2018, with an exercise price of $38.60 per share and set to expire in December 2023;</w:t>
      </w:r>
    </w:p>
    <w:p>
      <w:pPr>
        <w:spacing w:after="0" w:line="170" w:lineRule="exact"/>
        <w:rPr>
          <w:rFonts w:ascii="Arial" w:cs="Arial" w:eastAsia="Arial" w:hAnsi="Arial"/>
          <w:sz w:val="18"/>
          <w:szCs w:val="18"/>
          <w:color w:val="auto"/>
        </w:rPr>
      </w:pPr>
    </w:p>
    <w:p>
      <w:pPr>
        <w:ind w:left="920" w:right="40" w:hanging="467"/>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Amended warrants to purchase 103,627 shares of Common Stock, issued in December 2018, with an exercise price of $12.60 per share and set to expire in December 2025;</w:t>
      </w:r>
    </w:p>
    <w:p>
      <w:pPr>
        <w:spacing w:after="0" w:line="170" w:lineRule="exact"/>
        <w:rPr>
          <w:rFonts w:ascii="Arial" w:cs="Arial" w:eastAsia="Arial" w:hAnsi="Arial"/>
          <w:sz w:val="18"/>
          <w:szCs w:val="18"/>
          <w:color w:val="auto"/>
        </w:rPr>
      </w:pPr>
    </w:p>
    <w:p>
      <w:pPr>
        <w:ind w:left="920" w:right="100" w:hanging="467"/>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Placement agent warrants to purchase 10,363 shares of Common Stock, issued in December 2018, with an exercise price of $29.128 per share and set to expire in December 2023;</w:t>
      </w:r>
    </w:p>
    <w:p>
      <w:pPr>
        <w:spacing w:after="0" w:line="170" w:lineRule="exact"/>
        <w:rPr>
          <w:rFonts w:ascii="Arial" w:cs="Arial" w:eastAsia="Arial" w:hAnsi="Arial"/>
          <w:sz w:val="18"/>
          <w:szCs w:val="18"/>
          <w:color w:val="auto"/>
        </w:rPr>
      </w:pPr>
    </w:p>
    <w:p>
      <w:pPr>
        <w:ind w:left="920" w:right="140" w:hanging="467"/>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Amended warrants to purchase 118,016 shares of Common Stock, issued in March 2020, with an exercise price of $12.60 per share and set to expire in September 2027;</w:t>
      </w:r>
    </w:p>
    <w:p>
      <w:pPr>
        <w:spacing w:after="0" w:line="170" w:lineRule="exact"/>
        <w:rPr>
          <w:rFonts w:ascii="Arial" w:cs="Arial" w:eastAsia="Arial" w:hAnsi="Arial"/>
          <w:sz w:val="18"/>
          <w:szCs w:val="18"/>
          <w:color w:val="auto"/>
        </w:rPr>
      </w:pPr>
    </w:p>
    <w:p>
      <w:pPr>
        <w:ind w:left="920" w:right="160" w:hanging="467"/>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Placement agent warrants to purchase 7,599 shares of Common Stock, issued in March 2020, with an exercise price of $29.128 per share and set to expire in March 2025;</w:t>
      </w:r>
    </w:p>
    <w:p>
      <w:pPr>
        <w:spacing w:after="0" w:line="170" w:lineRule="exact"/>
        <w:rPr>
          <w:rFonts w:ascii="Arial" w:cs="Arial" w:eastAsia="Arial" w:hAnsi="Arial"/>
          <w:sz w:val="18"/>
          <w:szCs w:val="18"/>
          <w:color w:val="auto"/>
        </w:rPr>
      </w:pPr>
    </w:p>
    <w:p>
      <w:pPr>
        <w:ind w:left="920" w:right="300" w:hanging="467"/>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Amended warrants to purchase 389,181 shares of Common Stock, issued in July 2020, with an exercise price of $18.06 per share and set to expire in January 2028;</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Placement agent warrants to purchase 24,761 shares of Common Stock, issued in July 2020, with an exercise price of $25.696 per share and</w:t>
      </w:r>
    </w:p>
    <w:p>
      <w:pPr>
        <w:sectPr>
          <w:pgSz w:w="11900" w:h="16858" w:orient="portrait"/>
          <w:cols w:equalWidth="0" w:num="1">
            <w:col w:w="11240"/>
          </w:cols>
          <w:pgMar w:left="320" w:top="121" w:right="339" w:bottom="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t>set to expire in July 2025;</w:t>
      </w:r>
    </w:p>
    <w:p>
      <w:pPr>
        <w:spacing w:after="0" w:line="225" w:lineRule="exact"/>
        <w:rPr>
          <w:sz w:val="20"/>
          <w:szCs w:val="20"/>
          <w:color w:val="auto"/>
        </w:rPr>
      </w:pPr>
    </w:p>
    <w:p>
      <w:pPr>
        <w:ind w:left="920" w:right="300" w:hanging="467"/>
        <w:spacing w:after="0" w:line="27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Amended warrants to purchase 238,664 shares of Common Stock, issued in July 2021, with an exercise price of $12.60 per share and set to expire in January 2029; and</w:t>
      </w:r>
    </w:p>
    <w:p>
      <w:pPr>
        <w:spacing w:after="0" w:line="170" w:lineRule="exact"/>
        <w:rPr>
          <w:rFonts w:ascii="Arial" w:cs="Arial" w:eastAsia="Arial" w:hAnsi="Arial"/>
          <w:sz w:val="18"/>
          <w:szCs w:val="18"/>
          <w:color w:val="auto"/>
        </w:rPr>
      </w:pPr>
    </w:p>
    <w:p>
      <w:pPr>
        <w:ind w:left="920" w:right="80" w:hanging="467"/>
        <w:spacing w:after="0" w:line="27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Placement agent warrants to purchase 17,902 shares of Common Stock, issued in July 2021, with an exercise price of $49.20 per share and set to expire in July 2026.</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Each of these warrants contains customary provisions for the adjustment of the exercise price and the aggregate number of shares issuable upon the exercise of the warrant in the event of dividends, share splits, reorganizations and reclassifications and consolidations.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following options were outstanding:</w:t>
      </w:r>
    </w:p>
    <w:p>
      <w:pPr>
        <w:spacing w:after="0" w:line="225" w:lineRule="exact"/>
        <w:rPr>
          <w:sz w:val="20"/>
          <w:szCs w:val="20"/>
          <w:color w:val="auto"/>
        </w:rPr>
      </w:pPr>
    </w:p>
    <w:p>
      <w:pPr>
        <w:jc w:val="both"/>
        <w:ind w:left="900" w:hanging="447"/>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Pursuant to our Amended and Restated 1999 Stock Plan, as amended, options to purchase 936 shares of Common Stock, issuable with a weighted average exercise price of $1,123.00, of which 936 options are exercisable immediately. No additional grants will be made under the 1999 Plan.</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Pursuant to our Amended and Restated 2016 Stock Incentive Plan, as amended (the “2016 Plan”), options to purchase 23,373 shares of Common Stock, issuable with a weighted average exercise price of $40.13, of which 13,924 options are exercisable immediately. No additional grants will be made under the 2016 Plan.</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Pursuant to our Plan for Employee Inducement Stock Option Grants (“Inducement Plan”), options to purchase 30,000 shares of Common Stock, issuable with a weighted average exercise price of $37.50, of which no options are exercisable immediately. There are no shares of Common Stock reserved for future issuance under the Inducement Plan.</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Pursuant to our 2022 Stock Incentive Plan (the “2022 Plan”), options to purchase 28,163 shares of Common Stock, issuable with a weighted average exercise price of $12.40, of which 1,313 options are exercisable immediately. There are 77,616 shares of Common Stock reserved for future issuance under the 2022 Plan.</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each of our 1999 Plan, 2016 Plan, Inducement Plan and 2022 Plan include customary provisions for the adjustment of the exercise price and the aggregate number of shares issuable upon the exercise of the option in the event of dividends, share splits, reorganizations and reclassifications and consolidations.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board of directors has the authority, without further action by our stockholders, unless such action is required by applicable law or the rules of any securities exchange or automated quotation system on which our securities may be listed or traded, to issue up to 10,000,000 shares of Preferred Stock in one or more series and to fix the designations, powers, rights, preferences, qualifications, limitations and restrictions thereof. These designations, powers, rights and preferences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A Convertible Preferred Stock</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December 10, 2018, we filed a certificate of designations (the “Certificate of Designations”) with the Secretary of State of the State of Delaware creating our Series A Convertible Preferred Stock (the “Series A Preferred Stock”) and establishing the designations, preferences, and other rights of the Series A Preferred Stock, which became effective upon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210 shares of Series A Preferred Stock outstanding, convertible into 11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our Series A Preferred Stock are entitled to the following rights.</w:t>
      </w:r>
    </w:p>
    <w:p>
      <w:pPr>
        <w:spacing w:after="0" w:line="225" w:lineRule="exact"/>
        <w:rPr>
          <w:sz w:val="20"/>
          <w:szCs w:val="20"/>
          <w:color w:val="auto"/>
        </w:rPr>
      </w:pPr>
    </w:p>
    <w:p>
      <w:pPr>
        <w:jc w:val="both"/>
        <w:ind w:left="1000" w:hanging="574"/>
        <w:spacing w:after="0" w:line="263" w:lineRule="auto"/>
        <w:tabs>
          <w:tab w:leader="none" w:pos="100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Shares of Series A Preferred Stock will generally have no voting rights, except as required by law and except that the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of holders of a majority of the then outstanding Series A Preferred Stock will be required to amend the terms of the Series A Preferred Stock or to take other action that adversely affects the rights of the holders of Series A Preferred Stock.</w:t>
      </w:r>
    </w:p>
    <w:p>
      <w:pPr>
        <w:spacing w:after="0" w:line="183" w:lineRule="exact"/>
        <w:rPr>
          <w:rFonts w:ascii="Arial" w:cs="Arial" w:eastAsia="Arial" w:hAnsi="Arial"/>
          <w:sz w:val="18"/>
          <w:szCs w:val="18"/>
          <w:i w:val="1"/>
          <w:iCs w:val="1"/>
          <w:color w:val="auto"/>
        </w:rPr>
      </w:pPr>
    </w:p>
    <w:p>
      <w:pPr>
        <w:jc w:val="both"/>
        <w:ind w:left="1000" w:hanging="574"/>
        <w:spacing w:after="0" w:line="263" w:lineRule="auto"/>
        <w:tabs>
          <w:tab w:leader="none" w:pos="100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In the event the Company pays dividends on its shares of Common Stock, the holders of the Series A Preferred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receive dividends on shares of Series A Preferred Stock equal, on an as-if-converted basis, to and in the same form as paid on the Common Stock. No other dividends will be paid on the shares of Series A Preferred Stock.</w:t>
      </w:r>
    </w:p>
    <w:p>
      <w:pPr>
        <w:spacing w:after="0" w:line="183" w:lineRule="exact"/>
        <w:rPr>
          <w:rFonts w:ascii="Arial" w:cs="Arial" w:eastAsia="Arial" w:hAnsi="Arial"/>
          <w:sz w:val="18"/>
          <w:szCs w:val="18"/>
          <w:i w:val="1"/>
          <w:iCs w:val="1"/>
          <w:color w:val="auto"/>
        </w:rPr>
      </w:pPr>
    </w:p>
    <w:p>
      <w:pPr>
        <w:ind w:left="1000" w:right="300" w:hanging="574"/>
        <w:spacing w:after="0" w:line="277" w:lineRule="auto"/>
        <w:tabs>
          <w:tab w:leader="none" w:pos="100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The holders of our Series A Preferred Stock have no preemptive, or subscription rights, and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or sinking fund provisions applicable to our Series A Preferred Stock.</w:t>
      </w:r>
    </w:p>
    <w:p>
      <w:pPr>
        <w:spacing w:after="0" w:line="170" w:lineRule="exact"/>
        <w:rPr>
          <w:rFonts w:ascii="Arial" w:cs="Arial" w:eastAsia="Arial" w:hAnsi="Arial"/>
          <w:sz w:val="18"/>
          <w:szCs w:val="18"/>
          <w:i w:val="1"/>
          <w:iCs w:val="1"/>
          <w:color w:val="auto"/>
        </w:rPr>
      </w:pPr>
    </w:p>
    <w:p>
      <w:pPr>
        <w:jc w:val="both"/>
        <w:ind w:left="1000" w:hanging="574"/>
        <w:spacing w:after="0" w:line="301" w:lineRule="auto"/>
        <w:tabs>
          <w:tab w:leader="none" w:pos="100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Right to Receive Liquidation Distributions. </w:t>
      </w:r>
      <w:r>
        <w:rPr>
          <w:rFonts w:ascii="Arial" w:cs="Arial" w:eastAsia="Arial" w:hAnsi="Arial"/>
          <w:sz w:val="16"/>
          <w:szCs w:val="16"/>
          <w:color w:val="auto"/>
        </w:rPr>
        <w:t>Upon any liquidation, dissolution or winding up of the Company after payment or provision for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debts and other liabilities of the Company, the holders of Series A Preferred Stock shall be entitled to be paid out of the assets of the Company available for distribution to its stockholders an amount equal to the amount that a holder of Common Stock would receive if the Series A Preferred Stock were fully converted to Common Stock, which amounts will be paid pari passu with all holders of Common Stock.</w:t>
      </w:r>
    </w:p>
    <w:p>
      <w:pPr>
        <w:sectPr>
          <w:pgSz w:w="11900" w:h="16838" w:orient="portrait"/>
          <w:cols w:equalWidth="0" w:num="1">
            <w:col w:w="11240"/>
          </w:cols>
          <w:pgMar w:left="320" w:top="125" w:right="339" w:bottom="0" w:gutter="0" w:footer="0" w:header="0"/>
        </w:sectPr>
      </w:pPr>
    </w:p>
    <w:bookmarkStart w:id="57" w:name="page58"/>
    <w:bookmarkEnd w:id="57"/>
    <w:p>
      <w:pPr>
        <w:jc w:val="both"/>
        <w:ind w:left="1000" w:hanging="574"/>
        <w:spacing w:after="0" w:line="259" w:lineRule="auto"/>
        <w:tabs>
          <w:tab w:leader="none" w:pos="10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Subject to the ownership limitations described below, the Series A Preferred Stock is convertible at any time at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holder into shares of Common Stock at a conversion ratio determined by dividing the stated value of the Series A Preferred Stock by a conversion price of $38.60 per share. The conversion price is subject to adjustment in the case of stock splits, stock dividends, combinations of shares and similar recapitalization transactions.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900" w:hanging="447"/>
        <w:spacing w:after="0" w:line="296" w:lineRule="auto"/>
        <w:tabs>
          <w:tab w:leader="none" w:pos="90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Forced Conversion. </w:t>
      </w:r>
      <w:r>
        <w:rPr>
          <w:rFonts w:ascii="Arial" w:cs="Arial" w:eastAsia="Arial" w:hAnsi="Arial"/>
          <w:sz w:val="16"/>
          <w:szCs w:val="16"/>
          <w:color w:val="auto"/>
        </w:rPr>
        <w:t>Subject to the beneficial ownership limitation described below, the Company has the right to cause each holder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Stock to convert all or part of such holder’s Series A Preferred Stock in the event that (i) the volume weighted average price of our Common Stock for any 30 consecutive trading days (the “Measurement Period”), exceeds $115.80 (subject to typical adjustments), (ii) the average daily trading volume for such Measurement Period exceeds $175,000 per trading day, and (iii) the holder is not in possession of any information that constitutes or might constitute, material non-public information which was provided by the Company.</w:t>
      </w:r>
    </w:p>
    <w:p>
      <w:pPr>
        <w:spacing w:after="0" w:line="161" w:lineRule="exact"/>
        <w:rPr>
          <w:rFonts w:ascii="Arial" w:cs="Arial" w:eastAsia="Arial" w:hAnsi="Arial"/>
          <w:sz w:val="16"/>
          <w:szCs w:val="16"/>
          <w:i w:val="1"/>
          <w:iCs w:val="1"/>
          <w:color w:val="auto"/>
        </w:rPr>
      </w:pPr>
    </w:p>
    <w:p>
      <w:pPr>
        <w:jc w:val="both"/>
        <w:ind w:left="900" w:hanging="447"/>
        <w:spacing w:after="0" w:line="257" w:lineRule="auto"/>
        <w:tabs>
          <w:tab w:leader="none" w:pos="9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Beneficial Ownership Limitation. </w:t>
      </w:r>
      <w:r>
        <w:rPr>
          <w:rFonts w:ascii="Arial" w:cs="Arial" w:eastAsia="Arial" w:hAnsi="Arial"/>
          <w:sz w:val="18"/>
          <w:szCs w:val="18"/>
          <w:color w:val="auto"/>
        </w:rPr>
        <w:t>The Company will not effect any redemption or conversion of the Series A Preferred Stock, nor shall a</w:t>
      </w:r>
      <w:r>
        <w:rPr>
          <w:rFonts w:ascii="Arial" w:cs="Arial" w:eastAsia="Arial" w:hAnsi="Arial"/>
          <w:sz w:val="18"/>
          <w:szCs w:val="18"/>
          <w:i w:val="1"/>
          <w:iCs w:val="1"/>
          <w:color w:val="auto"/>
        </w:rPr>
        <w:t xml:space="preserve"> </w:t>
      </w:r>
      <w:r>
        <w:rPr>
          <w:rFonts w:ascii="Arial" w:cs="Arial" w:eastAsia="Arial" w:hAnsi="Arial"/>
          <w:sz w:val="18"/>
          <w:szCs w:val="18"/>
          <w:color w:val="auto"/>
        </w:rPr>
        <w:t>holder convert its shares of Series A Preferred Stock, to the extent that such conversion would cause the holder to have acquired, through conversion of the Series A Preferred Stock or otherwise, beneficial ownership of a number of shares of Common Stock in excess of 4.99% (or, at the election of the holder prior to the issuance of any shares of Series A Preferred Stock, 9.99%) of the Common Stock outstanding after giving effect to such exercise.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PROVISIONS OF DELAWARE LAW,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RESTATED CERTIFICATE AND RESTATED BYLAWS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provisions of Delaware law, our Charter, and our Restated Bylaws may have the effect of delaying, deferring, or discouraging another person from acquiring control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Delaware Law</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84" w:lineRule="exact"/>
        <w:rPr>
          <w:sz w:val="20"/>
          <w:szCs w:val="20"/>
          <w:color w:val="auto"/>
        </w:rPr>
      </w:pPr>
    </w:p>
    <w:p>
      <w:pPr>
        <w:ind w:left="900" w:right="620" w:hanging="447"/>
        <w:spacing w:after="0" w:line="258" w:lineRule="auto"/>
        <w:tabs>
          <w:tab w:leader="none" w:pos="945"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i w:val="1"/>
          <w:iCs w:val="1"/>
          <w:color w:val="auto"/>
        </w:rPr>
      </w:pPr>
    </w:p>
    <w:p>
      <w:pPr>
        <w:jc w:val="both"/>
        <w:ind w:left="900" w:hanging="447"/>
        <w:spacing w:after="0" w:line="250" w:lineRule="auto"/>
        <w:tabs>
          <w:tab w:leader="none" w:pos="947"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specified employee stock plans; or</w:t>
      </w:r>
    </w:p>
    <w:p>
      <w:pPr>
        <w:spacing w:after="0" w:line="1" w:lineRule="exact"/>
        <w:rPr>
          <w:rFonts w:ascii="Arial" w:cs="Arial" w:eastAsia="Arial" w:hAnsi="Arial"/>
          <w:sz w:val="18"/>
          <w:szCs w:val="18"/>
          <w:i w:val="1"/>
          <w:iCs w:val="1"/>
          <w:color w:val="auto"/>
        </w:rPr>
      </w:pPr>
    </w:p>
    <w:p>
      <w:pPr>
        <w:jc w:val="both"/>
        <w:ind w:left="900" w:hanging="447"/>
        <w:spacing w:after="0" w:line="255" w:lineRule="auto"/>
        <w:tabs>
          <w:tab w:leader="none" w:pos="954"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at or subsequent to the date of the transaction,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9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 “business combination” includes mergers, asset sales or other transactions resulting in a financial benefit to the stockholder. In general,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Charter and Restated Bylaw Provisions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Various provisions of our Charter and Restated Bylaws could deter hostile takeovers or delay or prevent changes in control of our management team, including the following:</w:t>
      </w:r>
    </w:p>
    <w:p>
      <w:pPr>
        <w:spacing w:after="0" w:line="170" w:lineRule="exact"/>
        <w:rPr>
          <w:sz w:val="20"/>
          <w:szCs w:val="20"/>
          <w:color w:val="auto"/>
        </w:rPr>
      </w:pPr>
    </w:p>
    <w:p>
      <w:pPr>
        <w:jc w:val="both"/>
        <w:ind w:left="900" w:hanging="447"/>
        <w:spacing w:after="0" w:line="263" w:lineRule="auto"/>
        <w:tabs>
          <w:tab w:leader="none" w:pos="9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ability to authorize undesignated preferred stock makes it possible for our board of directors to issue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series of preferred stock with voting or other rights or preferences that could impede the success of any attempt to change control of our company.</w:t>
      </w:r>
    </w:p>
    <w:p>
      <w:pPr>
        <w:spacing w:after="0" w:line="183" w:lineRule="exact"/>
        <w:rPr>
          <w:rFonts w:ascii="Arial" w:cs="Arial" w:eastAsia="Arial" w:hAnsi="Arial"/>
          <w:sz w:val="18"/>
          <w:szCs w:val="18"/>
          <w:i w:val="1"/>
          <w:iCs w:val="1"/>
          <w:color w:val="auto"/>
        </w:rPr>
      </w:pPr>
    </w:p>
    <w:p>
      <w:pPr>
        <w:jc w:val="both"/>
        <w:ind w:left="900" w:hanging="447"/>
        <w:spacing w:after="0" w:line="257" w:lineRule="auto"/>
        <w:tabs>
          <w:tab w:leader="none" w:pos="9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Removal of Directors and Filling of Vacancies. </w:t>
      </w:r>
      <w:r>
        <w:rPr>
          <w:rFonts w:ascii="Arial" w:cs="Arial" w:eastAsia="Arial" w:hAnsi="Arial"/>
          <w:sz w:val="18"/>
          <w:szCs w:val="18"/>
          <w:color w:val="auto"/>
        </w:rPr>
        <w:t>Our Restated Bylaws require the vote of stockholders representing not less than two-thirds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issued and outstanding capital stock entitled to voting power in order to remove a director from office, with or without cause. In addition, vacancies on our board of directors (including vacancies created by the removal of directors) may be filled by a majority of the remaining directors, even if less than a quorum, or by a sole remaining director, and each director so appointed shall hold office until his or her successor is elected at an annual or a special meeting of our stockholders.</w:t>
      </w:r>
    </w:p>
    <w:p>
      <w:pPr>
        <w:spacing w:after="0" w:line="187" w:lineRule="exact"/>
        <w:rPr>
          <w:rFonts w:ascii="Arial" w:cs="Arial" w:eastAsia="Arial" w:hAnsi="Arial"/>
          <w:sz w:val="18"/>
          <w:szCs w:val="18"/>
          <w:i w:val="1"/>
          <w:iCs w:val="1"/>
          <w:color w:val="auto"/>
        </w:rPr>
      </w:pPr>
    </w:p>
    <w:p>
      <w:pPr>
        <w:jc w:val="both"/>
        <w:ind w:left="900" w:hanging="447"/>
        <w:spacing w:after="0" w:line="259" w:lineRule="auto"/>
        <w:tabs>
          <w:tab w:leader="none" w:pos="9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Special Meeting of Stockholders. </w:t>
      </w:r>
      <w:r>
        <w:rPr>
          <w:rFonts w:ascii="Arial" w:cs="Arial" w:eastAsia="Arial" w:hAnsi="Arial"/>
          <w:sz w:val="18"/>
          <w:szCs w:val="18"/>
          <w:color w:val="auto"/>
        </w:rPr>
        <w:t>Our Restated Bylaws provide that a special meeting of stockholders may be called only by a majority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our president, the chairperson of our board or such other person as our board may designate, in each case, for the purpose specified in the notice of meeting. Our stockholders are not permitted to propose business to be brought before a special meeting of our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900" w:hanging="447"/>
        <w:spacing w:after="0" w:line="259" w:lineRule="auto"/>
        <w:tabs>
          <w:tab w:leader="none" w:pos="90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Our Restated Bylaws establish advance notice procedures with respect to stockholder proposals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of candidates for election as directors, other than nominations made by or at the direction of our board of directors or a committee of the board. These provisions may have the effect of deterring unsolicited offers to acquire our company or delaying stockholder actions, even if they are favored by the holders of a majority of our outstanding voting securities</w:t>
      </w:r>
      <w:r>
        <w:rPr>
          <w:rFonts w:ascii="Arial" w:cs="Arial" w:eastAsia="Arial" w:hAnsi="Arial"/>
          <w:sz w:val="18"/>
          <w:szCs w:val="18"/>
          <w:i w:val="1"/>
          <w:iCs w:val="1"/>
          <w:color w:val="auto"/>
        </w:rPr>
        <w:t>.</w:t>
      </w:r>
    </w:p>
    <w:p>
      <w:pPr>
        <w:sectPr>
          <w:pgSz w:w="11900" w:h="16838" w:orient="portrait"/>
          <w:cols w:equalWidth="0" w:num="1">
            <w:col w:w="11240"/>
          </w:cols>
          <w:pgMar w:left="320" w:top="341" w:right="339" w:bottom="0" w:gutter="0" w:footer="0" w:header="0"/>
        </w:sectPr>
      </w:pPr>
    </w:p>
    <w:bookmarkStart w:id="58" w:name="page59"/>
    <w:bookmarkEnd w:id="58"/>
    <w:p>
      <w:pPr>
        <w:jc w:val="both"/>
        <w:ind w:left="900" w:hanging="447"/>
        <w:spacing w:after="0" w:line="259" w:lineRule="auto"/>
        <w:tabs>
          <w:tab w:leader="none" w:pos="90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Charter does not permit cumulative voting. Without cumulative voting, a minority stockholder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gain as many seats on our board of directors as the stockholder would be able to gain if cumulative voting were permitted. The absence of cumulative voting makes it more difficult for a minority stockholder to gain a seat on our board to influence our board’s decision regarding a takeover.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Issuer Direct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Capital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“TENX”.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3"/>
          </w:tcPr>
          <w:p>
            <w:pPr>
              <w:ind w:left="2680"/>
              <w:spacing w:after="0"/>
              <w:rPr>
                <w:sz w:val="20"/>
                <w:szCs w:val="20"/>
                <w:color w:val="auto"/>
              </w:rPr>
            </w:pPr>
            <w:r>
              <w:rPr>
                <w:rFonts w:ascii="Arial" w:cs="Arial" w:eastAsia="Arial" w:hAnsi="Arial"/>
                <w:sz w:val="18"/>
                <w:szCs w:val="18"/>
                <w:b w:val="1"/>
                <w:bCs w:val="1"/>
                <w:color w:val="auto"/>
              </w:rPr>
              <w:t>SUBSIDIARIES OF TENAX THERAPEUTICS, INC.</w:t>
            </w:r>
          </w:p>
        </w:tc>
        <w:tc>
          <w:tcPr>
            <w:tcW w:w="266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94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550"/>
              <w:spacing w:after="0"/>
              <w:rPr>
                <w:sz w:val="20"/>
                <w:szCs w:val="20"/>
                <w:color w:val="auto"/>
              </w:rPr>
            </w:pPr>
            <w:r>
              <w:rPr>
                <w:rFonts w:ascii="Arial" w:cs="Arial" w:eastAsia="Arial" w:hAnsi="Arial"/>
                <w:sz w:val="18"/>
                <w:szCs w:val="18"/>
                <w:b w:val="1"/>
                <w:bCs w:val="1"/>
                <w:color w:val="auto"/>
                <w:w w:val="88"/>
              </w:rPr>
              <w:t>Jurisdiction</w:t>
            </w:r>
          </w:p>
        </w:tc>
      </w:tr>
      <w:tr>
        <w:trPr>
          <w:trHeight w:val="209"/>
        </w:trPr>
        <w:tc>
          <w:tcPr>
            <w:tcW w:w="6880" w:type="dxa"/>
            <w:vAlign w:val="bottom"/>
            <w:gridSpan w:val="3"/>
            <w:shd w:val="clear" w:color="auto" w:fill="CCEEFF"/>
          </w:tcPr>
          <w:p>
            <w:pPr>
              <w:jc w:val="center"/>
              <w:ind w:right="2580"/>
              <w:spacing w:after="0"/>
              <w:rPr>
                <w:sz w:val="20"/>
                <w:szCs w:val="20"/>
                <w:color w:val="auto"/>
              </w:rPr>
            </w:pPr>
            <w:r>
              <w:rPr>
                <w:rFonts w:ascii="Arial" w:cs="Arial" w:eastAsia="Arial" w:hAnsi="Arial"/>
                <w:sz w:val="18"/>
                <w:szCs w:val="18"/>
                <w:color w:val="auto"/>
                <w:w w:val="95"/>
              </w:rPr>
              <w:t>Life Newco, Inc.</w:t>
            </w:r>
          </w:p>
        </w:tc>
        <w:tc>
          <w:tcPr>
            <w:tcW w:w="266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2"/>
              </w:rPr>
              <w:t>Delaware</w:t>
            </w:r>
          </w:p>
        </w:tc>
      </w:tr>
      <w:tr>
        <w:trPr>
          <w:trHeight w:val="230"/>
        </w:trPr>
        <w:tc>
          <w:tcPr>
            <w:tcW w:w="6880" w:type="dxa"/>
            <w:vAlign w:val="bottom"/>
            <w:gridSpan w:val="3"/>
          </w:tcPr>
          <w:p>
            <w:pPr>
              <w:jc w:val="center"/>
              <w:ind w:right="2580"/>
              <w:spacing w:after="0"/>
              <w:rPr>
                <w:sz w:val="20"/>
                <w:szCs w:val="20"/>
                <w:color w:val="auto"/>
              </w:rPr>
            </w:pPr>
            <w:r>
              <w:rPr>
                <w:rFonts w:ascii="Arial" w:cs="Arial" w:eastAsia="Arial" w:hAnsi="Arial"/>
                <w:sz w:val="18"/>
                <w:szCs w:val="18"/>
                <w:color w:val="auto"/>
                <w:w w:val="91"/>
              </w:rPr>
              <w:t>PHPrecisionMed Inc.</w:t>
            </w:r>
          </w:p>
        </w:tc>
        <w:tc>
          <w:tcPr>
            <w:tcW w:w="2660" w:type="dxa"/>
            <w:vAlign w:val="bottom"/>
          </w:tcPr>
          <w:p>
            <w:pPr>
              <w:jc w:val="center"/>
              <w:ind w:right="155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380"/>
          </w:cols>
          <w:pgMar w:left="118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w:t>
      </w:r>
      <w:r>
        <w:rPr>
          <w:rFonts w:ascii="MS PGothic" w:cs="MS PGothic" w:eastAsia="MS PGothic" w:hAnsi="MS PGothic"/>
          <w:sz w:val="18"/>
          <w:szCs w:val="18"/>
          <w:color w:val="auto"/>
        </w:rPr>
        <w:t>‑</w:t>
      </w:r>
      <w:r>
        <w:rPr>
          <w:rFonts w:ascii="Arial" w:cs="Arial" w:eastAsia="Arial" w:hAnsi="Arial"/>
          <w:sz w:val="18"/>
          <w:szCs w:val="18"/>
          <w:color w:val="auto"/>
        </w:rPr>
        <w:t>167175, 333-196464, 333-210182, 333-224120, 333-233571, 333-259266, and 333-266833), Form S-3 (Nos. 333-248201, 333-258981, and 333-265209), and Form S-1 (No. 333-228212 and 333-269363) of our report dated March 30, 2023 included in this Annual Report on Form 10-K of Tenax Therapeutics, Inc. and Subsidiaries (the “Company”), relating to the consolidated balance sheets of the Company as of December 31, 2022 and 2021, and the related consolidated statements of operations and comprehensive loss, stockholders’ equity, and cash flows, and the related notes (which report expresses an unqualified opinion and contains an explanatory paragraph regarding substantial doubt about the Company’s ability to continue as a going concern) for each of the years in the two-year period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ectPr>
          <w:pgSz w:w="11900" w:h="16838" w:orient="portrait"/>
          <w:cols w:equalWidth="0" w:num="1">
            <w:col w:w="11240"/>
          </w:cols>
          <w:pgMar w:left="320" w:top="121" w:right="339" w:bottom="1440" w:gutter="0" w:footer="0" w:header="0"/>
        </w:sectPr>
      </w:pPr>
    </w:p>
    <w:bookmarkStart w:id="61" w:name="page62"/>
    <w:bookmarkEnd w:id="61"/>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EXCHANGE ACT RULE 13a-14(a)/15d-14(a)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Giordano, certify that:</w:t>
      </w:r>
    </w:p>
    <w:p>
      <w:pPr>
        <w:spacing w:after="0" w:line="22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67"/>
        <w:spacing w:after="0" w:line="308" w:lineRule="auto"/>
        <w:tabs>
          <w:tab w:leader="none" w:pos="9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67"/>
        <w:spacing w:after="0" w:line="263"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67"/>
        <w:spacing w:after="0" w:line="277"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40" w:hanging="467"/>
        <w:spacing w:after="0" w:line="277"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30, 2023</w:t>
            </w:r>
          </w:p>
        </w:tc>
        <w:tc>
          <w:tcPr>
            <w:tcW w:w="6280" w:type="dxa"/>
            <w:vAlign w:val="bottom"/>
            <w:gridSpan w:val="2"/>
          </w:tcPr>
          <w:p>
            <w:pPr>
              <w:ind w:left="2020"/>
              <w:spacing w:after="0"/>
              <w:rPr>
                <w:sz w:val="20"/>
                <w:szCs w:val="20"/>
                <w:color w:val="auto"/>
              </w:rPr>
            </w:pPr>
            <w:r>
              <w:rPr>
                <w:rFonts w:ascii="Arial" w:cs="Arial" w:eastAsia="Arial" w:hAnsi="Arial"/>
                <w:sz w:val="18"/>
                <w:szCs w:val="18"/>
                <w:color w:val="auto"/>
              </w:rPr>
              <w:t>By: /s/ Christopher T. Giordano</w:t>
            </w:r>
          </w:p>
        </w:tc>
      </w:tr>
      <w:tr>
        <w:trPr>
          <w:trHeight w:val="195"/>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Christopher T. Giordano</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37" w:right="339" w:bottom="1440" w:gutter="0" w:footer="0" w:header="0"/>
        </w:sectPr>
      </w:pPr>
    </w:p>
    <w:bookmarkStart w:id="62" w:name="page63"/>
    <w:bookmarkEnd w:id="62"/>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 Eliot M. Lurier, certify that:</w:t>
      </w:r>
    </w:p>
    <w:p>
      <w:pPr>
        <w:spacing w:after="0" w:line="22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67"/>
        <w:spacing w:after="0" w:line="308" w:lineRule="auto"/>
        <w:tabs>
          <w:tab w:leader="none" w:pos="9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67"/>
        <w:spacing w:after="0" w:line="263" w:lineRule="auto"/>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67"/>
        <w:spacing w:after="0" w:line="277" w:lineRule="auto"/>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40" w:hanging="467"/>
        <w:spacing w:after="0" w:line="277" w:lineRule="auto"/>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30, 2023</w:t>
            </w:r>
          </w:p>
        </w:tc>
        <w:tc>
          <w:tcPr>
            <w:tcW w:w="6280" w:type="dxa"/>
            <w:vAlign w:val="bottom"/>
            <w:gridSpan w:val="2"/>
          </w:tcPr>
          <w:p>
            <w:pPr>
              <w:ind w:left="2020"/>
              <w:spacing w:after="0"/>
              <w:rPr>
                <w:sz w:val="20"/>
                <w:szCs w:val="20"/>
                <w:color w:val="auto"/>
              </w:rPr>
            </w:pPr>
            <w:r>
              <w:rPr>
                <w:rFonts w:ascii="Arial" w:cs="Arial" w:eastAsia="Arial" w:hAnsi="Arial"/>
                <w:sz w:val="18"/>
                <w:szCs w:val="18"/>
                <w:color w:val="auto"/>
              </w:rPr>
              <w:t>By: /s/ Eliot M. Lurier</w:t>
            </w:r>
          </w:p>
        </w:tc>
      </w:tr>
      <w:tr>
        <w:trPr>
          <w:trHeight w:val="195"/>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Eliot M. Lurier</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Interim Chief Financial Officer</w:t>
            </w: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1" w:right="339" w:bottom="1440" w:gutter="0" w:footer="0" w:header="0"/>
        </w:sectPr>
      </w:pPr>
    </w:p>
    <w:bookmarkStart w:id="63" w:name="page64"/>
    <w:bookmarkEnd w:id="63"/>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In connection with the Annual Report of Tenax Therapeutics, Inc. (the “Company”) on Form 10-K for the year ended December 31, 2022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30, 2023</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 Giordano</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Christopher T. Giordano</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4" w:name="page65"/>
    <w:bookmarkEnd w:id="64"/>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8"/>
          <w:szCs w:val="18"/>
          <w:color w:val="auto"/>
        </w:rPr>
        <w:t>In connection with the Annual Report of Tenax Therapeutics, Inc. (the “Company”) on Form 10-K for the period year December 31, 2022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30, 2023</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Eliot M. Lurier</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Eliot M. Lurier</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Interim Chief Financial Officer</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1"/>
      <w:numFmt w:val="decimal"/>
      <w:start w:val="104"/>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lowerRoman"/>
      <w:start w:val="2"/>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1."/>
      <w:numFmt w:val="lowerRoman"/>
      <w:start w:val="3"/>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98" Type="http://schemas.openxmlformats.org/officeDocument/2006/relationships/image" Target="media/image54.png"/><Relationship Id="rId111" Type="http://schemas.openxmlformats.org/officeDocument/2006/relationships/image" Target="media/image55.png"/><Relationship Id="rId122" Type="http://schemas.openxmlformats.org/officeDocument/2006/relationships/image" Target="media/image56.png"/><Relationship Id="rId125" Type="http://schemas.openxmlformats.org/officeDocument/2006/relationships/image" Target="media/image57.png"/><Relationship Id="rId126" Type="http://schemas.openxmlformats.org/officeDocument/2006/relationships/image" Target="media/image58.png"/><Relationship Id="rId127" Type="http://schemas.openxmlformats.org/officeDocument/2006/relationships/image" Target="media/image59.png"/><Relationship Id="rId128" Type="http://schemas.openxmlformats.org/officeDocument/2006/relationships/image" Target="media/image60.png"/><Relationship Id="rId129" Type="http://schemas.openxmlformats.org/officeDocument/2006/relationships/image" Target="media/image61.png"/><Relationship Id="rId130" Type="http://schemas.openxmlformats.org/officeDocument/2006/relationships/image" Target="media/image62.png"/><Relationship Id="rId131" Type="http://schemas.openxmlformats.org/officeDocument/2006/relationships/image" Target="media/image63.png"/><Relationship Id="rId132" Type="http://schemas.openxmlformats.org/officeDocument/2006/relationships/image" Target="media/image64.png"/><Relationship Id="rId133" Type="http://schemas.openxmlformats.org/officeDocument/2006/relationships/image" Target="media/image65.png"/><Relationship Id="rId134" Type="http://schemas.openxmlformats.org/officeDocument/2006/relationships/image" Target="media/image66.png"/><Relationship Id="rId135" Type="http://schemas.openxmlformats.org/officeDocument/2006/relationships/image" Target="media/image67.png"/><Relationship Id="rId136" Type="http://schemas.openxmlformats.org/officeDocument/2006/relationships/image" Target="media/image68.png"/><Relationship Id="rId137" Type="http://schemas.openxmlformats.org/officeDocument/2006/relationships/image" Target="media/image69.png"/><Relationship Id="rId138" Type="http://schemas.openxmlformats.org/officeDocument/2006/relationships/image" Target="media/image70.png"/><Relationship Id="rId139" Type="http://schemas.openxmlformats.org/officeDocument/2006/relationships/image" Target="media/image71.png"/><Relationship Id="rId140" Type="http://schemas.openxmlformats.org/officeDocument/2006/relationships/image" Target="media/image72.png"/><Relationship Id="rId141" Type="http://schemas.openxmlformats.org/officeDocument/2006/relationships/image" Target="media/image73.png"/><Relationship Id="rId142" Type="http://schemas.openxmlformats.org/officeDocument/2006/relationships/image" Target="media/image74.png"/><Relationship Id="rId143" Type="http://schemas.openxmlformats.org/officeDocument/2006/relationships/image" Target="media/image75.png"/><Relationship Id="rId144" Type="http://schemas.openxmlformats.org/officeDocument/2006/relationships/image" Target="media/image76.png"/><Relationship Id="rId145" Type="http://schemas.openxmlformats.org/officeDocument/2006/relationships/image" Target="media/image77.png"/><Relationship Id="rId146" Type="http://schemas.openxmlformats.org/officeDocument/2006/relationships/image" Target="media/image78.png"/><Relationship Id="rId147" Type="http://schemas.openxmlformats.org/officeDocument/2006/relationships/image" Target="media/image79.png"/><Relationship Id="rId148" Type="http://schemas.openxmlformats.org/officeDocument/2006/relationships/image" Target="media/image80.png"/><Relationship Id="rId149" Type="http://schemas.openxmlformats.org/officeDocument/2006/relationships/image" Target="media/image81.png"/><Relationship Id="rId150" Type="http://schemas.openxmlformats.org/officeDocument/2006/relationships/image" Target="media/image82.png"/><Relationship Id="rId151" Type="http://schemas.openxmlformats.org/officeDocument/2006/relationships/image" Target="media/image83.png"/><Relationship Id="rId152" Type="http://schemas.openxmlformats.org/officeDocument/2006/relationships/image" Target="media/image84.png"/><Relationship Id="rId153" Type="http://schemas.openxmlformats.org/officeDocument/2006/relationships/image" Target="media/image85.png"/><Relationship Id="rId154" Type="http://schemas.openxmlformats.org/officeDocument/2006/relationships/image" Target="media/image86.png"/><Relationship Id="rId155" Type="http://schemas.openxmlformats.org/officeDocument/2006/relationships/image" Target="media/image87.png"/><Relationship Id="rId156" Type="http://schemas.openxmlformats.org/officeDocument/2006/relationships/image" Target="media/image88.png"/><Relationship Id="rId157" Type="http://schemas.openxmlformats.org/officeDocument/2006/relationships/image" Target="media/image89.png"/><Relationship Id="rId158" Type="http://schemas.openxmlformats.org/officeDocument/2006/relationships/image" Target="media/image90.png"/><Relationship Id="rId159" Type="http://schemas.openxmlformats.org/officeDocument/2006/relationships/image" Target="media/image91.png"/><Relationship Id="rId160" Type="http://schemas.openxmlformats.org/officeDocument/2006/relationships/image" Target="media/image92.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5.png"/><Relationship Id="rId164" Type="http://schemas.openxmlformats.org/officeDocument/2006/relationships/image" Target="media/image96.png"/><Relationship Id="rId165" Type="http://schemas.openxmlformats.org/officeDocument/2006/relationships/image" Target="media/image97.png"/><Relationship Id="rId166" Type="http://schemas.openxmlformats.org/officeDocument/2006/relationships/image" Target="media/image98.png"/><Relationship Id="rId167" Type="http://schemas.openxmlformats.org/officeDocument/2006/relationships/image" Target="media/image99.png"/><Relationship Id="rId168" Type="http://schemas.openxmlformats.org/officeDocument/2006/relationships/image" Target="media/image100.png"/><Relationship Id="rId60" Type="http://schemas.openxmlformats.org/officeDocument/2006/relationships/hyperlink" Target="http://www.sec.gov/Archives/edgar/data/34956/000102048808000077/oxybio_planmerger-ex201.htm" TargetMode="External"/><Relationship Id="rId61" Type="http://schemas.openxmlformats.org/officeDocument/2006/relationships/hyperlink" Target="http://www.sec.gov/Archives/edgar/data/34956/000135448813005858/oxbt_ex21.htm" TargetMode="External"/><Relationship Id="rId62" Type="http://schemas.openxmlformats.org/officeDocument/2006/relationships/hyperlink" Target="http://www.sec.gov/Archives/edgar/data/34956/000165495421000585/tenx_ex21.htm" TargetMode="External"/><Relationship Id="rId63" Type="http://schemas.openxmlformats.org/officeDocument/2006/relationships/hyperlink" Target="http://www.sec.gov/Archives/edgar/data/34956/000102048808000077/oxybiocertif_ex301.htm" TargetMode="External"/><Relationship Id="rId64" Type="http://schemas.openxmlformats.org/officeDocument/2006/relationships/hyperlink" Target="http://www.sec.gov/Archives/edgar/data/34956/000102048809000083/oxybex31-certamend.htm" TargetMode="External"/><Relationship Id="rId65" Type="http://schemas.openxmlformats.org/officeDocument/2006/relationships/hyperlink" Target="http://www.sec.gov/Archives/edgar/data/34956/000135448813002880/oxbt_ex31.htm" TargetMode="External"/><Relationship Id="rId67" Type="http://schemas.openxmlformats.org/officeDocument/2006/relationships/hyperlink" Target="http://www.sec.gov/Archives/edgar/data/34956/000135448814006182/tenx_ex34.htm" TargetMode="External"/><Relationship Id="rId68" Type="http://schemas.openxmlformats.org/officeDocument/2006/relationships/hyperlink" Target="http://www.sec.gov/Archives/edgar/data/34956/000165495418001818/tenx_ex31.htm" TargetMode="External"/><Relationship Id="rId69" Type="http://schemas.openxmlformats.org/officeDocument/2006/relationships/hyperlink" Target="http://www.sec.gov/Archives/edgar/data/34956/000165495418013810/tnx_ex41.htm" TargetMode="External"/><Relationship Id="rId70" Type="http://schemas.openxmlformats.org/officeDocument/2006/relationships/hyperlink" Target="http://www.sec.gov/Archives/edgar/data/34956/000165495421000585/tenx_ex41.htm" TargetMode="External"/><Relationship Id="rId71" Type="http://schemas.openxmlformats.org/officeDocument/2006/relationships/hyperlink" Target="http://www.sec.gov/Archives/edgar/data/34956/000135448815004246/tenx_ex31.htm" TargetMode="External"/><Relationship Id="rId72" Type="http://schemas.openxmlformats.org/officeDocument/2006/relationships/hyperlink" Target="http://www.sec.gov/Archives/edgar/data/34956/000119312510165026/dex41.htm" TargetMode="External"/><Relationship Id="rId73" Type="http://schemas.openxmlformats.org/officeDocument/2006/relationships/hyperlink" Target="http://www.sec.gov/Archives/edgar/data/34956/000165495418013810/tenx_ex42.htm" TargetMode="External"/><Relationship Id="rId74" Type="http://schemas.openxmlformats.org/officeDocument/2006/relationships/hyperlink" Target="http://www.sec.gov/Archives/edgar/data/34956/000165495418013810/tnx_ex43.htm" TargetMode="External"/><Relationship Id="rId75" Type="http://schemas.openxmlformats.org/officeDocument/2006/relationships/hyperlink" Target="http://www.sec.gov/Archives/edgar/data/34956/000165495418013810/tenx_ex44.htm" TargetMode="External"/><Relationship Id="rId76" Type="http://schemas.openxmlformats.org/officeDocument/2006/relationships/hyperlink" Target="http://www.sec.gov/Archives/edgar/data/34956/000165495420002581/tenx_ex41.htm" TargetMode="External"/><Relationship Id="rId77" Type="http://schemas.openxmlformats.org/officeDocument/2006/relationships/hyperlink" Target="http://www.sec.gov/Archives/edgar/data/34956/000165495420002581/tenx_ex42.htm" TargetMode="External"/><Relationship Id="rId78" Type="http://schemas.openxmlformats.org/officeDocument/2006/relationships/hyperlink" Target="http://www.sec.gov/Archives/edgar/data/34956/000165495420002581/tenx_ex43.htm" TargetMode="External"/><Relationship Id="rId79" Type="http://schemas.openxmlformats.org/officeDocument/2006/relationships/hyperlink" Target="http://www.sec.gov/Archives/edgar/data/34956/000165495420007444/tenx_ex41.htm" TargetMode="External"/><Relationship Id="rId80" Type="http://schemas.openxmlformats.org/officeDocument/2006/relationships/hyperlink" Target="http://www.sec.gov/Archives/edgar/data/34956/000165495420007444/tenx_ex42.htm" TargetMode="External"/><Relationship Id="rId81" Type="http://schemas.openxmlformats.org/officeDocument/2006/relationships/hyperlink" Target="http://www.sec.gov/Archives/edgar/data/34956/000165495420007444/tenx_ex43.htm" TargetMode="External"/><Relationship Id="rId82" Type="http://schemas.openxmlformats.org/officeDocument/2006/relationships/hyperlink" Target="http://www.sec.gov/Archives/edgar/data/34956/000165495421007745/tenx_ex41.htm" TargetMode="External"/><Relationship Id="rId83" Type="http://schemas.openxmlformats.org/officeDocument/2006/relationships/hyperlink" Target="http://www.sec.gov/Archives/edgar/data/34956/000165495421007745/tenx_ex42.htm" TargetMode="External"/><Relationship Id="rId84" Type="http://schemas.openxmlformats.org/officeDocument/2006/relationships/hyperlink" Target="http://www.sec.gov/Archives/edgar/data/34956/000165495421007745/tenx_ex43.htm" TargetMode="External"/><Relationship Id="rId85" Type="http://schemas.openxmlformats.org/officeDocument/2006/relationships/hyperlink" Target="http://www.sec.gov/Archives/edgar/data/34956/000165495422007316/tenx_ex41.htm" TargetMode="External"/><Relationship Id="rId86" Type="http://schemas.openxmlformats.org/officeDocument/2006/relationships/hyperlink" Target="http://www.sec.gov/Archives/edgar/data/34956/000165495422007316/tenx_ex42.htm" TargetMode="External"/><Relationship Id="rId87" Type="http://schemas.openxmlformats.org/officeDocument/2006/relationships/hyperlink" Target="http://www.sec.gov/Archives/edgar/data/34956/000165495422007316/tenx_ex43.htm" TargetMode="External"/><Relationship Id="rId88" Type="http://schemas.openxmlformats.org/officeDocument/2006/relationships/hyperlink" Target="http://www.sec.gov/Archives/edgar/data/34956/000119312508176263/dex1015.htm" TargetMode="External"/><Relationship Id="rId89" Type="http://schemas.openxmlformats.org/officeDocument/2006/relationships/hyperlink" Target="http://www.sec.gov/Archives/edgar/data/34956/000135448814003782/oxbt_ex1019.htm" TargetMode="External"/><Relationship Id="rId90" Type="http://schemas.openxmlformats.org/officeDocument/2006/relationships/hyperlink" Target="http://www.sec.gov/Archives/edgar/data/34956/000135448814003782/oxbt_ex1020.htm" TargetMode="External"/><Relationship Id="rId91" Type="http://schemas.openxmlformats.org/officeDocument/2006/relationships/hyperlink" Target="http://www.sec.gov/Archives/edgar/data/34956/000119312504140189/dex105.htm" TargetMode="External"/><Relationship Id="rId92" Type="http://schemas.openxmlformats.org/officeDocument/2006/relationships/hyperlink" Target="http://www.sec.gov/Archives/edgar/data/34956/000119312504140189/dex106.htm" TargetMode="External"/><Relationship Id="rId93" Type="http://schemas.openxmlformats.org/officeDocument/2006/relationships/hyperlink" Target="http://www.sec.gov/Archives/edgar/data/34956/000165495417002098/tenx_ex109.htm" TargetMode="External"/><Relationship Id="rId94" Type="http://schemas.openxmlformats.org/officeDocument/2006/relationships/hyperlink" Target="http://www.sec.gov/Archives/edgar/data/34956/000135448811000902/oxbt_ex106.htm" TargetMode="External"/><Relationship Id="rId95" Type="http://schemas.openxmlformats.org/officeDocument/2006/relationships/hyperlink" Target="http://www.sec.gov/Archives/edgar/data/34956/000135448816006547/tenx_ex1074.htm" TargetMode="External"/><Relationship Id="rId96" Type="http://schemas.openxmlformats.org/officeDocument/2006/relationships/hyperlink" Target="http://www.sec.gov/Archives/edgar/data/34956/000135448811002180/oxbt_ex1036.htm" TargetMode="External"/><Relationship Id="rId97" Type="http://schemas.openxmlformats.org/officeDocument/2006/relationships/hyperlink" Target="http://www.sec.gov/Archives/edgar/data/34956/000135448814001188/oxbt_103.htm" TargetMode="External"/><Relationship Id="rId99" Type="http://schemas.openxmlformats.org/officeDocument/2006/relationships/hyperlink" Target="http://www.sec.gov/Archives/edgar/data/0000034956/000165495420011170/tenx_ex101.htm" TargetMode="External"/><Relationship Id="rId100" Type="http://schemas.openxmlformats.org/officeDocument/2006/relationships/hyperlink" Target="http://www.sec.gov/Archives/edgar/data/34956/000165495422000860/tenx_ex101.htm" TargetMode="External"/><Relationship Id="rId101" Type="http://schemas.openxmlformats.org/officeDocument/2006/relationships/hyperlink" Target="http://www.sec.gov/Archives/edgar/data/34956/000135448815004246/tenx_ex101.htm" TargetMode="External"/><Relationship Id="rId102" Type="http://schemas.openxmlformats.org/officeDocument/2006/relationships/hyperlink" Target="http://www.sec.gov/Archives/edgar/data/34956/000165495416001314/tenx_ex101.htm" TargetMode="External"/><Relationship Id="rId103" Type="http://schemas.openxmlformats.org/officeDocument/2006/relationships/hyperlink" Target="http://www.sec.gov/Archives/edgar/data/34956/000165495419009589/tenx_ex101.htm" TargetMode="External"/><Relationship Id="rId104" Type="http://schemas.openxmlformats.org/officeDocument/2006/relationships/hyperlink" Target="http://www.sec.gov/Archives/edgar/data/34956/000165495421009088/tenx_ex101.htm" TargetMode="External"/><Relationship Id="rId105" Type="http://schemas.openxmlformats.org/officeDocument/2006/relationships/hyperlink" Target="http://www.sec.gov/Archives/edgar/data/34956/000165495418009137/tenx_ex102.htm" TargetMode="External"/><Relationship Id="rId106" Type="http://schemas.openxmlformats.org/officeDocument/2006/relationships/hyperlink" Target="http://www.sec.gov/Archives/edgar/data/34956/000165495418009137/tenx_ex103.htm" TargetMode="External"/><Relationship Id="rId107" Type="http://schemas.openxmlformats.org/officeDocument/2006/relationships/hyperlink" Target="http://www.sec.gov/Archives/edgar/data/34956/000165495418009137/tenx_ex104.htm" TargetMode="External"/><Relationship Id="rId108" Type="http://schemas.openxmlformats.org/officeDocument/2006/relationships/hyperlink" Target="http://www.sec.gov/Archives/edgar/data/0000034956/000165495420002581/tenx_ex101.htm" TargetMode="External"/><Relationship Id="rId109" Type="http://schemas.openxmlformats.org/officeDocument/2006/relationships/hyperlink" Target="http://www.sec.gov/Archives/edgar/data/0000034956/000165495420007444/tenx_ex101.htm" TargetMode="External"/><Relationship Id="rId110" Type="http://schemas.openxmlformats.org/officeDocument/2006/relationships/hyperlink" Target="http://www.sec.gov/Archives/edgar/data/0000034956/000165495420007444/tenx_ex102.htm" TargetMode="External"/><Relationship Id="rId112" Type="http://schemas.openxmlformats.org/officeDocument/2006/relationships/hyperlink" Target="http://www.sec.gov/Archives/edgar/data/0000034956/000165495420007444/tenx_ex103.htm" TargetMode="External"/><Relationship Id="rId113" Type="http://schemas.openxmlformats.org/officeDocument/2006/relationships/hyperlink" Target="http://www.sec.gov/Archives/edgar/data/34956/000165495421000585/tenx_ex101.htm" TargetMode="External"/><Relationship Id="rId114" Type="http://schemas.openxmlformats.org/officeDocument/2006/relationships/hyperlink" Target="http://www.sec.gov/Archives/edgar/data/34956/000165495421007745/tenx_ex101.htm" TargetMode="External"/><Relationship Id="rId115" Type="http://schemas.openxmlformats.org/officeDocument/2006/relationships/hyperlink" Target="http://www.sec.gov/Archives/edgar/data/34956/000165495421007745/tenx_ex102.htm" TargetMode="External"/><Relationship Id="rId116" Type="http://schemas.openxmlformats.org/officeDocument/2006/relationships/hyperlink" Target="http://www.sec.gov/Archives/edgar/data/34956/000165495421007745/tenx_ex104.htm" TargetMode="External"/><Relationship Id="rId117" Type="http://schemas.openxmlformats.org/officeDocument/2006/relationships/hyperlink" Target="http://www.sec.gov/Archives/edgar/data/34956/000165495421007745/tenx_ex105.htm" TargetMode="External"/><Relationship Id="rId118" Type="http://schemas.openxmlformats.org/officeDocument/2006/relationships/hyperlink" Target="http://www.sec.gov/Archives/edgar/data/34956/000165495422004036/tenx_ex1020.htm" TargetMode="External"/><Relationship Id="rId119" Type="http://schemas.openxmlformats.org/officeDocument/2006/relationships/hyperlink" Target="http://www.sec.gov/Archives/edgar/data/34956/000165495422007316/tenx_ex101.htm" TargetMode="External"/><Relationship Id="rId120" Type="http://schemas.openxmlformats.org/officeDocument/2006/relationships/hyperlink" Target="http://www.sec.gov/Archives/edgar/data/34956/000165495422007316/tenx_ex102.htm" TargetMode="External"/><Relationship Id="rId121" Type="http://schemas.openxmlformats.org/officeDocument/2006/relationships/hyperlink" Target="http://www.sec.gov/Archives/edgar/data/34956/000165495422008221/tenx_ex101.htm" TargetMode="External"/><Relationship Id="rId123" Type="http://schemas.openxmlformats.org/officeDocument/2006/relationships/hyperlink" Target="http://www.sec.gov/Archives/edgar/data/34956/000165495422008221/tenx_ex102.htm" TargetMode="External"/><Relationship Id="rId124" Type="http://schemas.openxmlformats.org/officeDocument/2006/relationships/hyperlink" Target="http://www.sec.gov/Archives/edgar/data/34956/000165495422008452/tenx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2023-03-31T06:27:34Z</dcterms:created>
  <dcterms:modified xsi:type="dcterms:W3CDTF">2023-03-31T06:27:34Z</dcterms:modified>
</cp:coreProperties>
</file>