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TENAX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10/02/2026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Dellora Investments Master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2,061,000.00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2,061,000.00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2,061,000.00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Dellora Investments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Kevin Pyun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19"/>
        <w:gridCol w:w="8931"/>
        <w:gridCol w:w="155"/>
      </w:tblGrid>
      <w:tr>
        <w:trPr/>
        <w:tc>
          <w:tcPr>
            <w:tcW w:w="1119" w:type="dxa"/>
            <w:tcBorders/>
            <w:vAlign w:val="center"/>
          </w:tcPr>
          <w:p>
            <w:pPr>
              <w:pStyle w:val="TableContents"/>
              <w:bidi w:val="0"/>
              <w:spacing w:before="0" w:after="283"/>
              <w:jc w:val="left"/>
              <w:rPr/>
            </w:pPr>
            <w:r>
              <w:rPr/>
              <w:t>Item 1.</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issuer: </w:t>
            </w:r>
          </w:p>
          <w:p>
            <w:pPr>
              <w:pStyle w:val="TableContents"/>
              <w:bidi w:val="0"/>
              <w:spacing w:before="0" w:after="0"/>
              <w:jc w:val="left"/>
              <w:rPr/>
            </w:pPr>
            <w:r>
              <w:rPr/>
              <w:t>TENAX THERAPEUTICS, INC.</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GLEN LENNOX DRIVE, CHAPEL HILL, NORTH CAROLINA, 27517.</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2.</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person filing: </w:t>
            </w:r>
          </w:p>
          <w:p>
            <w:pPr>
              <w:pStyle w:val="TableContents"/>
              <w:bidi w:val="0"/>
              <w:spacing w:before="0" w:after="0"/>
              <w:jc w:val="left"/>
              <w:rPr/>
            </w:pPr>
            <w:r>
              <w:rPr/>
              <w:t>Dellora Investments Master Fund LP Dellora Investments LP Kevin Pyun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Dellora Investments Master Fund LP c/o Dellora Investments LP 41 W Putnam Ave, Suite 204 Greenwich, CT 06830 Dellora Investments LP 41 W Putnam Ave, Suite 204 Greenwich, CT 06830 Kevin Pyun c/o Dellora Investments LP 41 W Putnam Ave, Suite 204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jc w:val="left"/>
              <w:rPr/>
            </w:pPr>
            <w:r>
              <w:rPr/>
              <w:t xml:space="preserve">Citizenship: </w:t>
            </w:r>
          </w:p>
          <w:p>
            <w:pPr>
              <w:pStyle w:val="TableContents"/>
              <w:bidi w:val="0"/>
              <w:spacing w:before="0" w:after="0"/>
              <w:jc w:val="left"/>
              <w:rPr/>
            </w:pPr>
            <w:r>
              <w:rPr/>
              <w:t>Dellora Investments Master Fund LP - Cayman Islands Dellora Investments LP - Delaware Kevin Pyun - United States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3.</w:t>
            </w:r>
          </w:p>
        </w:tc>
        <w:tc>
          <w:tcPr>
            <w:tcW w:w="893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(f)</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(g)</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(h)</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(j)</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(k)</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9086" w:type="dxa"/>
            <w:gridSpan w:val="2"/>
            <w:tcBorders/>
            <w:vAlign w:val="center"/>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4.</w:t>
            </w:r>
          </w:p>
        </w:tc>
        <w:tc>
          <w:tcPr>
            <w:tcW w:w="893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Dellora Investments LP is an investment adviser that is registered under the Investment Advisers Act of 1940. Dellora Investments LP, which serves as investment adviser to private funds, including but not limited to Dellora Investments Master Fund, LP (collectively, the "Funds"), may be deemed to be the beneficial owner of all shares of Common Stock held by the Funds. Mr. Pyun, as Principal of Dellora Investments LP, with the power to exercise investment and voting discretion, may be deemed to be the beneficial owner of all shares of Common Stock held by the Funds. Pursuant to Rule 13d-4 under the Securities Exchange Act of 1934, as amended, Dellora Investments LP and Mr. Pyun expressly disclaim beneficial ownership over any of the securities reported in this statement, and the filing of this statement shall not be construed as an admission that Dellora Investments LP or Mr. Pyun are the beneficial owner of any of the securities reported herein. Dellora Investments Master Fund LP - 2,061,000 Dellora Investments LP - 2,400,000 Kevin Pyun - 2,400,000</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Ownership percentage is based on 37,423,917 shares of common stock outstanding as of July 28, 2026, as represented by the Issuer in the Form 10-Q filed with the Securities and Exchange Commission on July 31, 2026. Dellora Investments Master Fund LP - 5.5% Dellora Investments LP - 6.4% Kevin Pyun - 6.4%  %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Dellora Investments Master Fund LP - 0 Dellora Investments LP - 0 Kevin Pyun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Dellora Investments Master Fund LP - 2,061,000 Dellora Investments LP - 2,400,000 Kevin Pyun - 2,400,000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Dellora Investments Master Fund LP - 0 Dellora Investments LP - 0 Kevin Pyun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Dellora Investments Master Fund LP - 2,061,000 Dellora Investments LP - 2,400,000 Kevin Pyun - 2,400,000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5.</w:t>
            </w:r>
          </w:p>
        </w:tc>
        <w:tc>
          <w:tcPr>
            <w:tcW w:w="893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6.</w:t>
            </w:r>
          </w:p>
        </w:tc>
        <w:tc>
          <w:tcPr>
            <w:tcW w:w="893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have the right to receive or the power to direct the receipt of dividends from, or the proceeds from the sale of, the shares of Common Stock covered by this Statement.</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7.</w:t>
            </w:r>
          </w:p>
        </w:tc>
        <w:tc>
          <w:tcPr>
            <w:tcW w:w="893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Note above.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8.</w:t>
            </w:r>
          </w:p>
        </w:tc>
        <w:tc>
          <w:tcPr>
            <w:tcW w:w="893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9.</w:t>
            </w:r>
          </w:p>
        </w:tc>
        <w:tc>
          <w:tcPr>
            <w:tcW w:w="893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Dellora Investments Master Fund LP</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3"/>
        <w:gridCol w:w="4272"/>
      </w:tblGrid>
      <w:tr>
        <w:trPr/>
        <w:tc>
          <w:tcPr>
            <w:tcW w:w="59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Kevin Pyun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Principal, Dellora Investments Fund GP LLC, its General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272" w:type="dxa"/>
            <w:tcBorders/>
            <w:vAlign w:val="center"/>
          </w:tcPr>
          <w:p>
            <w:pPr>
              <w:pStyle w:val="TableContents"/>
              <w:bidi w:val="0"/>
              <w:spacing w:before="0" w:after="283"/>
              <w:jc w:val="left"/>
              <w:rPr>
                <w:sz w:val="4"/>
                <w:szCs w:val="4"/>
              </w:rPr>
            </w:pPr>
            <w:r>
              <w:rPr>
                <w:sz w:val="4"/>
                <w:szCs w:val="4"/>
              </w:rPr>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Dellora Investments LP</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0"/>
        <w:gridCol w:w="4275"/>
      </w:tblGrid>
      <w:tr>
        <w:trPr/>
        <w:tc>
          <w:tcPr>
            <w:tcW w:w="59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Kevin Pyun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Principal, Dellora Investments GP LLC, its General Partner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275" w:type="dxa"/>
            <w:tcBorders/>
            <w:vAlign w:val="center"/>
          </w:tcPr>
          <w:p>
            <w:pPr>
              <w:pStyle w:val="TableContents"/>
              <w:bidi w:val="0"/>
              <w:spacing w:before="0" w:after="283"/>
              <w:jc w:val="left"/>
              <w:rPr>
                <w:sz w:val="4"/>
                <w:szCs w:val="4"/>
              </w:rPr>
            </w:pPr>
            <w:r>
              <w:rPr>
                <w:sz w:val="4"/>
                <w:szCs w:val="4"/>
              </w:rPr>
            </w:r>
          </w:p>
        </w:tc>
      </w:tr>
    </w:tbl>
    <w:tbl>
      <w:tblPr>
        <w:tblW w:w="2838" w:type="dxa"/>
        <w:jc w:val="left"/>
        <w:tblInd w:w="0" w:type="dxa"/>
        <w:tblLayout w:type="fixed"/>
        <w:tblCellMar>
          <w:top w:w="28" w:type="dxa"/>
          <w:left w:w="28" w:type="dxa"/>
          <w:bottom w:w="28" w:type="dxa"/>
          <w:right w:w="28" w:type="dxa"/>
        </w:tblCellMar>
      </w:tblPr>
      <w:tblGrid>
        <w:gridCol w:w="1419"/>
        <w:gridCol w:w="1419"/>
      </w:tblGrid>
      <w:tr>
        <w:trPr/>
        <w:tc>
          <w:tcPr>
            <w:tcW w:w="1419" w:type="dxa"/>
            <w:tcBorders/>
            <w:vAlign w:val="center"/>
          </w:tcPr>
          <w:p>
            <w:pPr>
              <w:pStyle w:val="TableContents"/>
              <w:bidi w:val="0"/>
              <w:spacing w:before="0" w:after="0"/>
              <w:jc w:val="left"/>
              <w:rPr/>
            </w:pPr>
            <w:r>
              <w:rPr/>
              <w:t> </w:t>
            </w:r>
          </w:p>
          <w:tbl>
            <w:tblPr>
              <w:tblW w:w="1306" w:type="dxa"/>
              <w:jc w:val="left"/>
              <w:tblInd w:w="0" w:type="dxa"/>
              <w:tblLayout w:type="fixed"/>
              <w:tblCellMar>
                <w:top w:w="28" w:type="dxa"/>
                <w:left w:w="28" w:type="dxa"/>
                <w:bottom w:w="28" w:type="dxa"/>
                <w:right w:w="28" w:type="dxa"/>
              </w:tblCellMar>
            </w:tblPr>
            <w:tblGrid>
              <w:gridCol w:w="1306"/>
            </w:tblGrid>
            <w:tr>
              <w:trPr/>
              <w:tc>
                <w:tcPr>
                  <w:tcW w:w="1306" w:type="dxa"/>
                  <w:tcBorders/>
                  <w:vAlign w:val="center"/>
                </w:tcPr>
                <w:p>
                  <w:pPr>
                    <w:pStyle w:val="TableContents"/>
                    <w:bidi w:val="0"/>
                    <w:spacing w:before="0" w:after="0"/>
                    <w:jc w:val="left"/>
                    <w:rPr/>
                  </w:pPr>
                  <w:r>
                    <w:rPr/>
                    <w:t>Kevin Pyun</w:t>
                  </w:r>
                </w:p>
              </w:tc>
            </w:tr>
          </w:tbl>
          <w:p>
            <w:pPr>
              <w:pStyle w:val="TableContents"/>
              <w:bidi w:val="0"/>
              <w:spacing w:before="0" w:after="283"/>
              <w:jc w:val="left"/>
              <w:rPr/>
            </w:pPr>
            <w:r>
              <w:rPr/>
            </w:r>
          </w:p>
        </w:tc>
        <w:tc>
          <w:tcPr>
            <w:tcW w:w="1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9"/>
        <w:gridCol w:w="4486"/>
      </w:tblGrid>
      <w:tr>
        <w:trPr/>
        <w:tc>
          <w:tcPr>
            <w:tcW w:w="57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Kevin Pyun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Kevin Pyun</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1516</Words>
  <Characters>7742</Characters>
  <CharactersWithSpaces>9208</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